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pPr>
      <w:r>
        <w:rPr>
          <w:rFonts w:ascii="Times New Roman;serif" w:hAnsi="Times New Roman;serif"/>
          <w:b/>
          <w:color w:val="000000"/>
          <w:sz w:val="20"/>
        </w:rPr>
        <w:t xml:space="preserve">Commission file number: 001-31262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89" w:type="dxa"/>
        <w:jc w:val="center"/>
        <w:tblInd w:w="0" w:type="dxa"/>
        <w:tblLayout w:type="fixed"/>
        <w:tblCellMar>
          <w:top w:w="28" w:type="dxa"/>
          <w:left w:w="28" w:type="dxa"/>
          <w:bottom w:w="28" w:type="dxa"/>
          <w:right w:w="28" w:type="dxa"/>
        </w:tblCellMar>
      </w:tblPr>
      <w:tblGrid>
        <w:gridCol w:w="124"/>
        <w:gridCol w:w="109"/>
        <w:gridCol w:w="109"/>
        <w:gridCol w:w="470"/>
        <w:gridCol w:w="470"/>
        <w:gridCol w:w="470"/>
        <w:gridCol w:w="470"/>
        <w:gridCol w:w="470"/>
        <w:gridCol w:w="499"/>
        <w:gridCol w:w="109"/>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Atlanta,</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The number of shares of common stock outstanding as of July 29, 2026 was 17,951,917.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3"/>
        <w:gridCol w:w="254"/>
        <w:gridCol w:w="231"/>
        <w:gridCol w:w="2793"/>
        <w:gridCol w:w="2754"/>
        <w:gridCol w:w="2764"/>
        <w:gridCol w:w="317"/>
        <w:gridCol w:w="317"/>
        <w:gridCol w:w="472"/>
      </w:tblGrid>
      <w:tr>
        <w:trPr/>
        <w:tc>
          <w:tcPr>
            <w:tcW w:w="30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3">
              <w:r>
                <w:rPr>
                  <w:rStyle w:val="InternetLink"/>
                  <w:rFonts w:ascii="Times New Roman;serif" w:hAnsi="Times New Roman;serif"/>
                  <w:b w:val="false"/>
                  <w:color w:val="0000FF"/>
                  <w:sz w:val="20"/>
                  <w:u w:val="single"/>
                </w:rPr>
                <w:t>Item 1.</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3">
              <w:r>
                <w:rPr>
                  <w:rStyle w:val="InternetLink"/>
                  <w:rFonts w:ascii="Times New Roman;serif" w:hAnsi="Times New Roman;serif"/>
                  <w:b w:val="false"/>
                  <w:color w:val="0000FF"/>
                  <w:sz w:val="20"/>
                  <w:u w:val="single"/>
                </w:rPr>
                <w:t xml:space="preserve">Condensed Consolidated Financial Statements (unaudited) </w:t>
              </w:r>
            </w:hyperlink>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6">
              <w:r>
                <w:rPr>
                  <w:rStyle w:val="InternetLink"/>
                  <w:rFonts w:ascii="Times New Roman;serif" w:hAnsi="Times New Roman;serif"/>
                  <w:b w:val="false"/>
                  <w:color w:val="000080"/>
                  <w:sz w:val="20"/>
                  <w:u w:val="single"/>
                </w:rPr>
                <w:t xml:space="preserve">Condensed Consolidated Balance Sheets as of </w:t>
              </w:r>
            </w:hyperlink>
            <w:hyperlink w:anchor="i8c9746fb7f0247ebabb0fa9ffaf201a7_16">
              <w:r>
                <w:rPr>
                  <w:rStyle w:val="InternetLink"/>
                  <w:rFonts w:ascii="Times New Roman;serif" w:hAnsi="Times New Roman;serif"/>
                  <w:b w:val="false"/>
                  <w:color w:val="000080"/>
                  <w:sz w:val="20"/>
                  <w:u w:val="single"/>
                </w:rPr>
                <w:t xml:space="preserve">June </w:t>
              </w:r>
            </w:hyperlink>
            <w:hyperlink w:anchor="i8c9746fb7f0247ebabb0fa9ffaf201a7_16">
              <w:r>
                <w:rPr>
                  <w:rStyle w:val="InternetLink"/>
                  <w:rFonts w:ascii="Times New Roman;serif" w:hAnsi="Times New Roman;serif"/>
                  <w:b w:val="false"/>
                  <w:color w:val="000080"/>
                  <w:sz w:val="20"/>
                  <w:u w:val="single"/>
                </w:rPr>
                <w:t>3</w:t>
              </w:r>
            </w:hyperlink>
            <w:hyperlink w:anchor="i8c9746fb7f0247ebabb0fa9ffaf201a7_16">
              <w:r>
                <w:rPr>
                  <w:rStyle w:val="InternetLink"/>
                  <w:rFonts w:ascii="Times New Roman;serif" w:hAnsi="Times New Roman;serif"/>
                  <w:b w:val="false"/>
                  <w:color w:val="000080"/>
                  <w:sz w:val="20"/>
                  <w:u w:val="single"/>
                </w:rPr>
                <w:t>0</w:t>
              </w:r>
            </w:hyperlink>
            <w:hyperlink w:anchor="i8c9746fb7f0247ebabb0fa9ffaf201a7_16">
              <w:r>
                <w:rPr>
                  <w:rStyle w:val="InternetLink"/>
                  <w:rFonts w:ascii="Times New Roman;serif" w:hAnsi="Times New Roman;serif"/>
                  <w:b w:val="false"/>
                  <w:color w:val="000080"/>
                  <w:sz w:val="20"/>
                  <w:u w:val="single"/>
                </w:rPr>
                <w:t>, 2026 and December 31, 2025</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6">
              <w:r>
                <w:rPr>
                  <w:rStyle w:val="InternetLink"/>
                  <w:rFonts w:ascii="Times New Roman;serif" w:hAnsi="Times New Roman;serif"/>
                  <w:b w:val="false"/>
                  <w:color w:val="0000FF"/>
                  <w:sz w:val="20"/>
                  <w:u w:val="single"/>
                </w:rPr>
                <w:t>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9">
              <w:r>
                <w:rPr>
                  <w:rStyle w:val="InternetLink"/>
                  <w:rFonts w:ascii="Times New Roman;serif" w:hAnsi="Times New Roman;serif"/>
                  <w:b w:val="false"/>
                  <w:color w:val="000080"/>
                  <w:sz w:val="20"/>
                  <w:u w:val="single"/>
                </w:rPr>
                <w:t>Condensed Consolidated Statements of Income for the Three</w:t>
              </w:r>
            </w:hyperlink>
            <w:hyperlink w:anchor="i8c9746fb7f0247ebabb0fa9ffaf201a7_19">
              <w:r>
                <w:rPr>
                  <w:rStyle w:val="InternetLink"/>
                  <w:rFonts w:ascii="Times New Roman;serif" w:hAnsi="Times New Roman;serif"/>
                  <w:b w:val="false"/>
                  <w:color w:val="000080"/>
                  <w:sz w:val="20"/>
                  <w:u w:val="single"/>
                </w:rPr>
                <w:t xml:space="preserve"> and Six</w:t>
              </w:r>
            </w:hyperlink>
            <w:hyperlink w:anchor="i8c9746fb7f0247ebabb0fa9ffaf201a7_19">
              <w:r>
                <w:rPr>
                  <w:rStyle w:val="InternetLink"/>
                  <w:rFonts w:ascii="Times New Roman;serif" w:hAnsi="Times New Roman;serif"/>
                  <w:b w:val="false"/>
                  <w:color w:val="000080"/>
                  <w:sz w:val="20"/>
                  <w:u w:val="single"/>
                </w:rPr>
                <w:t xml:space="preserve"> </w:t>
              </w:r>
            </w:hyperlink>
            <w:hyperlink w:anchor="i8c9746fb7f0247ebabb0fa9ffaf201a7_19">
              <w:r>
                <w:rPr>
                  <w:rStyle w:val="InternetLink"/>
                  <w:rFonts w:ascii="Times New Roman;serif" w:hAnsi="Times New Roman;serif"/>
                  <w:b w:val="false"/>
                  <w:color w:val="000080"/>
                  <w:sz w:val="20"/>
                  <w:u w:val="single"/>
                </w:rPr>
                <w:t xml:space="preserve">Months Ended </w:t>
              </w:r>
            </w:hyperlink>
            <w:hyperlink w:anchor="i8c9746fb7f0247ebabb0fa9ffaf201a7_19">
              <w:r>
                <w:rPr>
                  <w:rStyle w:val="InternetLink"/>
                  <w:rFonts w:ascii="Times New Roman;serif" w:hAnsi="Times New Roman;serif"/>
                  <w:b w:val="false"/>
                  <w:color w:val="000080"/>
                  <w:sz w:val="20"/>
                  <w:u w:val="single"/>
                </w:rPr>
                <w:t>June</w:t>
              </w:r>
            </w:hyperlink>
            <w:hyperlink w:anchor="i8c9746fb7f0247ebabb0fa9ffaf201a7_19">
              <w:r>
                <w:rPr>
                  <w:rStyle w:val="InternetLink"/>
                  <w:rFonts w:ascii="Times New Roman;serif" w:hAnsi="Times New Roman;serif"/>
                  <w:b w:val="false"/>
                  <w:color w:val="000080"/>
                  <w:sz w:val="20"/>
                  <w:u w:val="single"/>
                </w:rPr>
                <w:t xml:space="preserve"> 3</w:t>
              </w:r>
            </w:hyperlink>
            <w:hyperlink w:anchor="i8c9746fb7f0247ebabb0fa9ffaf201a7_19">
              <w:r>
                <w:rPr>
                  <w:rStyle w:val="InternetLink"/>
                  <w:rFonts w:ascii="Times New Roman;serif" w:hAnsi="Times New Roman;serif"/>
                  <w:b w:val="false"/>
                  <w:color w:val="000080"/>
                  <w:sz w:val="20"/>
                  <w:u w:val="single"/>
                </w:rPr>
                <w:t>0</w:t>
              </w:r>
            </w:hyperlink>
            <w:hyperlink w:anchor="i8c9746fb7f0247ebabb0fa9ffaf201a7_19">
              <w:r>
                <w:rPr>
                  <w:rStyle w:val="InternetLink"/>
                  <w:rFonts w:ascii="Times New Roman;serif" w:hAnsi="Times New Roman;serif"/>
                  <w:b w:val="false"/>
                  <w:color w:val="000080"/>
                  <w:sz w:val="20"/>
                  <w:u w:val="single"/>
                </w:rPr>
                <w:t>, 2026 and 2025</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9">
              <w:r>
                <w:rPr>
                  <w:rStyle w:val="InternetLink"/>
                  <w:rFonts w:ascii="Times New Roman;serif" w:hAnsi="Times New Roman;serif"/>
                  <w:b w:val="false"/>
                  <w:color w:val="0000FF"/>
                  <w:sz w:val="20"/>
                  <w:u w:val="single"/>
                </w:rPr>
                <w:t>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22">
              <w:r>
                <w:rPr>
                  <w:rStyle w:val="InternetLink"/>
                  <w:rFonts w:ascii="Times New Roman;serif" w:hAnsi="Times New Roman;serif"/>
                  <w:b w:val="false"/>
                  <w:color w:val="000080"/>
                  <w:sz w:val="20"/>
                  <w:u w:val="single"/>
                </w:rPr>
                <w:t>Condensed Consolidated Statements of Comprehensive Income for the Three</w:t>
              </w:r>
            </w:hyperlink>
            <w:hyperlink w:anchor="i8c9746fb7f0247ebabb0fa9ffaf201a7_22">
              <w:r>
                <w:rPr>
                  <w:rStyle w:val="InternetLink"/>
                  <w:rFonts w:ascii="Times New Roman;serif" w:hAnsi="Times New Roman;serif"/>
                  <w:b w:val="false"/>
                  <w:color w:val="000080"/>
                  <w:sz w:val="20"/>
                  <w:u w:val="single"/>
                </w:rPr>
                <w:t xml:space="preserve"> and Six</w:t>
              </w:r>
            </w:hyperlink>
            <w:hyperlink w:anchor="i8c9746fb7f0247ebabb0fa9ffaf201a7_22">
              <w:r>
                <w:rPr>
                  <w:rStyle w:val="InternetLink"/>
                  <w:rFonts w:ascii="Times New Roman;serif" w:hAnsi="Times New Roman;serif"/>
                  <w:b w:val="false"/>
                  <w:color w:val="000080"/>
                  <w:sz w:val="20"/>
                  <w:u w:val="single"/>
                </w:rPr>
                <w:t xml:space="preserve"> </w:t>
              </w:r>
            </w:hyperlink>
            <w:hyperlink w:anchor="i8c9746fb7f0247ebabb0fa9ffaf201a7_22">
              <w:r>
                <w:rPr>
                  <w:rStyle w:val="InternetLink"/>
                  <w:rFonts w:ascii="Times New Roman;serif" w:hAnsi="Times New Roman;serif"/>
                  <w:b w:val="false"/>
                  <w:color w:val="000080"/>
                  <w:sz w:val="20"/>
                  <w:u w:val="single"/>
                </w:rPr>
                <w:t xml:space="preserve">Months Ended </w:t>
              </w:r>
            </w:hyperlink>
            <w:hyperlink w:anchor="i8c9746fb7f0247ebabb0fa9ffaf201a7_22">
              <w:r>
                <w:rPr>
                  <w:rStyle w:val="InternetLink"/>
                  <w:rFonts w:ascii="Times New Roman;serif" w:hAnsi="Times New Roman;serif"/>
                  <w:b w:val="false"/>
                  <w:color w:val="000080"/>
                  <w:sz w:val="20"/>
                  <w:u w:val="single"/>
                </w:rPr>
                <w:t>June</w:t>
              </w:r>
            </w:hyperlink>
            <w:hyperlink w:anchor="i8c9746fb7f0247ebabb0fa9ffaf201a7_22">
              <w:r>
                <w:rPr>
                  <w:rStyle w:val="InternetLink"/>
                  <w:rFonts w:ascii="Times New Roman;serif" w:hAnsi="Times New Roman;serif"/>
                  <w:b w:val="false"/>
                  <w:color w:val="000080"/>
                  <w:sz w:val="20"/>
                  <w:u w:val="single"/>
                </w:rPr>
                <w:t xml:space="preserve"> 3</w:t>
              </w:r>
            </w:hyperlink>
            <w:hyperlink w:anchor="i8c9746fb7f0247ebabb0fa9ffaf201a7_22">
              <w:r>
                <w:rPr>
                  <w:rStyle w:val="InternetLink"/>
                  <w:rFonts w:ascii="Times New Roman;serif" w:hAnsi="Times New Roman;serif"/>
                  <w:b w:val="false"/>
                  <w:color w:val="000080"/>
                  <w:sz w:val="20"/>
                  <w:u w:val="single"/>
                </w:rPr>
                <w:t>0</w:t>
              </w:r>
            </w:hyperlink>
            <w:hyperlink w:anchor="i8c9746fb7f0247ebabb0fa9ffaf201a7_22">
              <w:r>
                <w:rPr>
                  <w:rStyle w:val="InternetLink"/>
                  <w:rFonts w:ascii="Times New Roman;serif" w:hAnsi="Times New Roman;serif"/>
                  <w:b w:val="false"/>
                  <w:color w:val="000080"/>
                  <w:sz w:val="20"/>
                  <w:u w:val="single"/>
                </w:rPr>
                <w:t>, 2026 and 2025</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22">
              <w:r>
                <w:rPr>
                  <w:rStyle w:val="InternetLink"/>
                  <w:rFonts w:ascii="Times New Roman;serif" w:hAnsi="Times New Roman;serif"/>
                  <w:b w:val="false"/>
                  <w:color w:val="0000FF"/>
                  <w:sz w:val="20"/>
                  <w:u w:val="single"/>
                </w:rPr>
                <w:t>6</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25">
              <w:r>
                <w:rPr>
                  <w:rStyle w:val="InternetLink"/>
                  <w:rFonts w:ascii="Times New Roman;serif" w:hAnsi="Times New Roman;serif"/>
                  <w:b w:val="false"/>
                  <w:color w:val="000080"/>
                  <w:sz w:val="20"/>
                  <w:u w:val="single"/>
                </w:rPr>
                <w:t>Condensed Consolidated Statements of Shareholders' Equity for the Three</w:t>
              </w:r>
            </w:hyperlink>
            <w:hyperlink w:anchor="i8c9746fb7f0247ebabb0fa9ffaf201a7_25">
              <w:r>
                <w:rPr>
                  <w:rStyle w:val="InternetLink"/>
                  <w:rFonts w:ascii="Times New Roman;serif" w:hAnsi="Times New Roman;serif"/>
                  <w:b w:val="false"/>
                  <w:color w:val="000080"/>
                  <w:sz w:val="20"/>
                  <w:u w:val="single"/>
                </w:rPr>
                <w:t xml:space="preserve"> and Six</w:t>
              </w:r>
            </w:hyperlink>
            <w:hyperlink w:anchor="i8c9746fb7f0247ebabb0fa9ffaf201a7_25">
              <w:r>
                <w:rPr>
                  <w:rStyle w:val="InternetLink"/>
                  <w:rFonts w:ascii="Times New Roman;serif" w:hAnsi="Times New Roman;serif"/>
                  <w:b w:val="false"/>
                  <w:color w:val="000080"/>
                  <w:sz w:val="20"/>
                  <w:u w:val="single"/>
                </w:rPr>
                <w:t xml:space="preserve"> Months Ended </w:t>
              </w:r>
            </w:hyperlink>
            <w:hyperlink w:anchor="i8c9746fb7f0247ebabb0fa9ffaf201a7_25">
              <w:r>
                <w:rPr>
                  <w:rStyle w:val="InternetLink"/>
                  <w:rFonts w:ascii="Times New Roman;serif" w:hAnsi="Times New Roman;serif"/>
                  <w:b w:val="false"/>
                  <w:color w:val="000080"/>
                  <w:sz w:val="20"/>
                  <w:u w:val="single"/>
                </w:rPr>
                <w:t>June</w:t>
              </w:r>
            </w:hyperlink>
            <w:hyperlink w:anchor="i8c9746fb7f0247ebabb0fa9ffaf201a7_25">
              <w:r>
                <w:rPr>
                  <w:rStyle w:val="InternetLink"/>
                  <w:rFonts w:ascii="Times New Roman;serif" w:hAnsi="Times New Roman;serif"/>
                  <w:b w:val="false"/>
                  <w:color w:val="000080"/>
                  <w:sz w:val="20"/>
                  <w:u w:val="single"/>
                </w:rPr>
                <w:t xml:space="preserve"> 3</w:t>
              </w:r>
            </w:hyperlink>
            <w:hyperlink w:anchor="i8c9746fb7f0247ebabb0fa9ffaf201a7_25">
              <w:r>
                <w:rPr>
                  <w:rStyle w:val="InternetLink"/>
                  <w:rFonts w:ascii="Times New Roman;serif" w:hAnsi="Times New Roman;serif"/>
                  <w:b w:val="false"/>
                  <w:color w:val="000080"/>
                  <w:sz w:val="20"/>
                  <w:u w:val="single"/>
                </w:rPr>
                <w:t>0</w:t>
              </w:r>
            </w:hyperlink>
            <w:hyperlink w:anchor="i8c9746fb7f0247ebabb0fa9ffaf201a7_25">
              <w:r>
                <w:rPr>
                  <w:rStyle w:val="InternetLink"/>
                  <w:rFonts w:ascii="Times New Roman;serif" w:hAnsi="Times New Roman;serif"/>
                  <w:b w:val="false"/>
                  <w:color w:val="000080"/>
                  <w:sz w:val="20"/>
                  <w:u w:val="single"/>
                </w:rPr>
                <w:t>, 2026 and 2025</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25">
              <w:r>
                <w:rPr>
                  <w:rStyle w:val="InternetLink"/>
                  <w:rFonts w:ascii="Times New Roman;serif" w:hAnsi="Times New Roman;serif"/>
                  <w:b w:val="false"/>
                  <w:color w:val="0000FF"/>
                  <w:sz w:val="20"/>
                  <w:u w:val="single"/>
                </w:rPr>
                <w:t>7</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28">
              <w:r>
                <w:rPr>
                  <w:rStyle w:val="InternetLink"/>
                  <w:rFonts w:ascii="Times New Roman;serif" w:hAnsi="Times New Roman;serif"/>
                  <w:b w:val="false"/>
                  <w:color w:val="000080"/>
                  <w:sz w:val="20"/>
                  <w:u w:val="single"/>
                </w:rPr>
                <w:t xml:space="preserve">Condensed Consolidated Statements of Cash Flows for the </w:t>
              </w:r>
            </w:hyperlink>
            <w:hyperlink w:anchor="i8c9746fb7f0247ebabb0fa9ffaf201a7_28">
              <w:r>
                <w:rPr>
                  <w:rStyle w:val="InternetLink"/>
                  <w:rFonts w:ascii="Times New Roman;serif" w:hAnsi="Times New Roman;serif"/>
                  <w:b w:val="false"/>
                  <w:color w:val="000080"/>
                  <w:sz w:val="20"/>
                  <w:u w:val="single"/>
                </w:rPr>
                <w:t>Six</w:t>
              </w:r>
            </w:hyperlink>
            <w:hyperlink w:anchor="i8c9746fb7f0247ebabb0fa9ffaf201a7_28">
              <w:r>
                <w:rPr>
                  <w:rStyle w:val="InternetLink"/>
                  <w:rFonts w:ascii="Times New Roman;serif" w:hAnsi="Times New Roman;serif"/>
                  <w:b w:val="false"/>
                  <w:color w:val="000080"/>
                  <w:sz w:val="20"/>
                  <w:u w:val="single"/>
                </w:rPr>
                <w:t xml:space="preserve"> Months Ended </w:t>
              </w:r>
            </w:hyperlink>
            <w:hyperlink w:anchor="i8c9746fb7f0247ebabb0fa9ffaf201a7_28">
              <w:r>
                <w:rPr>
                  <w:rStyle w:val="InternetLink"/>
                  <w:rFonts w:ascii="Times New Roman;serif" w:hAnsi="Times New Roman;serif"/>
                  <w:b w:val="false"/>
                  <w:color w:val="000080"/>
                  <w:sz w:val="20"/>
                  <w:u w:val="single"/>
                </w:rPr>
                <w:t>June</w:t>
              </w:r>
            </w:hyperlink>
            <w:hyperlink w:anchor="i8c9746fb7f0247ebabb0fa9ffaf201a7_28">
              <w:r>
                <w:rPr>
                  <w:rStyle w:val="InternetLink"/>
                  <w:rFonts w:ascii="Times New Roman;serif" w:hAnsi="Times New Roman;serif"/>
                  <w:b w:val="false"/>
                  <w:color w:val="000080"/>
                  <w:sz w:val="20"/>
                  <w:u w:val="single"/>
                </w:rPr>
                <w:t xml:space="preserve"> 3</w:t>
              </w:r>
            </w:hyperlink>
            <w:hyperlink w:anchor="i8c9746fb7f0247ebabb0fa9ffaf201a7_28">
              <w:r>
                <w:rPr>
                  <w:rStyle w:val="InternetLink"/>
                  <w:rFonts w:ascii="Times New Roman;serif" w:hAnsi="Times New Roman;serif"/>
                  <w:b w:val="false"/>
                  <w:color w:val="000080"/>
                  <w:sz w:val="20"/>
                  <w:u w:val="single"/>
                </w:rPr>
                <w:t>0</w:t>
              </w:r>
            </w:hyperlink>
            <w:hyperlink w:anchor="i8c9746fb7f0247ebabb0fa9ffaf201a7_28">
              <w:r>
                <w:rPr>
                  <w:rStyle w:val="InternetLink"/>
                  <w:rFonts w:ascii="Times New Roman;serif" w:hAnsi="Times New Roman;serif"/>
                  <w:b w:val="false"/>
                  <w:color w:val="000080"/>
                  <w:sz w:val="20"/>
                  <w:u w:val="single"/>
                </w:rPr>
                <w:t>, 2026 and 2025</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28">
              <w:r>
                <w:rPr>
                  <w:rStyle w:val="InternetLink"/>
                  <w:rFonts w:ascii="Times New Roman;serif" w:hAnsi="Times New Roman;serif"/>
                  <w:b w:val="false"/>
                  <w:color w:val="0000FF"/>
                  <w:sz w:val="20"/>
                  <w:u w:val="single"/>
                </w:rPr>
                <w:t>9</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31">
              <w:r>
                <w:rPr>
                  <w:rStyle w:val="InternetLink"/>
                  <w:rFonts w:ascii="Times New Roman;serif" w:hAnsi="Times New Roman;serif"/>
                  <w:b w:val="false"/>
                  <w:color w:val="0000FF"/>
                  <w:sz w:val="20"/>
                  <w:u w:val="single"/>
                </w:rPr>
                <w:t>Notes to Condensed Consolidated Financial Statements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31">
              <w:r>
                <w:rPr>
                  <w:rStyle w:val="InternetLink"/>
                  <w:rFonts w:ascii="Times New Roman;serif" w:hAnsi="Times New Roman;serif"/>
                  <w:b w:val="false"/>
                  <w:color w:val="0000FF"/>
                  <w:sz w:val="20"/>
                  <w:u w:val="single"/>
                </w:rPr>
                <w:t>10</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79">
              <w:r>
                <w:rPr>
                  <w:rStyle w:val="InternetLink"/>
                  <w:rFonts w:ascii="Times New Roman;serif" w:hAnsi="Times New Roman;serif"/>
                  <w:b w:val="false"/>
                  <w:color w:val="0000FF"/>
                  <w:sz w:val="20"/>
                  <w:u w:val="single"/>
                </w:rPr>
                <w:t>Item 2.</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79">
              <w:r>
                <w:rPr>
                  <w:rStyle w:val="InternetLink"/>
                  <w:rFonts w:ascii="Times New Roman;serif" w:hAnsi="Times New Roman;serif"/>
                  <w:b w:val="false"/>
                  <w:color w:val="0000FF"/>
                  <w:sz w:val="20"/>
                  <w:u w:val="single"/>
                </w:rPr>
                <w:t>29</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97">
              <w:r>
                <w:rPr>
                  <w:rStyle w:val="InternetLink"/>
                  <w:rFonts w:ascii="Times New Roman;serif" w:hAnsi="Times New Roman;serif"/>
                  <w:b w:val="false"/>
                  <w:color w:val="0000FF"/>
                  <w:sz w:val="20"/>
                  <w:u w:val="single"/>
                </w:rPr>
                <w:t>Item 3.</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97">
              <w:r>
                <w:rPr>
                  <w:rStyle w:val="InternetLink"/>
                  <w:rFonts w:ascii="Times New Roman;serif" w:hAnsi="Times New Roman;serif"/>
                  <w:b w:val="false"/>
                  <w:color w:val="0000FF"/>
                  <w:sz w:val="20"/>
                  <w:u w:val="single"/>
                </w:rPr>
                <w:t>Quantitative and Qualitative Disclosures About Market Risk</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97">
              <w:r>
                <w:rPr>
                  <w:rStyle w:val="InternetLink"/>
                  <w:rFonts w:ascii="Times New Roman;serif" w:hAnsi="Times New Roman;serif"/>
                  <w:b w:val="false"/>
                  <w:color w:val="0000FF"/>
                  <w:sz w:val="20"/>
                  <w:u w:val="single"/>
                </w:rPr>
                <w:t>55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0">
              <w:r>
                <w:rPr>
                  <w:rStyle w:val="InternetLink"/>
                  <w:rFonts w:ascii="Times New Roman;serif" w:hAnsi="Times New Roman;serif"/>
                  <w:b w:val="false"/>
                  <w:color w:val="0000FF"/>
                  <w:sz w:val="20"/>
                  <w:u w:val="single"/>
                </w:rPr>
                <w:t>Item 4.</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0">
              <w:r>
                <w:rPr>
                  <w:rStyle w:val="InternetLink"/>
                  <w:rFonts w:ascii="Times New Roman;serif" w:hAnsi="Times New Roman;serif"/>
                  <w:b w:val="false"/>
                  <w:color w:val="0000FF"/>
                  <w:sz w:val="20"/>
                  <w:u w:val="single"/>
                </w:rPr>
                <w:t>Controls and Procedures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00">
              <w:r>
                <w:rPr>
                  <w:rStyle w:val="InternetLink"/>
                  <w:rFonts w:ascii="Times New Roman;serif" w:hAnsi="Times New Roman;serif"/>
                  <w:b w:val="false"/>
                  <w:color w:val="0000FF"/>
                  <w:sz w:val="20"/>
                  <w:u w:val="single"/>
                </w:rPr>
                <w:t>56</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6">
              <w:r>
                <w:rPr>
                  <w:rStyle w:val="InternetLink"/>
                  <w:rFonts w:ascii="Times New Roman;serif" w:hAnsi="Times New Roman;serif"/>
                  <w:b w:val="false"/>
                  <w:color w:val="0000FF"/>
                  <w:sz w:val="20"/>
                  <w:u w:val="single"/>
                </w:rPr>
                <w:t>Item 1.</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6">
              <w:r>
                <w:rPr>
                  <w:rStyle w:val="InternetLink"/>
                  <w:rFonts w:ascii="Times New Roman;serif" w:hAnsi="Times New Roman;serif"/>
                  <w:b w:val="false"/>
                  <w:color w:val="0000FF"/>
                  <w:sz w:val="20"/>
                  <w:u w:val="single"/>
                </w:rPr>
                <w:t>Legal Proceedings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06">
              <w:r>
                <w:rPr>
                  <w:rStyle w:val="InternetLink"/>
                  <w:rFonts w:ascii="Times New Roman;serif" w:hAnsi="Times New Roman;serif"/>
                  <w:b w:val="false"/>
                  <w:color w:val="0000FF"/>
                  <w:sz w:val="20"/>
                  <w:u w:val="single"/>
                </w:rPr>
                <w:t>56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9">
              <w:r>
                <w:rPr>
                  <w:rStyle w:val="InternetLink"/>
                  <w:rFonts w:ascii="Times New Roman;serif" w:hAnsi="Times New Roman;serif"/>
                  <w:b w:val="false"/>
                  <w:color w:val="0000FF"/>
                  <w:sz w:val="20"/>
                  <w:u w:val="single"/>
                </w:rPr>
                <w:t>Item 1A.</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09">
              <w:r>
                <w:rPr>
                  <w:rStyle w:val="InternetLink"/>
                  <w:rFonts w:ascii="Times New Roman;serif" w:hAnsi="Times New Roman;serif"/>
                  <w:b w:val="false"/>
                  <w:color w:val="0000FF"/>
                  <w:sz w:val="20"/>
                  <w:u w:val="single"/>
                </w:rPr>
                <w:t>Risk Factors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09">
              <w:r>
                <w:rPr>
                  <w:rStyle w:val="InternetLink"/>
                  <w:rFonts w:ascii="Times New Roman;serif" w:hAnsi="Times New Roman;serif"/>
                  <w:b w:val="false"/>
                  <w:color w:val="0000FF"/>
                  <w:sz w:val="20"/>
                  <w:u w:val="single"/>
                </w:rPr>
                <w:t>56</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2">
              <w:r>
                <w:rPr>
                  <w:rStyle w:val="InternetLink"/>
                  <w:rFonts w:ascii="Times New Roman;serif" w:hAnsi="Times New Roman;serif"/>
                  <w:b w:val="false"/>
                  <w:color w:val="0000FF"/>
                  <w:sz w:val="20"/>
                  <w:u w:val="single"/>
                </w:rPr>
                <w:t>Item 2.</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2">
              <w:r>
                <w:rPr>
                  <w:rStyle w:val="InternetLink"/>
                  <w:rFonts w:ascii="Times New Roman;serif" w:hAnsi="Times New Roman;serif"/>
                  <w:b w:val="false"/>
                  <w:color w:val="0000FF"/>
                  <w:sz w:val="20"/>
                  <w:u w:val="single"/>
                </w:rPr>
                <w:t>Unregistered Sales of Equity Securities and Use of Proceeds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12">
              <w:r>
                <w:rPr>
                  <w:rStyle w:val="InternetLink"/>
                  <w:rFonts w:ascii="Times New Roman;serif" w:hAnsi="Times New Roman;serif"/>
                  <w:b w:val="false"/>
                  <w:color w:val="0000FF"/>
                  <w:sz w:val="20"/>
                  <w:u w:val="single"/>
                </w:rPr>
                <w:t>57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5">
              <w:r>
                <w:rPr>
                  <w:rStyle w:val="InternetLink"/>
                  <w:rFonts w:ascii="Times New Roman;serif" w:hAnsi="Times New Roman;serif"/>
                  <w:b w:val="false"/>
                  <w:color w:val="0000FF"/>
                  <w:sz w:val="20"/>
                  <w:u w:val="single"/>
                </w:rPr>
                <w:t>Item 5.</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5">
              <w:r>
                <w:rPr>
                  <w:rStyle w:val="InternetLink"/>
                  <w:rFonts w:ascii="Times New Roman;serif" w:hAnsi="Times New Roman;serif"/>
                  <w:b w:val="false"/>
                  <w:color w:val="0000FF"/>
                  <w:sz w:val="20"/>
                  <w:u w:val="single"/>
                </w:rPr>
                <w:t>Other Information</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15">
              <w:r>
                <w:rPr>
                  <w:rStyle w:val="InternetLink"/>
                  <w:rFonts w:ascii="Times New Roman;serif" w:hAnsi="Times New Roman;serif"/>
                  <w:b w:val="false"/>
                  <w:color w:val="0000FF"/>
                  <w:sz w:val="20"/>
                  <w:u w:val="single"/>
                </w:rPr>
                <w:t>57</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8">
              <w:r>
                <w:rPr>
                  <w:rStyle w:val="InternetLink"/>
                  <w:rFonts w:ascii="Times New Roman;serif" w:hAnsi="Times New Roman;serif"/>
                  <w:b w:val="false"/>
                  <w:color w:val="0000FF"/>
                  <w:sz w:val="20"/>
                  <w:u w:val="single"/>
                </w:rPr>
                <w:t>Item 6.</w:t>
              </w:r>
            </w:hyperlink>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18">
              <w:r>
                <w:rPr>
                  <w:rStyle w:val="InternetLink"/>
                  <w:rFonts w:ascii="Times New Roman;serif" w:hAnsi="Times New Roman;serif"/>
                  <w:b w:val="false"/>
                  <w:color w:val="0000FF"/>
                  <w:sz w:val="20"/>
                  <w:u w:val="single"/>
                </w:rPr>
                <w:t>Exhibits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18">
              <w:r>
                <w:rPr>
                  <w:rStyle w:val="InternetLink"/>
                  <w:rFonts w:ascii="Times New Roman;serif" w:hAnsi="Times New Roman;serif"/>
                  <w:b w:val="false"/>
                  <w:color w:val="0000FF"/>
                  <w:sz w:val="20"/>
                  <w:u w:val="single"/>
                </w:rPr>
                <w:t>58</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9746fb7f0247ebabb0fa9ffaf201a7_121">
              <w:r>
                <w:rPr>
                  <w:rStyle w:val="InternetLink"/>
                  <w:rFonts w:ascii="Times New Roman;serif" w:hAnsi="Times New Roman;serif"/>
                  <w:b w:val="false"/>
                  <w:color w:val="0000FF"/>
                  <w:sz w:val="20"/>
                  <w:u w:val="single"/>
                </w:rPr>
                <w:t>Signatures</w:t>
              </w:r>
            </w:hyperlink>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9746fb7f0247ebabb0fa9ffaf201a7_121">
              <w:r>
                <w:rPr>
                  <w:rStyle w:val="InternetLink"/>
                  <w:rFonts w:ascii="Times New Roman;serif" w:hAnsi="Times New Roman;serif"/>
                  <w:b w:val="false"/>
                  <w:color w:val="0000FF"/>
                  <w:sz w:val="20"/>
                  <w:u w:val="single"/>
                </w:rPr>
                <w:t>59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ASBURY AUTOMOTIVE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and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27"/>
        <w:gridCol w:w="2325"/>
        <w:gridCol w:w="2214"/>
        <w:gridCol w:w="211"/>
        <w:gridCol w:w="871"/>
        <w:gridCol w:w="109"/>
        <w:gridCol w:w="109"/>
        <w:gridCol w:w="109"/>
        <w:gridCol w:w="109"/>
        <w:gridCol w:w="242"/>
        <w:gridCol w:w="1000"/>
        <w:gridCol w:w="179"/>
      </w:tblGrid>
      <w:tr>
        <w:trPr/>
        <w:tc>
          <w:tcPr>
            <w:tcW w:w="272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payable—non-trade,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$.01 par value; 10,000,000 shares authorized; none issued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90,000,000 shares authorized; 40,099,276 and 41,338,419 shares issued, including shares held in treasury,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22,147,927 and 22,109,690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95"/>
        <w:gridCol w:w="1270"/>
        <w:gridCol w:w="1279"/>
        <w:gridCol w:w="252"/>
        <w:gridCol w:w="916"/>
        <w:gridCol w:w="129"/>
        <w:gridCol w:w="129"/>
        <w:gridCol w:w="129"/>
        <w:gridCol w:w="129"/>
        <w:gridCol w:w="252"/>
        <w:gridCol w:w="916"/>
        <w:gridCol w:w="129"/>
        <w:gridCol w:w="109"/>
        <w:gridCol w:w="109"/>
        <w:gridCol w:w="109"/>
        <w:gridCol w:w="235"/>
        <w:gridCol w:w="857"/>
        <w:gridCol w:w="121"/>
        <w:gridCol w:w="121"/>
        <w:gridCol w:w="121"/>
        <w:gridCol w:w="121"/>
        <w:gridCol w:w="235"/>
        <w:gridCol w:w="857"/>
        <w:gridCol w:w="185"/>
      </w:tblGrid>
      <w:tr>
        <w:trPr/>
        <w:tc>
          <w:tcPr>
            <w:tcW w:w="149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r>
    </w:tbl>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color w:val="000000"/>
        </w:rPr>
      </w:pPr>
      <w:r>
        <w:rPr>
          <w:color w:val="000000"/>
        </w:rPr>
        <w:t> </w:t>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5"/>
        <w:gridCol w:w="1417"/>
        <w:gridCol w:w="1429"/>
        <w:gridCol w:w="260"/>
        <w:gridCol w:w="761"/>
        <w:gridCol w:w="134"/>
        <w:gridCol w:w="134"/>
        <w:gridCol w:w="134"/>
        <w:gridCol w:w="134"/>
        <w:gridCol w:w="260"/>
        <w:gridCol w:w="761"/>
        <w:gridCol w:w="134"/>
        <w:gridCol w:w="109"/>
        <w:gridCol w:w="109"/>
        <w:gridCol w:w="109"/>
        <w:gridCol w:w="247"/>
        <w:gridCol w:w="722"/>
        <w:gridCol w:w="127"/>
        <w:gridCol w:w="127"/>
        <w:gridCol w:w="127"/>
        <w:gridCol w:w="127"/>
        <w:gridCol w:w="247"/>
        <w:gridCol w:w="722"/>
        <w:gridCol w:w="189"/>
      </w:tblGrid>
      <w:tr>
        <w:trPr/>
        <w:tc>
          <w:tcPr>
            <w:tcW w:w="168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 flow swaps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associated with cash flow swaps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available-for-sale debt securities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associated with available-for-sale debt securities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41,338,419 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22,109,690 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$0.4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changes in fair value of debt securities, net of reclassification adjustment and $1.0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40,764,588 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22,147,110 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$1.2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changes in fair value of debt securities, net of reclassification adjustment and $0.3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40,099,276 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22,147,927 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41,649,426 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22,065,478 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$3.5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changes in fair value of debt securities, net of reclassification adjustment and $0.9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41,767,418 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22,108,258 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$2.1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changes in fair value of debt securities, net of reclassification adjustment and $0.3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41,768,966 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22,108,904 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28" w:type="dxa"/>
        <w:jc w:val="center"/>
        <w:tblInd w:w="0" w:type="dxa"/>
        <w:tblLayout w:type="fixed"/>
        <w:tblCellMar>
          <w:top w:w="28" w:type="dxa"/>
          <w:left w:w="28" w:type="dxa"/>
          <w:bottom w:w="28" w:type="dxa"/>
          <w:right w:w="28" w:type="dxa"/>
        </w:tblCellMar>
      </w:tblPr>
      <w:tblGrid>
        <w:gridCol w:w="2483"/>
        <w:gridCol w:w="2180"/>
        <w:gridCol w:w="2192"/>
        <w:gridCol w:w="270"/>
        <w:gridCol w:w="790"/>
        <w:gridCol w:w="139"/>
        <w:gridCol w:w="139"/>
        <w:gridCol w:w="139"/>
        <w:gridCol w:w="139"/>
        <w:gridCol w:w="270"/>
        <w:gridCol w:w="790"/>
        <w:gridCol w:w="197"/>
      </w:tblGrid>
      <w:tr>
        <w:trPr/>
        <w:tc>
          <w:tcPr>
            <w:tcW w:w="248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 vehicle amortization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right-of-use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divestitures—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and liabilities,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expenditures—excluding real estate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expenditures—real estate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dealership divestitures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securities—available-for-sale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debt securities—available-for-sale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disposition of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borrowings—non-trade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repayments—non-trade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repayments—divestitures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of common stock, associated with net share settlements of </w:t>
              <w:br/>
              <w:t>employee share-based awards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See Note 11 "Supplemental Cash Flow Information" for further details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("we," "us," "our," "Asbury" or the "Company"), a Delaware corporation organized in 2002, is one of the largest automotive retailers in the United States. Our store operations are conducted by our subsidiaries.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and operated 202 new vehicle franchises (158 dealership locations), representing 34 brands of automobiles, and 37 collision centers in 14 states. For the six months ended June 30, 2026, our new vehicle revenue brand mix consisted of 41% imports, 33% luxury and 26%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F&amp;I products are provided by Total Care Auto, Powered by Asbury ("TCA"), our F&amp;I product provider, and independent third parties. The Company reflects its operations in two reportable segments: Dealerships and TCA.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("GAAP"), and reflect the consolidated accounts of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consisting only of normal, recurring adjustments, considered necessary for a fair statement of the condensed consolidated financial statements as of June 30, 2026, and for the three and six months ended June 30, 2026 and 2025, have been included, unless otherwise indicated. Amounts presented in the condensed consolidated financial statements have been calculated using non-rounded amounts for all periods presented and therefore certain amounts may not compute.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2025.</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condensed consolidated financial statements include, but are not limited to, those relating to inventory valuation reserves, reserves for chargebacks against revenue recognized from the sale of F&amp;I products, reserves for self-insurance programs, and certain assumptions related to goodwill and dealership franchise rights intangible assets.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Company’s share repurchase program, share repurchases may be made from time to 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repurchased and retired 668,116 and 1,346,359 shares of our common stock under our share repurchase program, respectively. The cash paid for these share repurchases was $130.6 million and $277.6 million for the three and six months ended June 30, 2026, respectively. There were no share repurchases or retirements during the three and six months ended June 30, 2025. </w:t>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repurchased 817 and 646 shares of our common stock for $0.1 million and $0.2 million, respectively, from employees in connection with a net share settlement feature of employee equity-based awards. During the six months ended June 30, 2026 and June 30, 2025, the Company repurchased 38,237 and 43,426 shares of our common stock for $9.9 million and $12.7 million, respectively, from employees in connection with a net share settlement feature of employee equity-based awards.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announced that its Board of Directors approved an increase of $424.0 million in the Company's share repurchase authorization to $500.0 million (the "New Share Repurchase Authorization"). As of June 30, 2026, the Company had $322.4 million remaining on its share repurchase authorization. The share repurchase authorization does not require the Company to repurchase any specific number of shares, and may be modified, suspended, or terminated at any time without further notice.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9,707 and 7,829 restricted share units and 103 and 11 performance share units issued under the Asbury Automotive Group, Inc. 2019 Equity and Incentive Compensation Plan from its computation of diluted earnings per share for the three months ended June 30, 2026 and 2025, respectively, because they were anti-dilutive. During the six months ended June 30, 2026 and 2025, the Company excluded 9,031 and 7,630 restricted share units and zero and 14 performance share units issued under the Asbury Automotive Group, Inc. 2019 Equity and Incentive Compensation Plan from its computation of diluted earnings per share, respectively, because they were anti-dilutive. For all periods presented, there were no adjustments to the numerator necessary to compute diluted earnings per share.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In November 2025, the Financial Accounting Standards Board ("FASB") issued Accounting Standards Update ("ASU") 2025-09, </w:t>
      </w:r>
      <w:r>
        <w:rPr>
          <w:rFonts w:ascii="Times New Roman;serif" w:hAnsi="Times New Roman;serif"/>
          <w:b w:val="false"/>
          <w:i/>
          <w:color w:val="000000"/>
          <w:sz w:val="20"/>
        </w:rPr>
        <w:t>Derivatives and Hedging (Topic 815) - Hedge Accounting Improvements</w:t>
      </w:r>
      <w:r>
        <w:rPr>
          <w:rFonts w:ascii="Times New Roman;serif" w:hAnsi="Times New Roman;serif"/>
          <w:b w:val="false"/>
          <w:color w:val="000000"/>
          <w:sz w:val="20"/>
        </w:rPr>
        <w:t>. The ASU is intended to simplify and clarify hedge accounting under ASC 815 and improves the alignment of hedge results with risk-management activities. The standard will be effective for fiscal years beginning after December 15, 2026, and interim periods within those annual reporting periods. We are evaluating the impact of this new guidance on our consolidated financial statements.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in September 2025, which is intended to modernize the internal-use software guidance to adapt to the agile (i.e. iterative and flexible) basis predominantly employed to develop software today. The new standard amends the recognition threshold for capitalizing internal-use software costs and clarifies the presentation and disclosure requirements associated with internal-use software. The guidance is effective for interim and annual periods beginning after December 15, 2027, and may be applied prospectively, retrospectively or on a modified prospective basis. We are evaluating the impact of this new guidance on our consolidated financial statements.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Measurement of Credit Losses for Accounts Receivable and Contract Assets. </w:t>
      </w:r>
      <w:r>
        <w:rPr>
          <w:rFonts w:ascii="Times New Roman;serif" w:hAnsi="Times New Roman;serif"/>
          <w:b w:val="false"/>
          <w:color w:val="000000"/>
          <w:sz w:val="20"/>
        </w:rPr>
        <w:t>The standard provides a practical expedient related to the estimation of expected credit losses for current accounts receivable and current contract assets. The practical expedient assumes that conditions as of the balance sheet date do not change for the remaining life of the accounts receivable and contract assets when forecasting estimated credit losses. An entity is required to disclose whether it has applied the practical expedient. The guidance is effective for interim and annual periods beginning after December 15, 2025, and should be applied prospectively. We adopted this guidance as of January 1, 2026 and elected the practical expedient as described in ASU 2025-05. The impact of adopting this new guidance on our consolidated financial statements is not material.</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Disaggregation – Income Statement Expenses</w:t>
      </w:r>
      <w:r>
        <w:rPr>
          <w:rFonts w:ascii="Times New Roman;serif" w:hAnsi="Times New Roman;serif"/>
          <w:b w:val="false"/>
          <w:color w:val="000000"/>
          <w:sz w:val="20"/>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interim periods beginning after December 15, 2027, and should be applied prospectively with the option of retrospective application. We are evaluating the impact of this new guidance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80" w:after="18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 consists of the following:</w:t>
      </w:r>
    </w:p>
    <w:tbl>
      <w:tblPr>
        <w:tblW w:w="6461" w:type="dxa"/>
        <w:jc w:val="left"/>
        <w:tblInd w:w="0" w:type="dxa"/>
        <w:tblLayout w:type="fixed"/>
        <w:tblCellMar>
          <w:top w:w="28" w:type="dxa"/>
          <w:left w:w="28" w:type="dxa"/>
          <w:bottom w:w="28" w:type="dxa"/>
          <w:right w:w="28" w:type="dxa"/>
        </w:tblCellMar>
      </w:tblPr>
      <w:tblGrid>
        <w:gridCol w:w="1218"/>
        <w:gridCol w:w="1076"/>
        <w:gridCol w:w="1080"/>
        <w:gridCol w:w="256"/>
        <w:gridCol w:w="930"/>
        <w:gridCol w:w="132"/>
        <w:gridCol w:w="132"/>
        <w:gridCol w:w="132"/>
        <w:gridCol w:w="132"/>
        <w:gridCol w:w="256"/>
        <w:gridCol w:w="930"/>
        <w:gridCol w:w="187"/>
      </w:tblGrid>
      <w:tr>
        <w:trPr/>
        <w:tc>
          <w:tcPr>
            <w:tcW w:w="121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and used vehicle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vehicle parts and accessories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repair and maintenance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50" w:type="dxa"/>
        <w:jc w:val="left"/>
        <w:tblInd w:w="0" w:type="dxa"/>
        <w:tblLayout w:type="fixed"/>
        <w:tblCellMar>
          <w:top w:w="28" w:type="dxa"/>
          <w:left w:w="28" w:type="dxa"/>
          <w:bottom w:w="28" w:type="dxa"/>
          <w:right w:w="28" w:type="dxa"/>
        </w:tblCellMar>
      </w:tblPr>
      <w:tblGrid>
        <w:gridCol w:w="1218"/>
        <w:gridCol w:w="1076"/>
        <w:gridCol w:w="1080"/>
        <w:gridCol w:w="238"/>
        <w:gridCol w:w="867"/>
        <w:gridCol w:w="123"/>
        <w:gridCol w:w="123"/>
        <w:gridCol w:w="123"/>
        <w:gridCol w:w="123"/>
        <w:gridCol w:w="238"/>
        <w:gridCol w:w="867"/>
        <w:gridCol w:w="174"/>
      </w:tblGrid>
      <w:tr>
        <w:trPr/>
        <w:tc>
          <w:tcPr>
            <w:tcW w:w="121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and used vehicle</w:t>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vehicle parts and accessories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repair and maintenance services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services</w:t>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44"/>
        <w:gridCol w:w="1077"/>
        <w:gridCol w:w="1080"/>
        <w:gridCol w:w="466"/>
        <w:gridCol w:w="1129"/>
        <w:gridCol w:w="243"/>
        <w:gridCol w:w="109"/>
        <w:gridCol w:w="109"/>
        <w:gridCol w:w="109"/>
        <w:gridCol w:w="346"/>
        <w:gridCol w:w="839"/>
        <w:gridCol w:w="180"/>
        <w:gridCol w:w="109"/>
        <w:gridCol w:w="109"/>
        <w:gridCol w:w="109"/>
        <w:gridCol w:w="345"/>
        <w:gridCol w:w="1009"/>
        <w:gridCol w:w="180"/>
        <w:gridCol w:w="109"/>
        <w:gridCol w:w="109"/>
        <w:gridCol w:w="109"/>
        <w:gridCol w:w="211"/>
        <w:gridCol w:w="616"/>
        <w:gridCol w:w="159"/>
      </w:tblGrid>
      <w:tr>
        <w:trPr/>
        <w:tc>
          <w:tcPr>
            <w:tcW w:w="134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Vehicle Repair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and Insurance,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Sales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December 31, 2025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(long-term), December 31, 2025</w:t>
            </w:r>
          </w:p>
        </w:tc>
        <w:tc>
          <w:tcPr>
            <w:tcW w:w="4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January 1, 2026</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 from contract assets recognized at the beginning of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revenue recognized, inclusive of adjustments to constraint, during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March 31, 2026</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 from contract assets recognized at the beginning of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revenue recognized, inclusive of adjustments to constraint, during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June 30, 2026</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June 30, 2026</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(long-term), June 30, 2026</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reflects $862.4 million and $828.2 million of total deferred revenue as of June 30, 2026 and December 31, 2025, respectively. Approximately $136.9 million of deferred revenue at December 31, 2025 was recorded in finance and insurance, net revenue in the condensed consolidated statements of income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lineRule="auto" w:line="288" w:before="180" w:after="180"/>
        <w:ind w:left="0" w:right="0" w:firstLine="315"/>
        <w:jc w:val="left"/>
        <w:rPr>
          <w:rFonts w:ascii="Times New Roman;serif" w:hAnsi="Times New Roman;serif"/>
          <w:b/>
          <w:color w:val="000000"/>
          <w:sz w:val="20"/>
        </w:rPr>
      </w:pPr>
      <w:r>
        <w:rPr>
          <w:rFonts w:ascii="Times New Roman;serif" w:hAnsi="Times New Roman;serif"/>
          <w:b/>
          <w:color w:val="000000"/>
          <w:sz w:val="20"/>
        </w:rPr>
        <w:t>Herb Chambers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21, 2025, we completed the acquisition of The Herb Chambers Companies (collectively, the "Businesses"). The Herb Chambers acquisition continues Asbury's geographic expansion into the northeast region of the United States.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Herb Chambers acquisition, we acquired substantially all of the assets of the Businesses, including the real property related thereto, for a total preliminary purchase price of approximately $1.76 billion, which includes $292.0 million of new vehicle floor plan financing, $300.0 million of used vehicle financing, $623.3 million of borrowing under a revolving credit facility, and $546.5 million of borrowing under a real estate facility. The Businesses comprise 33 dealerships, 52 franchises and three collision centers. The Businesses are included within our Dealerships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sources of the preliminary purchase consideration are as follows:</w:t>
      </w:r>
    </w:p>
    <w:tbl>
      <w:tblPr>
        <w:tblW w:w="3880" w:type="dxa"/>
        <w:jc w:val="left"/>
        <w:tblInd w:w="0" w:type="dxa"/>
        <w:tblLayout w:type="fixed"/>
        <w:tblCellMar>
          <w:top w:w="28" w:type="dxa"/>
          <w:left w:w="28" w:type="dxa"/>
          <w:bottom w:w="28" w:type="dxa"/>
          <w:right w:w="28" w:type="dxa"/>
        </w:tblCellMar>
      </w:tblPr>
      <w:tblGrid>
        <w:gridCol w:w="956"/>
        <w:gridCol w:w="838"/>
        <w:gridCol w:w="846"/>
        <w:gridCol w:w="109"/>
        <w:gridCol w:w="211"/>
        <w:gridCol w:w="76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preliminary estimates of fair value:</w:t>
      </w:r>
    </w:p>
    <w:tbl>
      <w:tblPr>
        <w:tblW w:w="5860" w:type="dxa"/>
        <w:jc w:val="left"/>
        <w:tblInd w:w="0" w:type="dxa"/>
        <w:tblLayout w:type="fixed"/>
        <w:tblCellMar>
          <w:top w:w="28" w:type="dxa"/>
          <w:left w:w="28" w:type="dxa"/>
          <w:bottom w:w="28" w:type="dxa"/>
          <w:right w:w="28" w:type="dxa"/>
        </w:tblCellMar>
      </w:tblPr>
      <w:tblGrid>
        <w:gridCol w:w="1674"/>
        <w:gridCol w:w="1468"/>
        <w:gridCol w:w="1478"/>
        <w:gridCol w:w="109"/>
        <w:gridCol w:w="211"/>
        <w:gridCol w:w="76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values of the assets acquired and liabilities assumed and the related preliminary acquisition accounting are based on management’s estimates and assumptions, as well as other information compiled by management, including the books and records of the Businesses. We believe that the information gathered to date provides a reasonable basis for estimating the fair values of assets acquired and liabilities assumed. We continue to obtain and analyze information related to the estimated values of vehicle inventory to finalize the settlement of the due to/due from balances with the seller; therefore, the allocation of the purchase price remains preliminary and subject to revision during the measurement period, not to exceed one year from the acquisition date. Measurement period adjustments recorded during the three and six months ended June 30, 2026 and their related effects on our condensed consolidated statements of income and condensed consolidated balance sheet were not material.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Approximately $428.5 million of the purchase price was assigned to the indefinite lived franchise rights intangible assets related to the dealer agreements applicable to each new vehicle dealership. In addition, goodwill of $343.0 million was recognized and is primarily attributable to the anticipated synergies that Asbury expects to derive from the Herb Chambers acquisition as well as the acquired assembled workforce of the Businesses.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Goodwill and manufacturer franchise rights associated with our Dealerships segment acquisitions are deductible for federal and state income tax purposes ratably over a 15-year period.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statements of income for the six months ended June 30, 2026 included revenue and net income attributable to the Businesses of $1.19 billion and $34.2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acquisitions during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Divestitures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divestitures during the three months ended June 30, 2026. During the six months ended June 30, 2026, we sold the following franchises:</w:t>
      </w:r>
    </w:p>
    <w:tbl>
      <w:tblPr>
        <w:tblW w:w="7373" w:type="dxa"/>
        <w:jc w:val="left"/>
        <w:tblInd w:w="0" w:type="dxa"/>
        <w:tblLayout w:type="fixed"/>
        <w:tblCellMar>
          <w:top w:w="28" w:type="dxa"/>
          <w:left w:w="28" w:type="dxa"/>
          <w:bottom w:w="28" w:type="dxa"/>
          <w:right w:w="28" w:type="dxa"/>
        </w:tblCellMar>
      </w:tblPr>
      <w:tblGrid>
        <w:gridCol w:w="803"/>
        <w:gridCol w:w="707"/>
        <w:gridCol w:w="710"/>
        <w:gridCol w:w="109"/>
        <w:gridCol w:w="109"/>
        <w:gridCol w:w="109"/>
        <w:gridCol w:w="340"/>
        <w:gridCol w:w="340"/>
        <w:gridCol w:w="341"/>
        <w:gridCol w:w="109"/>
        <w:gridCol w:w="109"/>
        <w:gridCol w:w="109"/>
        <w:gridCol w:w="315"/>
        <w:gridCol w:w="315"/>
        <w:gridCol w:w="316"/>
        <w:gridCol w:w="109"/>
        <w:gridCol w:w="109"/>
        <w:gridCol w:w="109"/>
        <w:gridCol w:w="643"/>
        <w:gridCol w:w="643"/>
        <w:gridCol w:w="91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2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Mercedes-Benz; Sprinter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Jeep Dodge 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 South Carolina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Porsche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Infiniti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$125.8 million which is presented in our accompanying condensed consolidated statements of income as a gain on dealership divestitures, net.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the following franchises:</w:t>
      </w:r>
    </w:p>
    <w:tbl>
      <w:tblPr>
        <w:tblW w:w="6547" w:type="dxa"/>
        <w:jc w:val="left"/>
        <w:tblInd w:w="0" w:type="dxa"/>
        <w:tblLayout w:type="fixed"/>
        <w:tblCellMar>
          <w:top w:w="28" w:type="dxa"/>
          <w:left w:w="28" w:type="dxa"/>
          <w:bottom w:w="28" w:type="dxa"/>
          <w:right w:w="28" w:type="dxa"/>
        </w:tblCellMar>
      </w:tblPr>
      <w:tblGrid>
        <w:gridCol w:w="804"/>
        <w:gridCol w:w="707"/>
        <w:gridCol w:w="709"/>
        <w:gridCol w:w="109"/>
        <w:gridCol w:w="109"/>
        <w:gridCol w:w="109"/>
        <w:gridCol w:w="340"/>
        <w:gridCol w:w="340"/>
        <w:gridCol w:w="341"/>
        <w:gridCol w:w="109"/>
        <w:gridCol w:w="109"/>
        <w:gridCol w:w="109"/>
        <w:gridCol w:w="315"/>
        <w:gridCol w:w="315"/>
        <w:gridCol w:w="316"/>
        <w:gridCol w:w="109"/>
        <w:gridCol w:w="109"/>
        <w:gridCol w:w="109"/>
        <w:gridCol w:w="401"/>
        <w:gridCol w:w="401"/>
        <w:gridCol w:w="577"/>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2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Dodge Jeep 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bl>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recorded a pre-tax gain totaling $10.1 million, which is presented in our accompanying condensed consolidated statements of income as a gain on dealership divestitures,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w:t>
      </w:r>
    </w:p>
    <w:tbl>
      <w:tblPr>
        <w:tblW w:w="5920" w:type="dxa"/>
        <w:jc w:val="left"/>
        <w:tblInd w:w="0" w:type="dxa"/>
        <w:tblLayout w:type="fixed"/>
        <w:tblCellMar>
          <w:top w:w="28" w:type="dxa"/>
          <w:left w:w="28" w:type="dxa"/>
          <w:bottom w:w="28" w:type="dxa"/>
          <w:right w:w="28" w:type="dxa"/>
        </w:tblCellMar>
      </w:tblPr>
      <w:tblGrid>
        <w:gridCol w:w="1031"/>
        <w:gridCol w:w="908"/>
        <w:gridCol w:w="910"/>
        <w:gridCol w:w="260"/>
        <w:gridCol w:w="760"/>
        <w:gridCol w:w="134"/>
        <w:gridCol w:w="109"/>
        <w:gridCol w:w="109"/>
        <w:gridCol w:w="109"/>
        <w:gridCol w:w="342"/>
        <w:gridCol w:w="999"/>
        <w:gridCol w:w="249"/>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receivables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receivables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Less—Allowance for credit losses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186" w:type="dxa"/>
        <w:jc w:val="left"/>
        <w:tblInd w:w="0" w:type="dxa"/>
        <w:tblLayout w:type="fixed"/>
        <w:tblCellMar>
          <w:top w:w="28" w:type="dxa"/>
          <w:left w:w="28" w:type="dxa"/>
          <w:bottom w:w="28" w:type="dxa"/>
          <w:right w:w="28" w:type="dxa"/>
        </w:tblCellMar>
      </w:tblPr>
      <w:tblGrid>
        <w:gridCol w:w="766"/>
        <w:gridCol w:w="671"/>
        <w:gridCol w:w="678"/>
        <w:gridCol w:w="224"/>
        <w:gridCol w:w="815"/>
        <w:gridCol w:w="116"/>
        <w:gridCol w:w="109"/>
        <w:gridCol w:w="109"/>
        <w:gridCol w:w="109"/>
        <w:gridCol w:w="296"/>
        <w:gridCol w:w="1077"/>
        <w:gridCol w:w="216"/>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accessories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 (a)</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Inventories, net as of June 30, 2026, and December 31, 2025, excluded $28.5 million and $96.5 million classified as assets held for sale, respectively.</w:t>
      </w:r>
    </w:p>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lower of cost and net realizable value reserves reduced total inventory cost by $8.6 million and $9.0 million, respectively, as of June 30, 2026 and December 31, 2025. As of June 30, 2026, and December 31, 2025, certain automobile manufacturer incentives reduced new vehicle inventory cost by $14.2 million and $16.2 million, respectively, and reduced new vehicle cost of sales for the three months ended June 30, 2026 and 2025, by $30.5 million and $32.3 million, respectively. For the six months ended June 30, 2026 and 2025, new vehicle cost of sales was reduced by manufacturer incentives of $57.8 million and $61.4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6. ASSETS AND LIABILITIES HELD FOR SALE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Assets and liabilities classified as held for sale include (i) assets and liabilities associated with pending dealership disposals and (ii) real estate that we are actively marketing to sell.</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assets held for sale and liabilities associated with assets held for sale is as follows:</w:t>
      </w:r>
    </w:p>
    <w:tbl>
      <w:tblPr>
        <w:tblW w:w="7286" w:type="dxa"/>
        <w:jc w:val="left"/>
        <w:tblInd w:w="0" w:type="dxa"/>
        <w:tblLayout w:type="fixed"/>
        <w:tblCellMar>
          <w:top w:w="28" w:type="dxa"/>
          <w:left w:w="28" w:type="dxa"/>
          <w:bottom w:w="28" w:type="dxa"/>
          <w:right w:w="28" w:type="dxa"/>
        </w:tblCellMar>
      </w:tblPr>
      <w:tblGrid>
        <w:gridCol w:w="1520"/>
        <w:gridCol w:w="1338"/>
        <w:gridCol w:w="1357"/>
        <w:gridCol w:w="293"/>
        <w:gridCol w:w="710"/>
        <w:gridCol w:w="151"/>
        <w:gridCol w:w="109"/>
        <w:gridCol w:w="109"/>
        <w:gridCol w:w="109"/>
        <w:gridCol w:w="342"/>
        <w:gridCol w:w="999"/>
        <w:gridCol w:w="249"/>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Loaners, net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rights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associated with assets held for sale</w:t>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held for sale</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June 30, 2026, assets held for sale consisted of five franchises (three dealership locations) in addition to one real estate property.</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June 2026, the Company recognized a $4.2 million pre-tax non-cash franchise rights impairment charge in connection with a dealership that was classified as assets held for sale in June 2026. The quantitative assessment for the disposal group included a comparison of the estimated fair value to the carrying value of the disposal group less costs to sell. The Company determined the estimated fair value of the disposal group based on estimated sales proceeds less costs to sell. The franchise rights impairment charge is reflected in asset impairments in our condensed consolidated statements of income for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assets held for sale consisted of 15 franchises (11 dealership locations) in addition to two real estate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INVESTMENTS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investment portfolio is primarily funded by product premiums from the sale of our TCA F&amp;I products. The amortized cost, gross unrealized gains and losses and estimated fair values of debt securities available-for-sale are as follows:</w:t>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$3.2 million and $3.1 million of accrued interest receivable, respectively, which is included in other current assets on the condensed consolidated balance sheets. The Company does not consider accrued interest receivable in the carrying amount of financial assets held at amortized cost basis or in the allowance for credit losses. </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amortized costs and fair value of investments by time to maturity, is as follows:</w:t>
      </w:r>
    </w:p>
    <w:tbl>
      <w:tblPr>
        <w:tblW w:w="6242" w:type="dxa"/>
        <w:jc w:val="left"/>
        <w:tblInd w:w="0" w:type="dxa"/>
        <w:tblLayout w:type="fixed"/>
        <w:tblCellMar>
          <w:top w:w="28" w:type="dxa"/>
          <w:left w:w="28" w:type="dxa"/>
          <w:bottom w:w="28" w:type="dxa"/>
          <w:right w:w="28" w:type="dxa"/>
        </w:tblCellMar>
      </w:tblPr>
      <w:tblGrid>
        <w:gridCol w:w="1304"/>
        <w:gridCol w:w="1147"/>
        <w:gridCol w:w="1164"/>
        <w:gridCol w:w="297"/>
        <w:gridCol w:w="869"/>
        <w:gridCol w:w="153"/>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1-5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6-10 years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by maturity</w:t>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$0.1 million gross losses and $0.2 million gross gains realized related to the sale of available-for-sale debt securities carried at fair value for the three months ended June 30, 2026. There were $0.1 million gross losses and $0.4 million gross gains realized related to the sale of available-for-sale debt securities carried at fair value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$0.1 million gross losses and $0.2 million gross gains realized related to the sale of available-for-sale debt securities carried at fair value for the three months ended June 30, 2025. There were $0.2 million gross losses and $0.4 million gross gains realized related to the sale of available-for-sale debt securities carried at fair value for the six months ended June 30, 2025.</w:t>
      </w:r>
    </w:p>
    <w:p>
      <w:pPr>
        <w:pStyle w:val="TextBody"/>
        <w:bidi w:val="0"/>
        <w:spacing w:lineRule="auto" w:line="288" w:before="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June 30, 2026. </w:t>
      </w:r>
    </w:p>
    <w:tbl>
      <w:tblPr>
        <w:tblW w:w="10205" w:type="dxa"/>
        <w:jc w:val="left"/>
        <w:tblInd w:w="0" w:type="dxa"/>
        <w:tblLayout w:type="fixed"/>
        <w:tblCellMar>
          <w:top w:w="28" w:type="dxa"/>
          <w:left w:w="28" w:type="dxa"/>
          <w:bottom w:w="28" w:type="dxa"/>
          <w:right w:w="28" w:type="dxa"/>
        </w:tblCellMar>
      </w:tblPr>
      <w:tblGrid>
        <w:gridCol w:w="837"/>
        <w:gridCol w:w="706"/>
        <w:gridCol w:w="708"/>
        <w:gridCol w:w="211"/>
        <w:gridCol w:w="616"/>
        <w:gridCol w:w="109"/>
        <w:gridCol w:w="109"/>
        <w:gridCol w:w="109"/>
        <w:gridCol w:w="109"/>
        <w:gridCol w:w="334"/>
        <w:gridCol w:w="667"/>
        <w:gridCol w:w="174"/>
        <w:gridCol w:w="109"/>
        <w:gridCol w:w="109"/>
        <w:gridCol w:w="109"/>
        <w:gridCol w:w="220"/>
        <w:gridCol w:w="534"/>
        <w:gridCol w:w="113"/>
        <w:gridCol w:w="109"/>
        <w:gridCol w:w="109"/>
        <w:gridCol w:w="109"/>
        <w:gridCol w:w="334"/>
        <w:gridCol w:w="667"/>
        <w:gridCol w:w="174"/>
        <w:gridCol w:w="109"/>
        <w:gridCol w:w="109"/>
        <w:gridCol w:w="109"/>
        <w:gridCol w:w="211"/>
        <w:gridCol w:w="616"/>
        <w:gridCol w:w="109"/>
        <w:gridCol w:w="109"/>
        <w:gridCol w:w="109"/>
        <w:gridCol w:w="109"/>
        <w:gridCol w:w="327"/>
        <w:gridCol w:w="653"/>
        <w:gridCol w:w="250"/>
      </w:tblGrid>
      <w:tr>
        <w:trPr/>
        <w:tc>
          <w:tcPr>
            <w:tcW w:w="8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3"/>
        <w:gridCol w:w="730"/>
        <w:gridCol w:w="733"/>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2"/>
        <w:gridCol w:w="663"/>
        <w:gridCol w:w="253"/>
      </w:tblGrid>
      <w:tr>
        <w:trPr/>
        <w:tc>
          <w:tcPr>
            <w:tcW w:w="8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reviews the investment securities portfolio at the security level on a quarterly basis for potential credit losses, which takes into consideration numerous factors including changes in credit ratings.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8. FLOOR PLAN NOTES PAYABLE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notes payable consisted of the following:</w:t>
      </w:r>
    </w:p>
    <w:tbl>
      <w:tblPr>
        <w:tblW w:w="6595" w:type="dxa"/>
        <w:jc w:val="left"/>
        <w:tblInd w:w="0" w:type="dxa"/>
        <w:tblLayout w:type="fixed"/>
        <w:tblCellMar>
          <w:top w:w="28" w:type="dxa"/>
          <w:left w:w="28" w:type="dxa"/>
          <w:bottom w:w="28" w:type="dxa"/>
          <w:right w:w="28" w:type="dxa"/>
        </w:tblCellMar>
      </w:tblPr>
      <w:tblGrid>
        <w:gridCol w:w="1276"/>
        <w:gridCol w:w="1122"/>
        <w:gridCol w:w="1126"/>
        <w:gridCol w:w="224"/>
        <w:gridCol w:w="815"/>
        <w:gridCol w:w="116"/>
        <w:gridCol w:w="109"/>
        <w:gridCol w:w="109"/>
        <w:gridCol w:w="109"/>
        <w:gridCol w:w="296"/>
        <w:gridCol w:w="1077"/>
        <w:gridCol w:w="216"/>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payable—new non-trade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payable—used non-trade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payable—non-trade, net</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floor plan offset accounts that allow us to offset our floor plan notes payable balances outstanding with transfers of cash to reduce the amount of outstanding floor plan notes payable that would otherwise accrue interest, while retaining the ability to transfer amounts from the offset account into our operating cash accounts within the same day.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our new and used vehicle floor plan facilities, we have loaner vehicle floor plan facilities with Bank of America and certain original equipment manufacturers (“OEMs”). Loaner vehicle notes payable related to Bank of America as of June 30, 2026 and December 31, 2025 were $59.5 million and $65.0 million, respectively. Loaner vehicle notes payable related to OEMs as of June 30, 2026 and December 31, 2025 were $197.8 million and $190.2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8231" w:type="dxa"/>
        <w:jc w:val="left"/>
        <w:tblInd w:w="0" w:type="dxa"/>
        <w:tblLayout w:type="fixed"/>
        <w:tblCellMar>
          <w:top w:w="28" w:type="dxa"/>
          <w:left w:w="28" w:type="dxa"/>
          <w:bottom w:w="28" w:type="dxa"/>
          <w:right w:w="28" w:type="dxa"/>
        </w:tblCellMar>
      </w:tblPr>
      <w:tblGrid>
        <w:gridCol w:w="1869"/>
        <w:gridCol w:w="1637"/>
        <w:gridCol w:w="1654"/>
        <w:gridCol w:w="224"/>
        <w:gridCol w:w="815"/>
        <w:gridCol w:w="116"/>
        <w:gridCol w:w="109"/>
        <w:gridCol w:w="109"/>
        <w:gridCol w:w="109"/>
        <w:gridCol w:w="296"/>
        <w:gridCol w:w="1077"/>
        <w:gridCol w:w="216"/>
      </w:tblGrid>
      <w:tr>
        <w:trPr/>
        <w:tc>
          <w:tcPr>
            <w:tcW w:w="186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Real Estate Facility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Real Estate Facility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BofA Real Estate Facility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Wells Fargo Master Loan Facility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Syndicated Revolving Credit Facility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4.50% Senior Notes due 2028</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4.75% Senior Notes due 2030</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Less—debt issuance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3,572.0 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 net of debt issuance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FINANCIAL INSTRUMENTS AND FAIR VALUE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that market participants would use in pricing the asset or liability, developed based on the best information available in the circumstances. The hierarchy is broken down into three levels based on the reliability of inputs as follows: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Level 1-Valuations based on quoted prices in active markets for identical assets or liabilities that we have the ability to access.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 Level 2 inputs. We estimate the fair value of our mortgage notes payable using a present value technique based on current market interest rates for similar types of financial instruments that reflect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the carrying values and fair values of our subordinated long-term debt notes and our mortgage notes payable bearing interest at fixed rates is as follows:</w:t>
      </w:r>
    </w:p>
    <w:tbl>
      <w:tblPr>
        <w:tblW w:w="7540" w:type="dxa"/>
        <w:jc w:val="left"/>
        <w:tblInd w:w="0" w:type="dxa"/>
        <w:tblLayout w:type="fixed"/>
        <w:tblCellMar>
          <w:top w:w="28" w:type="dxa"/>
          <w:left w:w="28" w:type="dxa"/>
          <w:bottom w:w="28" w:type="dxa"/>
          <w:right w:w="28" w:type="dxa"/>
        </w:tblCellMar>
      </w:tblPr>
      <w:tblGrid>
        <w:gridCol w:w="1621"/>
        <w:gridCol w:w="1419"/>
        <w:gridCol w:w="1429"/>
        <w:gridCol w:w="224"/>
        <w:gridCol w:w="815"/>
        <w:gridCol w:w="116"/>
        <w:gridCol w:w="109"/>
        <w:gridCol w:w="109"/>
        <w:gridCol w:w="109"/>
        <w:gridCol w:w="296"/>
        <w:gridCol w:w="1077"/>
        <w:gridCol w:w="216"/>
      </w:tblGrid>
      <w:tr>
        <w:trPr/>
        <w:tc>
          <w:tcPr>
            <w:tcW w:w="162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Carrying Value: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Fair Value: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five interest rate swap agreements. These swaps are designed to provide a hedge against changes in variable rate cash flows regarding fluctuations in the SOFR rate.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attributes of each swap as of June 30, 2026:</w:t>
      </w:r>
    </w:p>
    <w:tbl>
      <w:tblPr>
        <w:tblW w:w="10205" w:type="dxa"/>
        <w:jc w:val="left"/>
        <w:tblInd w:w="0" w:type="dxa"/>
        <w:tblLayout w:type="fixed"/>
        <w:tblCellMar>
          <w:top w:w="28" w:type="dxa"/>
          <w:left w:w="28" w:type="dxa"/>
          <w:bottom w:w="28" w:type="dxa"/>
          <w:right w:w="28" w:type="dxa"/>
        </w:tblCellMar>
      </w:tblPr>
      <w:tblGrid>
        <w:gridCol w:w="430"/>
        <w:gridCol w:w="377"/>
        <w:gridCol w:w="380"/>
        <w:gridCol w:w="109"/>
        <w:gridCol w:w="109"/>
        <w:gridCol w:w="109"/>
        <w:gridCol w:w="467"/>
        <w:gridCol w:w="1366"/>
        <w:gridCol w:w="241"/>
        <w:gridCol w:w="109"/>
        <w:gridCol w:w="109"/>
        <w:gridCol w:w="109"/>
        <w:gridCol w:w="515"/>
        <w:gridCol w:w="1505"/>
        <w:gridCol w:w="265"/>
        <w:gridCol w:w="109"/>
        <w:gridCol w:w="109"/>
        <w:gridCol w:w="109"/>
        <w:gridCol w:w="460"/>
        <w:gridCol w:w="1343"/>
        <w:gridCol w:w="237"/>
        <w:gridCol w:w="109"/>
        <w:gridCol w:w="109"/>
        <w:gridCol w:w="109"/>
        <w:gridCol w:w="402"/>
        <w:gridCol w:w="372"/>
        <w:gridCol w:w="537"/>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26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3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18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26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3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18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26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3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2030</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inputs. The fair value of our swaps as of June 30, 2026 and December 31, 2025 reflect a net asset of $53.4 million and $47.0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fair value of our interest rate swap agreements and the impact on the condensed consolidated balance sheets:</w:t>
      </w:r>
    </w:p>
    <w:tbl>
      <w:tblPr>
        <w:tblW w:w="5100" w:type="dxa"/>
        <w:jc w:val="left"/>
        <w:tblInd w:w="0" w:type="dxa"/>
        <w:tblLayout w:type="fixed"/>
        <w:tblCellMar>
          <w:top w:w="28" w:type="dxa"/>
          <w:left w:w="28" w:type="dxa"/>
          <w:bottom w:w="28" w:type="dxa"/>
          <w:right w:w="28" w:type="dxa"/>
        </w:tblCellMar>
      </w:tblPr>
      <w:tblGrid>
        <w:gridCol w:w="695"/>
        <w:gridCol w:w="611"/>
        <w:gridCol w:w="614"/>
        <w:gridCol w:w="109"/>
        <w:gridCol w:w="293"/>
        <w:gridCol w:w="710"/>
        <w:gridCol w:w="151"/>
        <w:gridCol w:w="109"/>
        <w:gridCol w:w="109"/>
        <w:gridCol w:w="109"/>
        <w:gridCol w:w="382"/>
        <w:gridCol w:w="927"/>
        <w:gridCol w:w="28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pPr>
      <w:r>
        <w:rPr>
          <w:rFonts w:ascii="Times New Roman;serif" w:hAnsi="Times New Roman;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erif" w:hAnsi="Times New Roman;serif"/>
          <w:b w:val="false"/>
          <w:color w:val="000000"/>
          <w:sz w:val="20"/>
        </w:rPr>
        <w:t>any unrealized gains or losses are included in accumulated other comprehensive income and reclassified to interest expense in the same period or periods during which the hedged transactions affect earnings. Information about the effects of our interest rate swap agreements in the accompanying condensed consolidated statements of income and condensed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74"/>
        <w:gridCol w:w="416"/>
        <w:gridCol w:w="420"/>
        <w:gridCol w:w="109"/>
        <w:gridCol w:w="109"/>
        <w:gridCol w:w="109"/>
        <w:gridCol w:w="688"/>
        <w:gridCol w:w="1376"/>
        <w:gridCol w:w="357"/>
        <w:gridCol w:w="109"/>
        <w:gridCol w:w="109"/>
        <w:gridCol w:w="109"/>
        <w:gridCol w:w="984"/>
        <w:gridCol w:w="984"/>
        <w:gridCol w:w="987"/>
        <w:gridCol w:w="109"/>
        <w:gridCol w:w="109"/>
        <w:gridCol w:w="109"/>
        <w:gridCol w:w="678"/>
        <w:gridCol w:w="1355"/>
        <w:gridCol w:w="505"/>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310" w:type="dxa"/>
            <w:gridSpan w:val="3"/>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57"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05"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7"/>
        <w:gridCol w:w="401"/>
        <w:gridCol w:w="405"/>
        <w:gridCol w:w="109"/>
        <w:gridCol w:w="109"/>
        <w:gridCol w:w="109"/>
        <w:gridCol w:w="692"/>
        <w:gridCol w:w="1384"/>
        <w:gridCol w:w="359"/>
        <w:gridCol w:w="109"/>
        <w:gridCol w:w="109"/>
        <w:gridCol w:w="109"/>
        <w:gridCol w:w="991"/>
        <w:gridCol w:w="991"/>
        <w:gridCol w:w="993"/>
        <w:gridCol w:w="109"/>
        <w:gridCol w:w="109"/>
        <w:gridCol w:w="109"/>
        <w:gridCol w:w="601"/>
        <w:gridCol w:w="1502"/>
        <w:gridCol w:w="448"/>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2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pPr>
      <w:r>
        <w:rPr>
          <w:color w:val="000000"/>
        </w:rPr>
        <w:t> </w:t>
      </w:r>
      <w:r>
        <w:rPr>
          <w:rFonts w:ascii="Times New Roman;serif" w:hAnsi="Times New Roman;serif"/>
          <w:b w:val="false"/>
          <w:color w:val="000000"/>
          <w:sz w:val="20"/>
        </w:rPr>
        <w:t xml:space="preserve">On the basis of yield curve conditions as of June 30, 2026 and including assumptions about future changes in fair value, we expect the amount to be reclassified out of accumulated other comprehensive income into earnings within the next 12 months will be gains of approximately $14.6 million.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180" w:after="180"/>
        <w:ind w:left="0" w:right="0" w:firstLine="315"/>
        <w:jc w:val="left"/>
        <w:rPr/>
      </w:pP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20"/>
        </w:rPr>
        <w:t>table below presents the Company’s investment securities that are measured at fair value on a recurring basis aggregated by the level in the fair value hierarchy within which those measurements fall:</w:t>
      </w:r>
    </w:p>
    <w:tbl>
      <w:tblPr>
        <w:tblW w:w="8073" w:type="dxa"/>
        <w:jc w:val="center"/>
        <w:tblInd w:w="0" w:type="dxa"/>
        <w:tblLayout w:type="fixed"/>
        <w:tblCellMar>
          <w:top w:w="28" w:type="dxa"/>
          <w:left w:w="28" w:type="dxa"/>
          <w:bottom w:w="28" w:type="dxa"/>
          <w:right w:w="28" w:type="dxa"/>
        </w:tblCellMar>
      </w:tblPr>
      <w:tblGrid>
        <w:gridCol w:w="1308"/>
        <w:gridCol w:w="1150"/>
        <w:gridCol w:w="1156"/>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8291" w:type="dxa"/>
        <w:jc w:val="center"/>
        <w:tblInd w:w="0" w:type="dxa"/>
        <w:tblLayout w:type="fixed"/>
        <w:tblCellMar>
          <w:top w:w="28" w:type="dxa"/>
          <w:left w:w="28" w:type="dxa"/>
          <w:bottom w:w="28" w:type="dxa"/>
          <w:right w:w="28" w:type="dxa"/>
        </w:tblCellMar>
      </w:tblPr>
      <w:tblGrid>
        <w:gridCol w:w="1308"/>
        <w:gridCol w:w="1150"/>
        <w:gridCol w:w="1156"/>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pStyle w:val="TextBody"/>
        <w:bidi w:val="0"/>
        <w:spacing w:lineRule="auto" w:line="288" w:before="180" w:after="180"/>
        <w:ind w:left="0" w:right="0" w:firstLine="315"/>
        <w:jc w:val="left"/>
        <w:rPr/>
      </w:pPr>
      <w:r>
        <w:rPr>
          <w:rFonts w:ascii="Times New Roman;serif" w:hAnsi="Times New Roman;serif"/>
          <w:b w:val="false"/>
          <w:color w:val="000000"/>
          <w:sz w:val="20"/>
        </w:rPr>
        <w:t>Available-for-sale debt securities are recorded at fair value and</w:t>
      </w:r>
      <w:r>
        <w:rPr>
          <w:color w:val="000000"/>
        </w:rPr>
        <w:t xml:space="preserve"> </w:t>
      </w:r>
      <w:r>
        <w:rPr>
          <w:rFonts w:ascii="Times New Roman;serif" w:hAnsi="Times New Roman;serif"/>
          <w:b w:val="false"/>
          <w:color w:val="000000"/>
          <w:sz w:val="20"/>
        </w:rPr>
        <w:t xml:space="preserve">any unrealized gains or losses are included in accumulated other comprehensive income and reclassified to finance and insurance, net revenue in the period or periods during which the debt securities are sold and the gains or losses are realized.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Information about the effects of our available-for-sale debt securities in the accompanying condensed consolidated statements of income and condensed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66"/>
        <w:gridCol w:w="409"/>
        <w:gridCol w:w="413"/>
        <w:gridCol w:w="109"/>
        <w:gridCol w:w="109"/>
        <w:gridCol w:w="109"/>
        <w:gridCol w:w="676"/>
        <w:gridCol w:w="1352"/>
        <w:gridCol w:w="351"/>
        <w:gridCol w:w="109"/>
        <w:gridCol w:w="109"/>
        <w:gridCol w:w="109"/>
        <w:gridCol w:w="1134"/>
        <w:gridCol w:w="964"/>
        <w:gridCol w:w="966"/>
        <w:gridCol w:w="109"/>
        <w:gridCol w:w="109"/>
        <w:gridCol w:w="109"/>
        <w:gridCol w:w="666"/>
        <w:gridCol w:w="1331"/>
        <w:gridCol w:w="496"/>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288" w:type="dxa"/>
            <w:gridSpan w:val="3"/>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5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6"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0"/>
        <w:gridCol w:w="395"/>
        <w:gridCol w:w="398"/>
        <w:gridCol w:w="109"/>
        <w:gridCol w:w="109"/>
        <w:gridCol w:w="109"/>
        <w:gridCol w:w="680"/>
        <w:gridCol w:w="1360"/>
        <w:gridCol w:w="353"/>
        <w:gridCol w:w="109"/>
        <w:gridCol w:w="109"/>
        <w:gridCol w:w="109"/>
        <w:gridCol w:w="1140"/>
        <w:gridCol w:w="970"/>
        <w:gridCol w:w="972"/>
        <w:gridCol w:w="109"/>
        <w:gridCol w:w="109"/>
        <w:gridCol w:w="109"/>
        <w:gridCol w:w="683"/>
        <w:gridCol w:w="1316"/>
        <w:gridCol w:w="507"/>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2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11. SUPPLEMENTAL CASH FLOW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made interest payments, including amounts capitalized, totaling $133.5 million and $127.7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made income tax payments, net of refunds received, totaling $40.1 million and $61.0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transferred $319.1 million and $218.4 million, respectively, of loaner vehicles from other current assets to inventory in our condensed consolidated balance sheets. The aforementioned amounts are included in changes in inventories in the operating activities section of the accompanying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two reportable segments: (1) Dealerships and (2) TCA. Our dealership operations are organized by management into geographic region-based groups within the Dealerships segment. The operations of our F&amp;I product provider are reflected within our TCA segment.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condensed consolidated statements of income. The costs incurred by TCA for work performed by our parts and service departments are included in finance and insurance cost of sales in the accompanying condensed consolidated statements of income.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significant expense categories and amounts are consistent with the segment-level information that is regularly provided to the chief operating decision maker.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15"/>
        <w:jc w:val="left"/>
        <w:rPr/>
      </w:pPr>
      <w:r>
        <w:rPr>
          <w:rFonts w:ascii="Times New Roman;serif" w:hAnsi="Times New Roman;serif"/>
          <w:b w:val="false"/>
          <w:color w:val="000000"/>
          <w:sz w:val="20"/>
        </w:rPr>
        <w:t xml:space="preserve">Reportable segment financial information for the three and six months ended June 30, 2026 and 2025, are as </w:t>
      </w:r>
      <w:r>
        <w:rPr>
          <w:rFonts w:ascii="Times New Roman;serif" w:hAnsi="Times New Roman;serif"/>
          <w:b w:val="false"/>
          <w:color w:val="000000"/>
          <w:sz w:val="20"/>
          <w:shd w:fill="FFFFFF" w:val="clear"/>
        </w:rPr>
        <w:t>follows:</w:t>
      </w:r>
    </w:p>
    <w:p>
      <w:pPr>
        <w:pStyle w:val="TextBody"/>
        <w:bidi w:val="0"/>
        <w:spacing w:before="0" w:after="0"/>
        <w:ind w:left="0" w:right="0" w:firstLine="315"/>
        <w:jc w:val="left"/>
        <w:rPr/>
      </w:pPr>
      <w:r>
        <w:rPr/>
      </w:r>
    </w:p>
    <w:tbl>
      <w:tblPr>
        <w:tblW w:w="10205" w:type="dxa"/>
        <w:jc w:val="center"/>
        <w:tblInd w:w="0" w:type="dxa"/>
        <w:tblLayout w:type="fixed"/>
        <w:tblCellMar>
          <w:top w:w="28" w:type="dxa"/>
          <w:left w:w="28" w:type="dxa"/>
          <w:bottom w:w="28" w:type="dxa"/>
          <w:right w:w="28" w:type="dxa"/>
        </w:tblCellMar>
      </w:tblPr>
      <w:tblGrid>
        <w:gridCol w:w="1106"/>
        <w:gridCol w:w="687"/>
        <w:gridCol w:w="691"/>
        <w:gridCol w:w="211"/>
        <w:gridCol w:w="769"/>
        <w:gridCol w:w="109"/>
        <w:gridCol w:w="109"/>
        <w:gridCol w:w="109"/>
        <w:gridCol w:w="109"/>
        <w:gridCol w:w="211"/>
        <w:gridCol w:w="513"/>
        <w:gridCol w:w="109"/>
        <w:gridCol w:w="109"/>
        <w:gridCol w:w="109"/>
        <w:gridCol w:w="109"/>
        <w:gridCol w:w="211"/>
        <w:gridCol w:w="769"/>
        <w:gridCol w:w="109"/>
        <w:gridCol w:w="109"/>
        <w:gridCol w:w="109"/>
        <w:gridCol w:w="109"/>
        <w:gridCol w:w="211"/>
        <w:gridCol w:w="769"/>
        <w:gridCol w:w="109"/>
        <w:gridCol w:w="109"/>
        <w:gridCol w:w="109"/>
        <w:gridCol w:w="109"/>
        <w:gridCol w:w="211"/>
        <w:gridCol w:w="513"/>
        <w:gridCol w:w="109"/>
        <w:gridCol w:w="109"/>
        <w:gridCol w:w="109"/>
        <w:gridCol w:w="109"/>
        <w:gridCol w:w="211"/>
        <w:gridCol w:w="769"/>
        <w:gridCol w:w="173"/>
      </w:tblGrid>
      <w:tr>
        <w:trPr/>
        <w:tc>
          <w:tcPr>
            <w:tcW w:w="110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 costs offset by amortization)</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50"/>
        <w:gridCol w:w="626"/>
        <w:gridCol w:w="63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6"/>
      </w:tblGrid>
      <w:tr>
        <w:trPr/>
        <w:tc>
          <w:tcPr>
            <w:tcW w:w="10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 costs offset by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270"/>
        <w:jc w:val="left"/>
        <w:rPr/>
      </w:pPr>
      <w:r>
        <w:rPr/>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assets by segment as of June 30, 2026 and December 31, 2025 are as follows:</w:t>
      </w:r>
    </w:p>
    <w:p>
      <w:pPr>
        <w:pStyle w:val="TextBody"/>
        <w:bidi w:val="0"/>
        <w:spacing w:before="0" w:after="0"/>
        <w:jc w:val="left"/>
        <w:rPr/>
      </w:pPr>
      <w:r>
        <w:rPr/>
      </w:r>
    </w:p>
    <w:tbl>
      <w:tblPr>
        <w:tblW w:w="9285" w:type="dxa"/>
        <w:jc w:val="left"/>
        <w:tblInd w:w="0" w:type="dxa"/>
        <w:tblLayout w:type="fixed"/>
        <w:tblCellMar>
          <w:top w:w="28" w:type="dxa"/>
          <w:left w:w="28" w:type="dxa"/>
          <w:bottom w:w="28" w:type="dxa"/>
          <w:right w:w="28" w:type="dxa"/>
        </w:tblCellMar>
      </w:tblPr>
      <w:tblGrid>
        <w:gridCol w:w="385"/>
        <w:gridCol w:w="338"/>
        <w:gridCol w:w="341"/>
        <w:gridCol w:w="211"/>
        <w:gridCol w:w="871"/>
        <w:gridCol w:w="109"/>
        <w:gridCol w:w="109"/>
        <w:gridCol w:w="109"/>
        <w:gridCol w:w="109"/>
        <w:gridCol w:w="211"/>
        <w:gridCol w:w="766"/>
        <w:gridCol w:w="109"/>
        <w:gridCol w:w="109"/>
        <w:gridCol w:w="109"/>
        <w:gridCol w:w="109"/>
        <w:gridCol w:w="388"/>
        <w:gridCol w:w="1602"/>
        <w:gridCol w:w="200"/>
        <w:gridCol w:w="109"/>
        <w:gridCol w:w="109"/>
        <w:gridCol w:w="109"/>
        <w:gridCol w:w="243"/>
        <w:gridCol w:w="711"/>
        <w:gridCol w:w="127"/>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85" w:type="dxa"/>
        <w:jc w:val="left"/>
        <w:tblInd w:w="0" w:type="dxa"/>
        <w:tblLayout w:type="fixed"/>
        <w:tblCellMar>
          <w:top w:w="28" w:type="dxa"/>
          <w:left w:w="28" w:type="dxa"/>
          <w:bottom w:w="28" w:type="dxa"/>
          <w:right w:w="28" w:type="dxa"/>
        </w:tblCellMar>
      </w:tblPr>
      <w:tblGrid>
        <w:gridCol w:w="385"/>
        <w:gridCol w:w="338"/>
        <w:gridCol w:w="341"/>
        <w:gridCol w:w="211"/>
        <w:gridCol w:w="871"/>
        <w:gridCol w:w="109"/>
        <w:gridCol w:w="109"/>
        <w:gridCol w:w="109"/>
        <w:gridCol w:w="109"/>
        <w:gridCol w:w="211"/>
        <w:gridCol w:w="766"/>
        <w:gridCol w:w="109"/>
        <w:gridCol w:w="109"/>
        <w:gridCol w:w="109"/>
        <w:gridCol w:w="109"/>
        <w:gridCol w:w="388"/>
        <w:gridCol w:w="1602"/>
        <w:gridCol w:w="200"/>
        <w:gridCol w:w="109"/>
        <w:gridCol w:w="109"/>
        <w:gridCol w:w="109"/>
        <w:gridCol w:w="243"/>
        <w:gridCol w:w="711"/>
        <w:gridCol w:w="127"/>
        <w:gridCol w:w="109"/>
        <w:gridCol w:w="109"/>
        <w:gridCol w:w="109"/>
        <w:gridCol w:w="233"/>
        <w:gridCol w:w="962"/>
        <w:gridCol w:w="17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Company</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44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0"/>
        <w:ind w:left="0" w:right="0" w:firstLine="315"/>
        <w:jc w:val="left"/>
        <w:rPr/>
      </w:pPr>
      <w:r>
        <w:rPr>
          <w:rFonts w:ascii="Times New Roman;serif" w:hAnsi="Times New Roman;serif"/>
          <w:b w:val="false"/>
          <w:color w:val="000000"/>
          <w:sz w:val="20"/>
        </w:rPr>
        <w:t>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 discussions with the FTC stalled, the FTC initiated an administrative proceeding by filing an enforcement action against the Company.</w:t>
      </w:r>
      <w:r>
        <w:rPr>
          <w:color w:val="000000"/>
        </w:rPr>
        <w:t xml:space="preserve"> </w:t>
      </w:r>
      <w:r>
        <w:rPr>
          <w:rFonts w:ascii="Times New Roman;serif" w:hAnsi="Times New Roman;serif"/>
          <w:b w:val="false"/>
          <w:color w:val="000000"/>
          <w:sz w:val="20"/>
        </w:rPr>
        <w:t>On October 4, 2024, the Company filed suit against the FTC in the United States District Court for the Northern District of Texas, seeking to enjoin the FTC’s administrative proceeding on the ground that the administrative proceeding was unconstitutional. Both the administrative proceeding and the Company’s lawsuit remain pending. While the Company disputes the FTC’s allegations,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regulatory and compliance issues, disputes arising out of cyber incidents or the disclosure of Personally Identifiable Information (“PII”), actions brought by governmental authorities, and other matters.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pending and threatened claims and establish loss contingency reserves based upon outcomes we currently believe to be probable and reasonably estimable. We believe we have adequately accrued reserves for the potential impact of loss contingencies that are probable and reasonably estimable. Based on our review of the various types of claims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known to us, there is no indication of material reasonably possible losses in excess of amounts accrued in the aggregate. 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may adjust presently prevailing quotas, duties, or tariffs, which may affect our operations, the pricing of our products and services, and our ability to purchase imported vehicles and/or parts at reasonable prices.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$27.3 million of letters of credit outstanding as of June 30, 2026, which are required by certain of our insurance providers. In addition, as of June 30, 2026, we maintained a $26.6 million surety bond line in the ordinary course of our business. Our letters of credit and surety bond line are considered to be off balance sheet arrangements.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other material commitments include (i) floor plan notes payable, (ii) operating leases, (iii) long-term debt and (iv) interest on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Forward-Looking Information </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bidi w:val="0"/>
        <w:spacing w:before="0" w:after="0"/>
        <w:ind w:left="0" w:right="0" w:firstLine="315"/>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seasonally adjusted annual rate of new vehicle sales in the United States;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general economic conditions and their expected impact on our revenue and expenses;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expected parts and service revenue due to, among other things, improvements in vehicle technology;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limit our exposure to regional economic downturns due to our geographic diversity and brand mix;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manufacturers' continued use of incentive programs to drive demand for their product offerings;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capital allocation strategy, including as it relates to acquisitions and divestitures, stock repurchases and capital expenditures;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revenue growth strategy;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growth of the brands that comprise our portfolio over the long-term;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in the production and supply of vehicles and parts from our vehicle and parts manufacturers and other suppliers, which can disrupt our operations;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estimated future capital expenditures, which can be impacted by increasing prices and labor shortages and acquisitions and divestitures.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to acquire and successfully integrate acquired businesses into our existing operations and realize expected benefits and synergies from such acquisitions, and identify and remediate insufficient control activities of the acquired businesses, if any, given that substantially all of our acquired businesses are private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increased expenses or unanticipated liabilities incurred resulting from or due to activities related to our acquisitions or divestitures;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significant disruptions in the production and delivery of vehicles and parts, or our business operations, for any reason, including supply shortages, natural disasters, severe weather, civil unrest, both at home and abroad, product recalls, work stoppages or other occurrences that are outside of our control;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successfully attract and retain skilled employees;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operate, including our ability to maintain, and obtain future necessary regulatory approvals, for Total Care Auto, Powered by Asbury ("TCA"), our finance and insurance ("F&amp;I") product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conditions affecting the vehicle manufacturers whose brands we sell, and their ability to design, manufacture, deliver and market their vehicles successfully;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mix and total number of vehicles we are able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refinance outstanding indebtedness on attractive and advantageous terms;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high levels of competition in our industry, which may create pricing and margin pressures on our products and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manufacturer incentive programs and our ability to earn these incentives;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our management information systems and our ability to successfully transition between key information systems, including our ability to successfully incorporate new technologies and continue our transition to Tekion, a dealer management systems ("DMS") provider, from CDK, another DMS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management information systems used or maintained by our third-party service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data security breaches occurring, including with regard to personally identifiable information ("PII");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macroeconomic and geopolitical conditions, including global trade relations, changes to consumer and business confidence, international tensions, hostilities and instability, including the present dispute between the United States and Iran, a slowdown in U.S. or global economic growth, higher rates of unemployment, changes in interest rates, inflation, and market volatility;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or the imposition of, new tariffs or trade restrictions on imported vehicles or parts;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results from litigation, regulatory investigations or other similar proceedings involving us, including costs, expenses, settlements and judgments related thereto;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consummate planned or pending mergers, acquisitions and dispositions;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disruptions in the financial markets, which may impact our ability to access capital;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relationships with, and the financial stability of, our lenders and lessors;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business interruptions at a dealership location or substantial property loss due to actual or threatened adverse weather conditions or natural disasters, such as hurricanes, earthquakes, tornadoes, floods, hailstorms, fires or other extraordinary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execute our initiatives and other strategies;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leverage scale and cost structure to improve operating efficiencies across our dealership portfolio.</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Many of these factors are beyond our ability to control or predict, and their ultimate impact could be material. Moreover, the factors set forth under "Item 1A. Risk Factors" and "Item 7. Management's Discussion and Analysis of Financial Condition and Results of Operations" below and other cautionary statements made in this report should be read and considered as forward-looking statements subject to such uncertainties. We urge you to carefully consider those factors.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We expressly disclaim any obligation to update any forward-looking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one of the largest automotive retailers in the United States. As of June 30, 2026, through our Dealerships segment, we owned and operated 202 new vehicle franchises (158 dealership locations), representing 34 brands of automobiles, within 14 states. We also operated 37 collision centers, and Total Care Auto, Powered by Asbury ("TCA"), our F&amp;I product provider. Our stores offer an extensive range of automotive products and services, including new and used vehicles; parts and service, which include repair and maintenance services, replacement parts and collision repair service; and finance and insurance products. The finance and insurance products are provided by both TCA and independent third parties. The F&amp;I products offered by TCA are sold through affiliated dealerships. For the six months ended June 30, 2026, our new vehicle revenue brand mix consisted of 41% imports, 33% luxury and 26% domestic brands. The Company manages its operations in two reportable segments: Dealerships and TCA.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 service operations based on aggregate gross profit, and our F&amp;I business based on F&amp;I gross profit per vehicle sold. Amounts presented have been calculated using non-rounded amounts for all periods presented and therefore certain amounts may not compute.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Macroeconomic and geopolitical considerations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Tariffs and trade risks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may have a material adverse effect on our results of operations.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ultimate outcome or effectiveness of any current or future tariff policies. Should the federal government impose further tariffs under other statutory regimes or legal theories, and such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 adversely affect our new vehicle sales and related finance and insurance sales and may adversely impact demand for such vehicles and parts, and could materially and adversely affect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80" w:after="180"/>
        <w:ind w:left="0" w:right="0" w:firstLine="315"/>
        <w:jc w:val="left"/>
        <w:rPr/>
      </w:pPr>
      <w:r>
        <w:rPr>
          <w:rFonts w:ascii="Times New Roman;serif" w:hAnsi="Times New Roman;serif"/>
          <w:b w:val="false"/>
          <w:color w:val="212529"/>
          <w:sz w:val="20"/>
        </w:rPr>
        <w:t xml:space="preserve">The Company's operating results for the </w:t>
      </w:r>
      <w:r>
        <w:rPr>
          <w:rFonts w:ascii="Times New Roman;serif" w:hAnsi="Times New Roman;serif"/>
          <w:b w:val="false"/>
          <w:color w:val="000000"/>
          <w:sz w:val="20"/>
        </w:rPr>
        <w:t xml:space="preserve">three and six months ended June 30, 2026 </w:t>
      </w:r>
      <w:r>
        <w:rPr>
          <w:rFonts w:ascii="Times New Roman;serif" w:hAnsi="Times New Roman;serif"/>
          <w:b w:val="false"/>
          <w:color w:val="212529"/>
          <w:sz w:val="20"/>
        </w:rPr>
        <w:t xml:space="preserve">include the results of the Herb Chambers Businesses acquired in the third quarter of 2025. Accordingly, the </w:t>
      </w:r>
      <w:r>
        <w:rPr>
          <w:rFonts w:ascii="Times New Roman;serif" w:hAnsi="Times New Roman;serif"/>
          <w:b w:val="false"/>
          <w:color w:val="000000"/>
          <w:sz w:val="20"/>
        </w:rPr>
        <w:t>three and six months ended June 30, 2026 includes</w:t>
      </w:r>
      <w:r>
        <w:rPr>
          <w:color w:val="212529"/>
        </w:rPr>
        <w:t xml:space="preserve"> </w:t>
      </w:r>
      <w:r>
        <w:rPr>
          <w:rFonts w:ascii="Times New Roman;serif" w:hAnsi="Times New Roman;serif"/>
          <w:b w:val="false"/>
          <w:color w:val="212529"/>
          <w:sz w:val="20"/>
        </w:rPr>
        <w:t>increases in revenue and gross profit related to the Herb Chambers Businesses, which have been offset by declines in revenues and gross profits due to several dealership divestitures in the second through fourth quarters of 2025 and February 2026.</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the Three Months Ended June 30, 2025 </w:t>
      </w:r>
    </w:p>
    <w:tbl>
      <w:tblPr>
        <w:tblW w:w="8856" w:type="dxa"/>
        <w:jc w:val="left"/>
        <w:tblInd w:w="0" w:type="dxa"/>
        <w:tblLayout w:type="fixed"/>
        <w:tblCellMar>
          <w:top w:w="28" w:type="dxa"/>
          <w:left w:w="28" w:type="dxa"/>
          <w:bottom w:w="28" w:type="dxa"/>
          <w:right w:w="28" w:type="dxa"/>
        </w:tblCellMar>
      </w:tblPr>
      <w:tblGrid>
        <w:gridCol w:w="1225"/>
        <w:gridCol w:w="1071"/>
        <w:gridCol w:w="1079"/>
        <w:gridCol w:w="257"/>
        <w:gridCol w:w="933"/>
        <w:gridCol w:w="132"/>
        <w:gridCol w:w="132"/>
        <w:gridCol w:w="132"/>
        <w:gridCol w:w="132"/>
        <w:gridCol w:w="257"/>
        <w:gridCol w:w="933"/>
        <w:gridCol w:w="132"/>
        <w:gridCol w:w="109"/>
        <w:gridCol w:w="109"/>
        <w:gridCol w:w="109"/>
        <w:gridCol w:w="211"/>
        <w:gridCol w:w="586"/>
        <w:gridCol w:w="109"/>
        <w:gridCol w:w="109"/>
        <w:gridCol w:w="109"/>
        <w:gridCol w:w="109"/>
        <w:gridCol w:w="218"/>
        <w:gridCol w:w="218"/>
        <w:gridCol w:w="445"/>
      </w:tblGrid>
      <w:tr>
        <w:trPr/>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8272" w:type="dxa"/>
        <w:jc w:val="center"/>
        <w:tblInd w:w="0" w:type="dxa"/>
        <w:tblLayout w:type="fixed"/>
        <w:tblCellMar>
          <w:top w:w="28" w:type="dxa"/>
          <w:left w:w="28" w:type="dxa"/>
          <w:bottom w:w="28" w:type="dxa"/>
          <w:right w:w="28" w:type="dxa"/>
        </w:tblCellMar>
      </w:tblPr>
      <w:tblGrid>
        <w:gridCol w:w="1792"/>
        <w:gridCol w:w="1576"/>
        <w:gridCol w:w="1582"/>
        <w:gridCol w:w="307"/>
        <w:gridCol w:w="309"/>
        <w:gridCol w:w="620"/>
        <w:gridCol w:w="249"/>
        <w:gridCol w:w="249"/>
        <w:gridCol w:w="249"/>
        <w:gridCol w:w="307"/>
        <w:gridCol w:w="309"/>
        <w:gridCol w:w="723"/>
      </w:tblGrid>
      <w:tr>
        <w:trPr/>
        <w:tc>
          <w:tcPr>
            <w:tcW w:w="179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MIX PERCENTAGES: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MIX PERCENTAGES:</w:t>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6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72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June 30, 2026 increased by $11.5 million compared to the three months ended June 30, 2025, due to a $33.1 million (6%) increase in parts and service revenue, a $26.3 million (1%) increase in new vehicle revenue, and a $1.9 million (1%) increase in F&amp;I, net revenue, offset by a $49.8 million (4%) decrease in used vehicle revenue. During the three months ended June 30, 2026, gross profit increased by $1.2 million driven by a $19.4 million (5%) increase in parts and service gross profit, a $3.3 million (2%) increase in F&amp;I gross profit, and a $0.4 million (1%) increase in used vehicle gross profit, offset by a $21.8 million (14%) decrease in new vehicle gross profit.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Income from operations during the three months ended June 30, 2026 decreased by $37.9 million (15%) compared to the three months ended June 30, 2025, due to a $30.9 million (7%) increase in selling, general and administrative expenses, a $4.2 million increase in asset impairment expense, and a $4.0 million (21%) increase in depreciation and amortization expense, partially offset by a $1.2 million increase in gross profit.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other expenses, net increased by $14.5 million (27%) during the three months ended June 30, 2026 as compared to the three months ended June 30, 2025, as a result of a $5.9 million decrease in gain on dealership divestitures, net, a $5.1 million (12%) increase in other interest expense, net, and a $3.5 million (19%) increase in floor plan interest expense. Income before income taxes decreased $52.5 million (26%) to $151.3 million for the three months ended June 30, 2026 as compared to the three months ended June 30, 2025. Overall, net income decreased by $38.2 million (25%) during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New Vehicle—</w:t>
      </w:r>
    </w:p>
    <w:tbl>
      <w:tblPr>
        <w:tblW w:w="8699" w:type="dxa"/>
        <w:jc w:val="left"/>
        <w:tblInd w:w="0" w:type="dxa"/>
        <w:tblLayout w:type="fixed"/>
        <w:tblCellMar>
          <w:top w:w="28" w:type="dxa"/>
          <w:left w:w="28" w:type="dxa"/>
          <w:bottom w:w="28" w:type="dxa"/>
          <w:right w:w="28" w:type="dxa"/>
        </w:tblCellMar>
      </w:tblPr>
      <w:tblGrid>
        <w:gridCol w:w="916"/>
        <w:gridCol w:w="808"/>
        <w:gridCol w:w="810"/>
        <w:gridCol w:w="257"/>
        <w:gridCol w:w="933"/>
        <w:gridCol w:w="132"/>
        <w:gridCol w:w="132"/>
        <w:gridCol w:w="132"/>
        <w:gridCol w:w="132"/>
        <w:gridCol w:w="257"/>
        <w:gridCol w:w="933"/>
        <w:gridCol w:w="132"/>
        <w:gridCol w:w="109"/>
        <w:gridCol w:w="109"/>
        <w:gridCol w:w="109"/>
        <w:gridCol w:w="332"/>
        <w:gridCol w:w="1087"/>
        <w:gridCol w:w="171"/>
        <w:gridCol w:w="109"/>
        <w:gridCol w:w="109"/>
        <w:gridCol w:w="109"/>
        <w:gridCol w:w="218"/>
        <w:gridCol w:w="218"/>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Vehicle Metrics—</w:t>
      </w:r>
    </w:p>
    <w:tbl>
      <w:tblPr>
        <w:tblW w:w="8943" w:type="dxa"/>
        <w:jc w:val="left"/>
        <w:tblInd w:w="0" w:type="dxa"/>
        <w:tblLayout w:type="fixed"/>
        <w:tblCellMar>
          <w:top w:w="28" w:type="dxa"/>
          <w:left w:w="28" w:type="dxa"/>
          <w:bottom w:w="28" w:type="dxa"/>
          <w:right w:w="28" w:type="dxa"/>
        </w:tblCellMar>
      </w:tblPr>
      <w:tblGrid>
        <w:gridCol w:w="1003"/>
        <w:gridCol w:w="885"/>
        <w:gridCol w:w="887"/>
        <w:gridCol w:w="235"/>
        <w:gridCol w:w="803"/>
        <w:gridCol w:w="302"/>
        <w:gridCol w:w="121"/>
        <w:gridCol w:w="121"/>
        <w:gridCol w:w="121"/>
        <w:gridCol w:w="235"/>
        <w:gridCol w:w="803"/>
        <w:gridCol w:w="302"/>
        <w:gridCol w:w="109"/>
        <w:gridCol w:w="109"/>
        <w:gridCol w:w="109"/>
        <w:gridCol w:w="328"/>
        <w:gridCol w:w="841"/>
        <w:gridCol w:w="421"/>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0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0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new vehicle revenue increased by $26.3 million (1%) due to an $819 (2%) increase in revenue per new vehicle sold, partially offset by a decrease in new vehicle units sold of 192 as compared to the three months ended June 30, 2025. Same store new vehicle revenue decreased by $133.1 million (6%), primarily driven by a decrease in new vehicle units sold of 2,689 (6%), partially offset by a $121 increase in revenue per new vehicle sold as compared to the three months ended June 30,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new vehicle gross profit and same store new vehicle gross profit decreased by $21.8 million (14%) and $34.7 million (24%), respectively. Same store new vehicle gross margin for the three months ended June 30, 2026 decreased 128 basis points to 5.6%. A 101 basis point decrease was seen in new vehicle gross profit margins, as reported. The decrease in our new vehicle gross profit margin was primarily attributable to the continued softening of the historically high new vehicle margins seen in recent years, combined with affordability constraints which have also served to compress margins.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seasonally adjusted annual rate ("SAAR") for new vehicle sales in the U.S. during the three months ended June 30, 2026 was approximately 16.2 million which increased slightly as compared to approximately 16.1 million during the three months ended June 30, 2025. The start of the second quarter of 2025 reflected surging demand due to tariff uncertainty but tapered off in the latter half of the quarter. The second quarter of 2026 saw a sluggish start to new vehicle sales due to climbing gas prices; however, demand rebounded as consumers returned to the market likely boosted by lowering gas prices, manufacturer incentives and strength in the equity markets in the second quarter of 2026 despite the broader economic uncertainty. We also continue to be impacted by the significant variation in new vehicle days supply among brands and models. </w:t>
      </w:r>
    </w:p>
    <w:p>
      <w:pPr>
        <w:pStyle w:val="TextBody"/>
        <w:bidi w:val="0"/>
        <w:spacing w:lineRule="auto" w:line="288" w:before="180" w:after="180"/>
        <w:jc w:val="left"/>
        <w:rPr/>
      </w:pPr>
      <w:r>
        <w:rPr>
          <w:rFonts w:ascii="Times New Roman;serif" w:hAnsi="Times New Roman;serif"/>
          <w:b w:val="false"/>
          <w:i/>
          <w:color w:val="000000"/>
          <w:sz w:val="20"/>
        </w:rPr>
        <w:t>Used Vehicle—</w:t>
      </w:r>
      <w:r>
        <w:rPr>
          <w:color w:val="000000"/>
        </w:rPr>
        <w:t> </w:t>
      </w:r>
    </w:p>
    <w:tbl>
      <w:tblPr>
        <w:tblW w:w="9149" w:type="dxa"/>
        <w:jc w:val="left"/>
        <w:tblInd w:w="0" w:type="dxa"/>
        <w:tblLayout w:type="fixed"/>
        <w:tblCellMar>
          <w:top w:w="28" w:type="dxa"/>
          <w:left w:w="28" w:type="dxa"/>
          <w:bottom w:w="28" w:type="dxa"/>
          <w:right w:w="28" w:type="dxa"/>
        </w:tblCellMar>
      </w:tblPr>
      <w:tblGrid>
        <w:gridCol w:w="1080"/>
        <w:gridCol w:w="951"/>
        <w:gridCol w:w="953"/>
        <w:gridCol w:w="257"/>
        <w:gridCol w:w="933"/>
        <w:gridCol w:w="132"/>
        <w:gridCol w:w="132"/>
        <w:gridCol w:w="132"/>
        <w:gridCol w:w="132"/>
        <w:gridCol w:w="257"/>
        <w:gridCol w:w="933"/>
        <w:gridCol w:w="132"/>
        <w:gridCol w:w="109"/>
        <w:gridCol w:w="109"/>
        <w:gridCol w:w="109"/>
        <w:gridCol w:w="332"/>
        <w:gridCol w:w="1087"/>
        <w:gridCol w:w="171"/>
        <w:gridCol w:w="109"/>
        <w:gridCol w:w="109"/>
        <w:gridCol w:w="109"/>
        <w:gridCol w:w="218"/>
        <w:gridCol w:w="218"/>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Used Vehicle Metrics—</w:t>
      </w:r>
    </w:p>
    <w:tbl>
      <w:tblPr>
        <w:tblW w:w="9183" w:type="dxa"/>
        <w:jc w:val="left"/>
        <w:tblInd w:w="0" w:type="dxa"/>
        <w:tblLayout w:type="fixed"/>
        <w:tblCellMar>
          <w:top w:w="28" w:type="dxa"/>
          <w:left w:w="28" w:type="dxa"/>
          <w:bottom w:w="28" w:type="dxa"/>
          <w:right w:w="28" w:type="dxa"/>
        </w:tblCellMar>
      </w:tblPr>
      <w:tblGrid>
        <w:gridCol w:w="1118"/>
        <w:gridCol w:w="985"/>
        <w:gridCol w:w="987"/>
        <w:gridCol w:w="425"/>
        <w:gridCol w:w="220"/>
        <w:gridCol w:w="547"/>
        <w:gridCol w:w="220"/>
        <w:gridCol w:w="220"/>
        <w:gridCol w:w="220"/>
        <w:gridCol w:w="425"/>
        <w:gridCol w:w="220"/>
        <w:gridCol w:w="547"/>
        <w:gridCol w:w="109"/>
        <w:gridCol w:w="109"/>
        <w:gridCol w:w="109"/>
        <w:gridCol w:w="305"/>
        <w:gridCol w:w="892"/>
        <w:gridCol w:w="392"/>
        <w:gridCol w:w="109"/>
        <w:gridCol w:w="109"/>
        <w:gridCol w:w="109"/>
        <w:gridCol w:w="180"/>
        <w:gridCol w:w="181"/>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33,054</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4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4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4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4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used vehicle revenue decreased by $49.8 million (4%) compared to the same period of the prior year, due to a $35.4 million (3%) decrease in used vehicle retail revenue and a $14.4 million (9%) decrease in used vehicle wholesale revenue. Same store used vehicle revenue decreased by $130.5 million (11%), due to a $104.4 million (10%) decrease in used vehicle retail revenue and a $26.2 million (18%) decrease in used vehicle wholesale revenue. Total used vehicle retail unit sales decreased by 9% on an all store basis and by 14% on a same store basis during the three months ended June 30, 2026 as compared to the three months ended June 30, 2025. While revenue per used vehicle retailed increased on both an all store and same store basis by 6% and 4%, respectively, the decrease in unit volumes on both an all store and same store basis negatively impacted used vehicle revenue for the three months ended June 30, 2026 as compared to the three months ended June 30, 2025. Used vehicle revenue per vehicle sold increased due to the continued tight inventory levels heightened by consumers moving to the used vehicle market due to higher new vehicle prices. Used vehicle unit volumes continued to be negatively impacted by the lack of inventory availability, especially in vehicles with lower mileage.</w:t>
      </w:r>
    </w:p>
    <w:p>
      <w:pPr>
        <w:pStyle w:val="TextBody"/>
        <w:bidi w:val="0"/>
        <w:spacing w:lineRule="auto" w:line="288" w:before="160" w:after="180"/>
        <w:ind w:left="0" w:right="0" w:firstLine="315"/>
        <w:jc w:val="left"/>
        <w:rPr/>
      </w:pPr>
      <w:r>
        <w:rPr>
          <w:rFonts w:ascii="Times New Roman;serif" w:hAnsi="Times New Roman;serif"/>
          <w:b w:val="false"/>
          <w:color w:val="000000"/>
          <w:sz w:val="20"/>
        </w:rPr>
        <w:t xml:space="preserve">For the three months ended June 30, 2026, both the total company and same store used vehicle retail gross profit margin increased by 54 basis points and 34 basis points, respectively, as compared to the three months ended June 30, 2025. The used vehicle retail gross margin increased from 5.5% to 6.1% on an all store basis and increased from 5.6% to 6.0% on a same store basis. We attribute the increases in used vehicle retail gross profit margins to our continued strong execution around sourcing and disciplined focus on profitability over units sold. Additionally, the increase in used vehicle gross margins on a total company basis was driven by the addition of the Herb Chambers Dealerships </w:t>
      </w:r>
      <w:r>
        <w:rPr>
          <w:rFonts w:ascii="Times New Roman;serif" w:hAnsi="Times New Roman;serif"/>
          <w:b w:val="false"/>
          <w:color w:val="212529"/>
          <w:sz w:val="20"/>
        </w:rPr>
        <w:t xml:space="preserve">in the </w:t>
      </w:r>
      <w:r>
        <w:rPr>
          <w:rFonts w:ascii="Times New Roman;serif" w:hAnsi="Times New Roman;serif"/>
          <w:b w:val="false"/>
          <w:color w:val="000000"/>
          <w:sz w:val="20"/>
        </w:rPr>
        <w:t>three months ended June 30, 2026 as compared to the three months ended June 30, 2025.</w:t>
      </w:r>
    </w:p>
    <w:p>
      <w:pPr>
        <w:pStyle w:val="TextBody"/>
        <w:bidi w:val="0"/>
        <w:spacing w:lineRule="auto" w:line="288" w:before="16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 increased $3.9 million (6%) for the three months ended June 30, 2026 as compared to the three months ended June 30, 2025 and decreased $2.7 million (5%) on a same store basis for the same period. On a total company and same store basis, our gross profit per used vehicle retailed increased by $282 (16%) and $182 (10%), respectively, when compared to the prior year period. This was primarily driven by increases in used vehicle market prices due to the tight used vehicle inventory market.</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Parts and Service—</w:t>
      </w:r>
    </w:p>
    <w:tbl>
      <w:tblPr>
        <w:tblW w:w="10205" w:type="dxa"/>
        <w:jc w:val="left"/>
        <w:tblInd w:w="0" w:type="dxa"/>
        <w:tblLayout w:type="fixed"/>
        <w:tblCellMar>
          <w:top w:w="28" w:type="dxa"/>
          <w:left w:w="28" w:type="dxa"/>
          <w:bottom w:w="28" w:type="dxa"/>
          <w:right w:w="28" w:type="dxa"/>
        </w:tblCellMar>
      </w:tblPr>
      <w:tblGrid>
        <w:gridCol w:w="1891"/>
        <w:gridCol w:w="1567"/>
        <w:gridCol w:w="1573"/>
        <w:gridCol w:w="477"/>
        <w:gridCol w:w="285"/>
        <w:gridCol w:w="286"/>
        <w:gridCol w:w="242"/>
        <w:gridCol w:w="242"/>
        <w:gridCol w:w="242"/>
        <w:gridCol w:w="477"/>
        <w:gridCol w:w="285"/>
        <w:gridCol w:w="286"/>
        <w:gridCol w:w="109"/>
        <w:gridCol w:w="109"/>
        <w:gridCol w:w="109"/>
        <w:gridCol w:w="316"/>
        <w:gridCol w:w="163"/>
        <w:gridCol w:w="407"/>
        <w:gridCol w:w="109"/>
        <w:gridCol w:w="109"/>
        <w:gridCol w:w="109"/>
        <w:gridCol w:w="180"/>
        <w:gridCol w:w="181"/>
        <w:gridCol w:w="451"/>
      </w:tblGrid>
      <w:tr>
        <w:trPr/>
        <w:tc>
          <w:tcPr>
            <w:tcW w:w="189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104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104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104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104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i/>
          <w:color w:val="000000"/>
          <w:sz w:val="18"/>
        </w:rPr>
      </w:pPr>
      <w:r>
        <w:rPr>
          <w:rFonts w:ascii="Times New Roman;serif" w:hAnsi="Times New Roman;serif"/>
          <w:b w:val="false"/>
          <w:i/>
          <w:color w:val="000000"/>
          <w:sz w:val="18"/>
        </w:rPr>
        <w:t>* Reconditioning and preparation represents the gross profit earned by our parts and service departments for internal work performed and is included as a reduction of Parts and Service Cost of Sales in the accompanying Condensed Consolidated Statements of Income upon the sale of the vehicle.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$33.1 million (6%) increase in parts and service revenue was primarily due to a $26.2 million (8%) increase in customer pay revenue and a $9.5 million (10%) increase in warranty revenue, partially offset by a $1.5 million (2%) decrease in collision revenue and a $1.1 million (1%) decrease in wholesale parts revenue. Same store parts and service revenue increased by $5.3 million (1%) to $550.7 million during the three months ended June 30, 2026 from $545.4 million during the three months ended June 30, 2025. The increase in same store parts and service revenue was due to a $5.4 million (2%) increase in customer pay revenue and a $2.5 million (2%) increase in wholesale parts revenue, partially offset by a $2.5 million (4%) decrease in collision revenue. The average age of vehicles continues to grow in 2026 reaching a historically high 13.0 years. Consumers are retaining vehicles for longer periods of time due to various factors, including the higher cost of vehicles, higher interest rates, as well as the vehicle inventory constraints experienced in the automotive industry in recent years.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For the three months ended June 30, 2026, total parts and service gross profit increased by $19.4 million (5%) to $374.2 million and same store total parts and service gross profit decreased by $2.6 million (1%) to $322.8 million when compared to the same period of the prior year</w:t>
      </w:r>
      <w:r>
        <w:rPr>
          <w:rFonts w:ascii="Times New Roman;serif" w:hAnsi="Times New Roman;serif"/>
          <w:b w:val="false"/>
          <w:color w:val="000000"/>
          <w:sz w:val="20"/>
          <w:shd w:fill="DEF3C0" w:val="clear"/>
        </w:rPr>
        <w:t>.</w:t>
      </w:r>
      <w:r>
        <w:rPr>
          <w:color w:val="000000"/>
        </w:rPr>
        <w:t xml:space="preserve"> </w:t>
      </w:r>
      <w:r>
        <w:rPr>
          <w:rFonts w:ascii="Times New Roman;serif" w:hAnsi="Times New Roman;serif"/>
          <w:b w:val="false"/>
          <w:color w:val="000000"/>
          <w:sz w:val="20"/>
        </w:rPr>
        <w:t xml:space="preserve">The all store increase is primarily due to the Herb Chambers acquisition, offset by store divestitures, while the same store increase is primarily due to increased customer pay and wholesale parts business offset by a decrease in the collision business profitability, which is in line with the increasing trend of aged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pPr>
      <w:r>
        <w:rPr>
          <w:rFonts w:ascii="Times New Roman;serif" w:hAnsi="Times New Roman;serif"/>
          <w:b w:val="false"/>
          <w:i/>
          <w:color w:val="000000"/>
          <w:sz w:val="20"/>
        </w:rPr>
        <w:t>Finance and Insurance, net—</w:t>
      </w:r>
      <w:r>
        <w:rPr>
          <w:color w:val="000000"/>
        </w:rPr>
        <w:t> </w:t>
      </w:r>
    </w:p>
    <w:tbl>
      <w:tblPr>
        <w:tblW w:w="8984" w:type="dxa"/>
        <w:jc w:val="center"/>
        <w:tblInd w:w="0" w:type="dxa"/>
        <w:tblLayout w:type="fixed"/>
        <w:tblCellMar>
          <w:top w:w="28" w:type="dxa"/>
          <w:left w:w="28" w:type="dxa"/>
          <w:bottom w:w="28" w:type="dxa"/>
          <w:right w:w="28" w:type="dxa"/>
        </w:tblCellMar>
      </w:tblPr>
      <w:tblGrid>
        <w:gridCol w:w="1307"/>
        <w:gridCol w:w="1153"/>
        <w:gridCol w:w="1155"/>
        <w:gridCol w:w="292"/>
        <w:gridCol w:w="853"/>
        <w:gridCol w:w="150"/>
        <w:gridCol w:w="150"/>
        <w:gridCol w:w="150"/>
        <w:gridCol w:w="150"/>
        <w:gridCol w:w="292"/>
        <w:gridCol w:w="853"/>
        <w:gridCol w:w="150"/>
        <w:gridCol w:w="109"/>
        <w:gridCol w:w="109"/>
        <w:gridCol w:w="109"/>
        <w:gridCol w:w="241"/>
        <w:gridCol w:w="533"/>
        <w:gridCol w:w="126"/>
        <w:gridCol w:w="109"/>
        <w:gridCol w:w="109"/>
        <w:gridCol w:w="109"/>
        <w:gridCol w:w="165"/>
        <w:gridCol w:w="165"/>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9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F&amp;I revenue, net increased by $1.9 million (1%) during the three months ended June 30, 2026 when compared to the three months ended June 30, 2025, as a result of a $132 (6%) increase in F&amp;I per vehicle retailed, partially offset by a 4% decrease in total retail units sold.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a same store basis, F&amp;I revenue, net decreased by $9.0 million (5%) during the three months ended June 30, 2026 when compared to the three months ended June 30, 2025, primarily due to a 10% decrease in total retail units sold, partially offset by a $113 (5%) increase in F&amp;I per vehicle retailed. F&amp;I revenue, net was negatively impacted by the deferral of commission revenue on the sale of TCA products, which we continue to roll out to all of our stores, as compared to the immediate revenue recognition on the sale of third party F&amp;I products. In addition, customers continue to look for ways to manage lower monthly payments in a high interest rate environment. </w:t>
      </w:r>
    </w:p>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financial results of the TCA segment, after dealership eliminations, are as follows:</w:t>
      </w:r>
    </w:p>
    <w:tbl>
      <w:tblPr>
        <w:tblW w:w="8473" w:type="dxa"/>
        <w:jc w:val="left"/>
        <w:tblInd w:w="0" w:type="dxa"/>
        <w:tblLayout w:type="fixed"/>
        <w:tblCellMar>
          <w:top w:w="28" w:type="dxa"/>
          <w:left w:w="28" w:type="dxa"/>
          <w:bottom w:w="28" w:type="dxa"/>
          <w:right w:w="28" w:type="dxa"/>
        </w:tblCellMar>
      </w:tblPr>
      <w:tblGrid>
        <w:gridCol w:w="1085"/>
        <w:gridCol w:w="954"/>
        <w:gridCol w:w="961"/>
        <w:gridCol w:w="323"/>
        <w:gridCol w:w="782"/>
        <w:gridCol w:w="166"/>
        <w:gridCol w:w="166"/>
        <w:gridCol w:w="166"/>
        <w:gridCol w:w="166"/>
        <w:gridCol w:w="323"/>
        <w:gridCol w:w="782"/>
        <w:gridCol w:w="166"/>
        <w:gridCol w:w="109"/>
        <w:gridCol w:w="109"/>
        <w:gridCol w:w="109"/>
        <w:gridCol w:w="254"/>
        <w:gridCol w:w="512"/>
        <w:gridCol w:w="133"/>
        <w:gridCol w:w="109"/>
        <w:gridCol w:w="109"/>
        <w:gridCol w:w="109"/>
        <w:gridCol w:w="216"/>
        <w:gridCol w:w="219"/>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revenue</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cost of sales</w:t>
            </w:r>
          </w:p>
        </w:tc>
        <w:tc>
          <w:tcPr>
            <w:tcW w:w="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gross profit</w:t>
            </w:r>
          </w:p>
        </w:tc>
        <w:tc>
          <w:tcPr>
            <w:tcW w:w="3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June 30, 2026, TCA generated $18.8 million of revenue, after dealership eliminations, consisting primarily of earned premiums and $5.4 million of investment income from the investment portfolio. F&amp;I revenue increased by $3.2 million (21%) for the three months ended June 30, 2026 as compared to the three months ended June 30, 2025 due to the continued roll-out of TCA products across Asbury dealerships resulting in the deferral of F&amp;I revenue over the TCA contract term as opposed to the immediate recognition of revenue associated with third-party F&amp;I product sales.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Direct expenses incurred for the acquisition of F&amp;I contracts on which revenue has not yet been recognized have been deferred and are amortized over the related contract period. During the three months ended June 30, 2026, TCA recorded $12.4 million of cost of sales consisting primarily of claims expense. Commissions expense paid by TCA to our affiliated dealerships and reflected as F&amp;I revenue in our Dealerships segment is eliminated in the TCA segment upon consolidation.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complete the rollout to all of our dealerships in 2026 by offering TCA products on our Herb Chambers platform; however, no assurance can be given that the rollout will be completed with the timeframe contemplated.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tbl>
      <w:tblPr>
        <w:tblW w:w="10205" w:type="dxa"/>
        <w:jc w:val="center"/>
        <w:tblInd w:w="0" w:type="dxa"/>
        <w:tblLayout w:type="fixed"/>
        <w:tblCellMar>
          <w:top w:w="28" w:type="dxa"/>
          <w:left w:w="28" w:type="dxa"/>
          <w:bottom w:w="28" w:type="dxa"/>
          <w:right w:w="28" w:type="dxa"/>
        </w:tblCellMar>
      </w:tblPr>
      <w:tblGrid>
        <w:gridCol w:w="965"/>
        <w:gridCol w:w="646"/>
        <w:gridCol w:w="647"/>
        <w:gridCol w:w="211"/>
        <w:gridCol w:w="616"/>
        <w:gridCol w:w="109"/>
        <w:gridCol w:w="109"/>
        <w:gridCol w:w="109"/>
        <w:gridCol w:w="109"/>
        <w:gridCol w:w="255"/>
        <w:gridCol w:w="256"/>
        <w:gridCol w:w="542"/>
        <w:gridCol w:w="109"/>
        <w:gridCol w:w="109"/>
        <w:gridCol w:w="109"/>
        <w:gridCol w:w="211"/>
        <w:gridCol w:w="616"/>
        <w:gridCol w:w="109"/>
        <w:gridCol w:w="109"/>
        <w:gridCol w:w="109"/>
        <w:gridCol w:w="109"/>
        <w:gridCol w:w="255"/>
        <w:gridCol w:w="256"/>
        <w:gridCol w:w="542"/>
        <w:gridCol w:w="109"/>
        <w:gridCol w:w="109"/>
        <w:gridCol w:w="109"/>
        <w:gridCol w:w="211"/>
        <w:gridCol w:w="550"/>
        <w:gridCol w:w="109"/>
        <w:gridCol w:w="109"/>
        <w:gridCol w:w="109"/>
        <w:gridCol w:w="109"/>
        <w:gridCol w:w="300"/>
        <w:gridCol w:w="297"/>
        <w:gridCol w:w="867"/>
      </w:tblGrid>
      <w:tr>
        <w:trPr/>
        <w:tc>
          <w:tcPr>
            <w:tcW w:w="9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 Increase (Decrease)</w:t>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SG&amp;A expense as a percentage of gross profit increased 401 basis points from 63.2% for the three months ended June 30, 2025 to 67.2% for the three months ended June 30, 2026. The increase in SG&amp;A expense as a percentage of gross profit on a total company basis during the three months ended June 30, 2026 is primarily due to the relatively flat gross profit for the three months ended June 30, 2026 as compared to the three months ended June 30, 2025 and an increase in SG&amp;A expense driven by the Herb Chambers Businesses and offset by store divestitures in 2025 and the first quarter of 2026.</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a same store basis, SG&amp;A expense as a percentage of gross profit increased 360 basis points from 62.8% for the three months ended June 30, 2025 to 66.4% for the three months ended June 30, 2026. The increase in SG&amp;A expense as a percentage of gross profit on a same store basis for the three months ended June 30, 2026 is the result of a decrease in gross profit, partially offset by a decrease in SG&amp;A expense for the three months ended June 30, 2026 as compared to the three months ended June 30, 2025. On a same store basis, personnel costs decreased by $16.8 million (0.7%) for the three months ended June 30, 2026 as compared to the same period in the prior year due to a reduction in commissions payable on lower gross profits earned during the relevant periods. This was partially offset by an increase in rent and related expense of $6.6 million (1.3%) on a same store basis primarily due to a $5.0 million insurance recovery received in 2025.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Asset Impairments—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asset impairment charges of $4.2 million related to a dealership that met the criteria to be reflected as assets held for sale in June 2026, and whose franchise rights carrying value exceeded the Company's estimate of the franchise rights fair value less costs to sell. For the three months ended June 30, 2025, we did not recognize any asset impairment charges.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Floor Plan Interest Expense—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interest expense increased by $3.5 million (19%) to $21.6 million during the three months ended June 30, 2026 as compared to $18.1 million for the three months ended June 30, 2025, as a result of higher non-manufacturer floor plan balances in 2026 due to the Herb Chambers acquisition, partially offset by lower non-manufacturer floor plan balances due to store divestitures in 2025 and February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Interest Expense—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increased $5.1 million (12%) from $41.4 million during the three months ended June 30, 2025 to $46.5 million during the three months ended June 30, 2026. This increase was primarily due to a $1.8 million increase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mortgage facilities interest expense and $2.1 million of credit facility interest expense as a result of borrowings incurred in connection with the Herb Chambers acquisition.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Gain on Dealership Divestitures, Net—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divestitures during the three months ended June 30, 2026. During the three months ended June 30, 2025, we sold seven franchises (five dealership locations) for an aggregate purchase price of approximately $188.8 million. The Company recorded a pre-tax gain totaling $5.9 million, which is presented in our accompanying condensed consolidated statements of income as a gain on dealership divestitures, net.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$14.3 million (28%) decrease in income tax expense was primarily the result of a $52.5 million (26%) decrease in income before income taxes and a benefit for interest income relating to tax overpayments. Our effective tax rate for the three months ended June 30, 2026 was 24.3% compared to 25.0% in the prior year comparative period, which differed from the U.S. statutory rate primarily due to the favorable effects of amended state income tax returns and the aforementioned interest income benefit offset by the unfavorable effects of the shortfall component of equity compensation, which are discrete items, and the unfavorable effects of various permanent tax adjustments such as executive compensation. We estimate our effective tax rate for the year ended December 31, 2026 at approximately 25%. This estimated effective tax rate includes the effects of the tax benefits related to the purchase of transferable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00" w:after="180"/>
        <w:jc w:val="left"/>
        <w:rPr>
          <w:rFonts w:ascii="Times New Roman;serif" w:hAnsi="Times New Roman;serif"/>
          <w:b/>
          <w:color w:val="000000"/>
          <w:sz w:val="20"/>
        </w:rPr>
      </w:pPr>
      <w:r>
        <w:rPr>
          <w:rFonts w:ascii="Times New Roman;serif" w:hAnsi="Times New Roman;serif"/>
          <w:b/>
          <w:color w:val="000000"/>
          <w:sz w:val="20"/>
        </w:rPr>
        <w:t>Six Months Ended June 30, 2026 Compared to the Six Months Ended June 30, 2025</w:t>
      </w:r>
    </w:p>
    <w:tbl>
      <w:tblPr>
        <w:tblW w:w="8422" w:type="dxa"/>
        <w:jc w:val="left"/>
        <w:tblInd w:w="0" w:type="dxa"/>
        <w:tblLayout w:type="fixed"/>
        <w:tblCellMar>
          <w:top w:w="28" w:type="dxa"/>
          <w:left w:w="28" w:type="dxa"/>
          <w:bottom w:w="28" w:type="dxa"/>
          <w:right w:w="28" w:type="dxa"/>
        </w:tblCellMar>
      </w:tblPr>
      <w:tblGrid>
        <w:gridCol w:w="1143"/>
        <w:gridCol w:w="1000"/>
        <w:gridCol w:w="1007"/>
        <w:gridCol w:w="239"/>
        <w:gridCol w:w="869"/>
        <w:gridCol w:w="123"/>
        <w:gridCol w:w="123"/>
        <w:gridCol w:w="123"/>
        <w:gridCol w:w="123"/>
        <w:gridCol w:w="239"/>
        <w:gridCol w:w="869"/>
        <w:gridCol w:w="123"/>
        <w:gridCol w:w="109"/>
        <w:gridCol w:w="109"/>
        <w:gridCol w:w="109"/>
        <w:gridCol w:w="211"/>
        <w:gridCol w:w="586"/>
        <w:gridCol w:w="109"/>
        <w:gridCol w:w="109"/>
        <w:gridCol w:w="109"/>
        <w:gridCol w:w="109"/>
        <w:gridCol w:w="218"/>
        <w:gridCol w:w="218"/>
        <w:gridCol w:w="445"/>
      </w:tblGrid>
      <w:tr>
        <w:trPr/>
        <w:tc>
          <w:tcPr>
            <w:tcW w:w="114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share—Diluted</w:t>
            </w:r>
          </w:p>
        </w:tc>
        <w:tc>
          <w:tcPr>
            <w:tcW w:w="2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8130" w:type="dxa"/>
        <w:jc w:val="center"/>
        <w:tblInd w:w="0" w:type="dxa"/>
        <w:tblLayout w:type="fixed"/>
        <w:tblCellMar>
          <w:top w:w="28" w:type="dxa"/>
          <w:left w:w="28" w:type="dxa"/>
          <w:bottom w:w="28" w:type="dxa"/>
          <w:right w:w="28" w:type="dxa"/>
        </w:tblCellMar>
      </w:tblPr>
      <w:tblGrid>
        <w:gridCol w:w="1792"/>
        <w:gridCol w:w="1576"/>
        <w:gridCol w:w="1582"/>
        <w:gridCol w:w="307"/>
        <w:gridCol w:w="309"/>
        <w:gridCol w:w="578"/>
        <w:gridCol w:w="232"/>
        <w:gridCol w:w="232"/>
        <w:gridCol w:w="232"/>
        <w:gridCol w:w="307"/>
        <w:gridCol w:w="309"/>
        <w:gridCol w:w="674"/>
      </w:tblGrid>
      <w:tr>
        <w:trPr/>
        <w:tc>
          <w:tcPr>
            <w:tcW w:w="179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MIX PERCENTAGES: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MIX PERCENTAGES:</w:t>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67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revenue for the six months ended June 30, 2026 decreased by $24.0 million compared to the six months ended June 30, 2025, due to a $79.3 million (3%) decrease in used vehicle revenue, an $11.0 million decrease in new vehicle revenue, and a $6.1 million (2%) decrease in F&amp;I, net revenue, offset by a $72.3 million (6%) increase in parts and service revenue. During the six months ended June 30, 2026, gross profit increased by $3.9 million, driven by a $41.9 million (6%) increase in parts and service gross profit and a $2.2 million (2%) increase in used vehicle gross profit, offset by a $36.4 million (12%) decrease in new vehicle gross profit and a $3.8 million (1%) decrease in F&amp;I gross profit.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Income from operations during the six months ended June 30, 2026 decreased by $78.4 million (16%), compared to the six months ended June 30, 2025, primarily due to a $84.9 million (9%) increase in selling, general and administrative expenses and a $7.4 million (19%) increase in depreciation and amortization expense, partially offset by a $10.1 million (71%) decrease in asset impairment expense and a $3.9 million increase in gross profit.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other expenses, net decreased by $101.0 million (90%) during the six months ended June 30, 2026 as compared to the six months ended June 30, 2025, primarily as a result of a $115.7 million increase in gain on dealership divestitures, net, offset by a $10.8 million (13%) increase in other interest expense, net and a $3.8 million (10%) increase in floor plan interest expense. Income before income taxes increased $22.7 million (6%) to $401.9 million for the six months ended June 30, 2026 as compared to the six months ended June 30, 2025. Overall, net income increased by $17.6 million (6%) during the six months ended June 30, 2026 as compared to the six months ended June 30, 2025.</w:t>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180"/>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New Vehicle—</w:t>
      </w:r>
    </w:p>
    <w:tbl>
      <w:tblPr>
        <w:tblW w:w="7910" w:type="dxa"/>
        <w:jc w:val="left"/>
        <w:tblInd w:w="0" w:type="dxa"/>
        <w:tblLayout w:type="fixed"/>
        <w:tblCellMar>
          <w:top w:w="28" w:type="dxa"/>
          <w:left w:w="28" w:type="dxa"/>
          <w:bottom w:w="28" w:type="dxa"/>
          <w:right w:w="28" w:type="dxa"/>
        </w:tblCellMar>
      </w:tblPr>
      <w:tblGrid>
        <w:gridCol w:w="916"/>
        <w:gridCol w:w="808"/>
        <w:gridCol w:w="810"/>
        <w:gridCol w:w="239"/>
        <w:gridCol w:w="869"/>
        <w:gridCol w:w="123"/>
        <w:gridCol w:w="123"/>
        <w:gridCol w:w="123"/>
        <w:gridCol w:w="123"/>
        <w:gridCol w:w="239"/>
        <w:gridCol w:w="869"/>
        <w:gridCol w:w="123"/>
        <w:gridCol w:w="109"/>
        <w:gridCol w:w="109"/>
        <w:gridCol w:w="109"/>
        <w:gridCol w:w="211"/>
        <w:gridCol w:w="691"/>
        <w:gridCol w:w="109"/>
        <w:gridCol w:w="109"/>
        <w:gridCol w:w="109"/>
        <w:gridCol w:w="109"/>
        <w:gridCol w:w="216"/>
        <w:gridCol w:w="219"/>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1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Vehicle Metrics—</w:t>
      </w:r>
    </w:p>
    <w:tbl>
      <w:tblPr>
        <w:tblW w:w="9040" w:type="dxa"/>
        <w:jc w:val="left"/>
        <w:tblInd w:w="0" w:type="dxa"/>
        <w:tblLayout w:type="fixed"/>
        <w:tblCellMar>
          <w:top w:w="28" w:type="dxa"/>
          <w:left w:w="28" w:type="dxa"/>
          <w:bottom w:w="28" w:type="dxa"/>
          <w:right w:w="28" w:type="dxa"/>
        </w:tblCellMar>
      </w:tblPr>
      <w:tblGrid>
        <w:gridCol w:w="1003"/>
        <w:gridCol w:w="885"/>
        <w:gridCol w:w="887"/>
        <w:gridCol w:w="504"/>
        <w:gridCol w:w="338"/>
        <w:gridCol w:w="338"/>
        <w:gridCol w:w="260"/>
        <w:gridCol w:w="260"/>
        <w:gridCol w:w="260"/>
        <w:gridCol w:w="504"/>
        <w:gridCol w:w="338"/>
        <w:gridCol w:w="338"/>
        <w:gridCol w:w="109"/>
        <w:gridCol w:w="109"/>
        <w:gridCol w:w="109"/>
        <w:gridCol w:w="567"/>
        <w:gridCol w:w="293"/>
        <w:gridCol w:w="730"/>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53,049</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1180"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new vehicle revenue decreased by $11.0 million due to a decrease in new vehicle units sold of 2,406 (3%), partially offset by a $1,358 (3%) increase in revenue per new vehicle sold as compared to the six months ended June 30, 2025. Same store new vehicle revenue decreased by $319.8 million (8%), driven by a decrease in new vehicles sold of 7,033 (9%), partially offset by a $543 (1%) increase in revenue per new vehicle sold as compared to the six months ended June 30,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new vehicle gross profit and same store new vehicle gross profit decreased by $36.4 million (12%) and $61.6 million (22%), respectively. Same store new vehicle gross margin for the six months ended June 30, 2026 decreased 105 basis points to 5.8%. An 80 basis point decrease was seen in new vehicle gross profit margins, as reported. The decrease in our new vehicle gross profit margin was primarily attributable to the continued easing of new vehicle inventory constraints which softened the historically high new vehicle margins seen in recent years, combined with affordability constraints which have also served to compress margins.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seasonally adjusted annual rate ("SAAR") for new vehicle sales in the U.S. during the six months ended June 30, 2026 was approximately 15.9 million which decreased as compared to approximately 16.3 million during the six months ended June 30, 2025. The decrease in SAAR period over period was due to higher consumer demand for new vehicles driven by automobile tariff uncertainty in the first and second quarter of 2025 that did not recur in 2026. We also continue to be impacted by the significant variation in new vehicle days supply among brands and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pPr>
      <w:r>
        <w:rPr>
          <w:rFonts w:ascii="Times New Roman;serif" w:hAnsi="Times New Roman;serif"/>
          <w:b w:val="false"/>
          <w:i/>
          <w:color w:val="000000"/>
          <w:sz w:val="20"/>
        </w:rPr>
        <w:t>Used Vehicle—</w:t>
      </w:r>
      <w:r>
        <w:rPr>
          <w:color w:val="000000"/>
        </w:rPr>
        <w:t> </w:t>
      </w:r>
    </w:p>
    <w:tbl>
      <w:tblPr>
        <w:tblW w:w="8940" w:type="dxa"/>
        <w:jc w:val="left"/>
        <w:tblInd w:w="0" w:type="dxa"/>
        <w:tblLayout w:type="fixed"/>
        <w:tblCellMar>
          <w:top w:w="28" w:type="dxa"/>
          <w:left w:w="28" w:type="dxa"/>
          <w:bottom w:w="28" w:type="dxa"/>
          <w:right w:w="28" w:type="dxa"/>
        </w:tblCellMar>
      </w:tblPr>
      <w:tblGrid>
        <w:gridCol w:w="1080"/>
        <w:gridCol w:w="951"/>
        <w:gridCol w:w="953"/>
        <w:gridCol w:w="239"/>
        <w:gridCol w:w="869"/>
        <w:gridCol w:w="123"/>
        <w:gridCol w:w="123"/>
        <w:gridCol w:w="123"/>
        <w:gridCol w:w="123"/>
        <w:gridCol w:w="239"/>
        <w:gridCol w:w="869"/>
        <w:gridCol w:w="123"/>
        <w:gridCol w:w="109"/>
        <w:gridCol w:w="109"/>
        <w:gridCol w:w="109"/>
        <w:gridCol w:w="332"/>
        <w:gridCol w:w="1087"/>
        <w:gridCol w:w="171"/>
        <w:gridCol w:w="109"/>
        <w:gridCol w:w="109"/>
        <w:gridCol w:w="109"/>
        <w:gridCol w:w="218"/>
        <w:gridCol w:w="218"/>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57,404 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65,784 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Used Vehicle Metrics—</w:t>
      </w:r>
    </w:p>
    <w:tbl>
      <w:tblPr>
        <w:tblW w:w="8969" w:type="dxa"/>
        <w:jc w:val="left"/>
        <w:tblInd w:w="0" w:type="dxa"/>
        <w:tblLayout w:type="fixed"/>
        <w:tblCellMar>
          <w:top w:w="28" w:type="dxa"/>
          <w:left w:w="28" w:type="dxa"/>
          <w:bottom w:w="28" w:type="dxa"/>
          <w:right w:w="28" w:type="dxa"/>
        </w:tblCellMar>
      </w:tblPr>
      <w:tblGrid>
        <w:gridCol w:w="1118"/>
        <w:gridCol w:w="985"/>
        <w:gridCol w:w="987"/>
        <w:gridCol w:w="396"/>
        <w:gridCol w:w="204"/>
        <w:gridCol w:w="509"/>
        <w:gridCol w:w="204"/>
        <w:gridCol w:w="204"/>
        <w:gridCol w:w="204"/>
        <w:gridCol w:w="396"/>
        <w:gridCol w:w="204"/>
        <w:gridCol w:w="509"/>
        <w:gridCol w:w="109"/>
        <w:gridCol w:w="109"/>
        <w:gridCol w:w="109"/>
        <w:gridCol w:w="305"/>
        <w:gridCol w:w="892"/>
        <w:gridCol w:w="392"/>
        <w:gridCol w:w="109"/>
        <w:gridCol w:w="109"/>
        <w:gridCol w:w="109"/>
        <w:gridCol w:w="180"/>
        <w:gridCol w:w="181"/>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32,482</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3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31,553</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3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60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used vehicle revenue decreased by $79.3 million (3%) compared to the same period of the prior year, due to a $54.7 million (2%) decrease in used vehicle retail revenue and a $24.5 million (8%) decrease in used vehicle wholesale revenue. Same store used vehicle revenue decreased by $263.3 million (11%) due to a $208.8 million (10%) decrease in used vehicle retail revenue and a $54.5 million (18%) decrease in used vehicle wholesale revenue. Total used vehicle retail unit sales decreased by 7% on an all store basis and by 13% on a same store basis during the six months ended June 30, 2026 as compared to the six months ended June 30, 2025. While revenue per used vehicle retailed increased on both an all store and same store basis by 5% and 3%, respectively, the decrease in unit volumes on both an all store and same store basis negatively impacted used vehicle revenue for the six months ended June 30, 2026 as compared to the six months ended June 30, 2025. Used vehicle revenue per vehicle sold increased due to the continued tight inventory levels heightened by consumers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moving to the used vehicle market due to higher new vehicle prices. Used vehicle unit volumes were negatively impacted by lower new vehicle unit sales which reduced trade-ins, our primary source of used vehicle inventory, and the continued lack of inventory availability, especially in vehicles with lower mileage.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total company and same store used vehicle retail gross profit margin increased by 56 basis points and 46 basis points, respectively, as compared to the six months ended June 30, 2025. The used vehicle retail gross margin increased from 5.4% to 5.9% on an all store basis and increased from 5.5% to 6.0% on a same store basis. We attribute the increases in used vehicle gross profit margins to strong execution around sourcing and disciplined focus on profitability over units sold. Additionally, the increase in used vehicle gross margins on a total company basis was driven by the addition of the Herb Chambers Dealerships in the six months ended June 30, 2026 as compared to the six months ended June 30, 2025.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Used vehicle retail gross profit increased $9.1 million (8%) for the six months ended June 30, 2026 as compared to the six months ended June 30, 2025 and decreased $3.2 million (3%) on a same store basis for the same period. On a total company and same store basis, our gross profit per used vehicle retailed increased $270 (16%) and $191 (11%), respectively, when compared to the prior year period. This was primarily driven by increases in used vehicle market prices due to the tight used vehicle inventory market. </w:t>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before="180" w:after="283"/>
        <w:ind w:left="0" w:right="0" w:firstLine="270"/>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Parts and Service—</w:t>
      </w:r>
    </w:p>
    <w:tbl>
      <w:tblPr>
        <w:tblW w:w="10205" w:type="dxa"/>
        <w:jc w:val="left"/>
        <w:tblInd w:w="0" w:type="dxa"/>
        <w:tblLayout w:type="fixed"/>
        <w:tblCellMar>
          <w:top w:w="28" w:type="dxa"/>
          <w:left w:w="28" w:type="dxa"/>
          <w:bottom w:w="28" w:type="dxa"/>
          <w:right w:w="28" w:type="dxa"/>
        </w:tblCellMar>
      </w:tblPr>
      <w:tblGrid>
        <w:gridCol w:w="1885"/>
        <w:gridCol w:w="1559"/>
        <w:gridCol w:w="1565"/>
        <w:gridCol w:w="375"/>
        <w:gridCol w:w="206"/>
        <w:gridCol w:w="515"/>
        <w:gridCol w:w="182"/>
        <w:gridCol w:w="182"/>
        <w:gridCol w:w="182"/>
        <w:gridCol w:w="375"/>
        <w:gridCol w:w="206"/>
        <w:gridCol w:w="515"/>
        <w:gridCol w:w="109"/>
        <w:gridCol w:w="109"/>
        <w:gridCol w:w="109"/>
        <w:gridCol w:w="211"/>
        <w:gridCol w:w="511"/>
        <w:gridCol w:w="271"/>
        <w:gridCol w:w="109"/>
        <w:gridCol w:w="109"/>
        <w:gridCol w:w="109"/>
        <w:gridCol w:w="180"/>
        <w:gridCol w:w="181"/>
        <w:gridCol w:w="450"/>
      </w:tblGrid>
      <w:tr>
        <w:trPr/>
        <w:tc>
          <w:tcPr>
            <w:tcW w:w="188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5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5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5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5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5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5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5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18"/>
        </w:rPr>
        <w:t xml:space="preserve">* </w:t>
      </w:r>
      <w:r>
        <w:rPr>
          <w:rFonts w:ascii="Times New Roman;serif" w:hAnsi="Times New Roman;serif"/>
          <w:b w:val="false"/>
          <w:i/>
          <w:color w:val="000000"/>
          <w:sz w:val="18"/>
        </w:rPr>
        <w:t>Reconditioning and preparation represents the gross profit earned by our parts and service departments for internal work performed and is included as a reduction of parts and service cost of sales in the accompanying condensed consolidated stat</w:t>
      </w:r>
      <w:r>
        <w:rPr>
          <w:rFonts w:ascii="Times New Roman;serif" w:hAnsi="Times New Roman;serif"/>
          <w:b w:val="false"/>
          <w:i/>
          <w:color w:val="000000"/>
          <w:sz w:val="18"/>
          <w:shd w:fill="FFFFFF" w:val="clear"/>
        </w:rPr>
        <w:t>ements of income upon the sale of the vehicle.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$72.3 million (6%) increase in parts and service revenue was primarily due to a $51.3 million (8%) increase in customer pay revenue, a $24.6 million (13%) increase in warranty revenue, and a $0.9 million increase in wholesale parts revenue, partially offset by a $4.5 million (3%) decrease in collision revenue. Same store parts and service revenue increased by $7.5 million (1%) to $1,084.3 million during the six months ended June 30, 2026 from $1,076.8 million during the six months ended June 30, 2025. The increase in same store parts and service revenue was due to a $9.1 million (2%) increase in customer pay revenue, a $5.8 million (3%) increase in wholesale parts revenue, and a $1.2 million (1%) increase in warranty revenue, partially offset by an $8.6 million (7%) decrease in collision revenue. The average age of vehicles in 2026 is historically high at 13.0 years. Consumers are retaining vehicles for longer periods of time due to various factors, including the higher cost of vehicles, higher interest rates, as well as the vehicle inventory constraints experienced in the automotive industry in recent years.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total parts and service gross profit increased by $41.9 million (6%) to $739.3 million, and same store total parts and service gross profit decreased by $6.3 million (1%) to $632.1 million when compared to the same period of the prior year. The all store increase is primarily due to the Herb Chambers acquisition, offset by store divestitures, while the same store decrease is primarily due to a decrease in internal work and the collision business profitability offset by increased customer pay and warranty volume, which is in line with the increasing trend of aged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Finance and Insurance, net—</w:t>
      </w:r>
    </w:p>
    <w:tbl>
      <w:tblPr>
        <w:tblW w:w="8782" w:type="dxa"/>
        <w:jc w:val="center"/>
        <w:tblInd w:w="0" w:type="dxa"/>
        <w:tblLayout w:type="fixed"/>
        <w:tblCellMar>
          <w:top w:w="28" w:type="dxa"/>
          <w:left w:w="28" w:type="dxa"/>
          <w:bottom w:w="28" w:type="dxa"/>
          <w:right w:w="28" w:type="dxa"/>
        </w:tblCellMar>
      </w:tblPr>
      <w:tblGrid>
        <w:gridCol w:w="1307"/>
        <w:gridCol w:w="1153"/>
        <w:gridCol w:w="1155"/>
        <w:gridCol w:w="272"/>
        <w:gridCol w:w="794"/>
        <w:gridCol w:w="140"/>
        <w:gridCol w:w="140"/>
        <w:gridCol w:w="140"/>
        <w:gridCol w:w="140"/>
        <w:gridCol w:w="272"/>
        <w:gridCol w:w="794"/>
        <w:gridCol w:w="140"/>
        <w:gridCol w:w="109"/>
        <w:gridCol w:w="109"/>
        <w:gridCol w:w="109"/>
        <w:gridCol w:w="211"/>
        <w:gridCol w:w="586"/>
        <w:gridCol w:w="109"/>
        <w:gridCol w:w="109"/>
        <w:gridCol w:w="109"/>
        <w:gridCol w:w="109"/>
        <w:gridCol w:w="165"/>
        <w:gridCol w:w="165"/>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F&amp;I revenue, net decreased by $6.1 million (2%) during the six months ended June 30, 2026 when compared to the six months ended June 30, 2025, as a result of a 5% decrease in total retail units sold, partially offset by a $87 (4%) increase in F&amp;I per vehicle retailed.</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 same store basis, F&amp;I revenue, net decreased by $28.3 million (8%) during the six months ended June 30, 2026 when compared to the six months ended June 30, 2025, primarily due to an 11% decrease in total retail units sold, partially offset by a $60 (3%) increase in F&amp;I per vehicle retailed. F&amp;I revenue, net was negatively impacted by the deferral of commission revenue on the sale of TCA products, which we continue to roll out to all of our stores, as compared to the immediate revenue recognition on the sale of third party F&amp;I products. In addition, customers continue to look for ways to manage lower monthly payments in a high interest rate environment.</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financial results of the TCA segment, after dealership eliminations, are as follows:</w:t>
      </w:r>
    </w:p>
    <w:tbl>
      <w:tblPr>
        <w:tblW w:w="8159" w:type="dxa"/>
        <w:jc w:val="left"/>
        <w:tblInd w:w="0" w:type="dxa"/>
        <w:tblLayout w:type="fixed"/>
        <w:tblCellMar>
          <w:top w:w="28" w:type="dxa"/>
          <w:left w:w="28" w:type="dxa"/>
          <w:bottom w:w="28" w:type="dxa"/>
          <w:right w:w="28" w:type="dxa"/>
        </w:tblCellMar>
      </w:tblPr>
      <w:tblGrid>
        <w:gridCol w:w="1085"/>
        <w:gridCol w:w="954"/>
        <w:gridCol w:w="961"/>
        <w:gridCol w:w="300"/>
        <w:gridCol w:w="728"/>
        <w:gridCol w:w="155"/>
        <w:gridCol w:w="155"/>
        <w:gridCol w:w="155"/>
        <w:gridCol w:w="155"/>
        <w:gridCol w:w="300"/>
        <w:gridCol w:w="728"/>
        <w:gridCol w:w="155"/>
        <w:gridCol w:w="109"/>
        <w:gridCol w:w="109"/>
        <w:gridCol w:w="109"/>
        <w:gridCol w:w="254"/>
        <w:gridCol w:w="512"/>
        <w:gridCol w:w="133"/>
        <w:gridCol w:w="109"/>
        <w:gridCol w:w="109"/>
        <w:gridCol w:w="109"/>
        <w:gridCol w:w="165"/>
        <w:gridCol w:w="165"/>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revenue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cost of sales</w:t>
            </w:r>
          </w:p>
        </w:tc>
        <w:tc>
          <w:tcPr>
            <w:tcW w:w="3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gross profit</w:t>
            </w:r>
          </w:p>
        </w:tc>
        <w:tc>
          <w:tcPr>
            <w:tcW w:w="3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six months ended June 30, 2026, TCA generated $44.0 million of revenue, after dealership eliminations, consisting primarily of earned premiums and $10.7 million of investment income from the investment portfolio. F&amp;I revenue decreased by $2.6 million (6%) for the six months ended June 30, 2026 as compared to the six months ended June 30, 2025 due to the continued roll-out of TCA products across Asbury dealerships resulting in the deferral of F&amp;I revenue over the TCA contract term as opposed to the immediate recognition of revenue associated with third-party F&amp;I product sales.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Direct expenses incurred for the acquisition of F&amp;I contracts on which revenue has not yet been recognized have been deferred and are amortized over the related contract period. During the six months ended June 30, 2026, TCA recorded $24.6 million of cost of sales consisting primarily of claims expense. Commissions expense paid by TCA to our affiliated dealerships and reflected as F&amp;I revenue in our Dealerships segment is eliminated in the TCA segment upon consolidation.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expect to complete the rollout to all of our dealerships in 2026 by offering TCA products on our Herb Chambers platform; however, no assurance can be given that the rollout will be completed with the timeframe contemplated.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tbl>
      <w:tblPr>
        <w:tblW w:w="10205" w:type="dxa"/>
        <w:jc w:val="left"/>
        <w:tblInd w:w="0" w:type="dxa"/>
        <w:tblLayout w:type="fixed"/>
        <w:tblCellMar>
          <w:top w:w="28" w:type="dxa"/>
          <w:left w:w="28" w:type="dxa"/>
          <w:bottom w:w="28" w:type="dxa"/>
          <w:right w:w="28" w:type="dxa"/>
        </w:tblCellMar>
      </w:tblPr>
      <w:tblGrid>
        <w:gridCol w:w="914"/>
        <w:gridCol w:w="571"/>
        <w:gridCol w:w="572"/>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1"/>
        <w:gridCol w:w="545"/>
        <w:gridCol w:w="109"/>
        <w:gridCol w:w="109"/>
        <w:gridCol w:w="109"/>
        <w:gridCol w:w="109"/>
        <w:gridCol w:w="278"/>
        <w:gridCol w:w="278"/>
        <w:gridCol w:w="814"/>
      </w:tblGrid>
      <w:tr>
        <w:trPr/>
        <w:tc>
          <w:tcPr>
            <w:tcW w:w="9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 Increase (Decrease)</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 as a percentage of gross profit increased 557 basis points from 63.1% for the six months ended June 30, 2025 to 68.7% for the six months ended June 30, 2026. The increase in SG&amp;A as a percentage of gross profit on a total company basis during the six months ended June 30, 2026 is primarily due to the relatively flat gross profit for the six months ended June 30, 2026 as compared to the six months ended June 30, 2025 and an increase in SG&amp;A expense driven by the Herb Chambers Businesses and offset by store divestitures in 2025 and the first quarter of 2026.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 same store basis, SG&amp;A expense as a percentage of gross profit increased 495 basis points from 62.6% for the six months ended June 30, 2025 to 67.5% for the six months ended June 30, 2026. The increase in SG&amp;A expense as a percentage of gross profit on a same store basis for the six months ended June 30, 2026 is the result of a decrease in gross profit, partially offset by a decrease in SG&amp;A expense for the six months ended June 30, 2026 as compared to the six months ended June 30, 2025. On a same store basis, personnel costs decreased by $32.9 million (0.9%) for the six months ended June 30, 2026 as compared to the same period in the prior year due to a reduction in commissions payable on lower gross profits earned during the relevant periods. In addition, rent and related expense increased on a same store basis by $21.4 million (2.0%) primarily due to a $15.0 million insurance recovery received in the first half of 2025 and $3.8 million in costs associated with weather events. In addition, other expense increased on a same store basis by $7.8 million (1.9%) primarily due to the Tekion implementation costs and duplicative DMS costs.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Asset Impairments—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asset impairment charges of $4.2 million related to a dealership that met the criteria to be reflected as assets held for sale in June 2026, and whose franchise rights carrying value exceeded the Company's estimate of the franchise rights fair value less costs to sell.</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asset impairment charges of $14.3 million were recorded related to five dealerships that met the criteria to be reflected as assets held for sale in March 2025 whose franchise rights carrying values exceeded the Company's estimate of the franchise rights fair value less costs to sell.</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Floor Plan Interest Expense—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interest expense increased by $3.8 million (10%) to $42.7 million during the six months ended June 30, 2026 compared to $38.8 million during the six months ended June 30, 2025, as a result of higher non-manufacturer floor plan balances in 2026 due to the Herb Chambers acquisition, partially offset by lower non-manufacturer floor plan balances due to store divestitures in 2025 and February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Interest Expense—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Other interest expense increased $10.8 million (13%) from $83.7 million during the six months ended June 30, 2025 to $94.6 million during the six months ended June 30, 2026. This increase was primarily due to a $7.0 million increase in our mortgage facilities interest expense and $2.5 million of credit facility interest expense as a result of borrowings incurred in connection with the Herb Chambers acquisition.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Gain on Dealership Divestitures, net—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sold 14 franchises (10 dealership locations) for an aggregate purchase price of approximately $361.5 million. The Company recorded a pre-tax gain totaling $125.8 million, which is presented in our accompanying condensed consolidated statements of income as a gain on dealership divestitures, net.</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nine franchises (seven dealership locations) for an aggregate purchase price of $222.3 million. The Company recorded a pre-tax gain totaling $10.1 million, which is presented in our accompanying condensed consolidated statements of income as a gain on dealership divestitures, net.</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The $5.1 million (5%) increase in income tax expense was primarily the result of a $22.7 million (6%) increase in income before income taxes, partially offset by a benefit for interest income relating to tax overpayments. Our effective tax rate for the six months ended June 30, 2026 was 24.8% compared to 24.9% in the prior year comparative period, </w:t>
      </w:r>
      <w:r>
        <w:rPr>
          <w:rFonts w:ascii="Times New Roman;serif" w:hAnsi="Times New Roman;serif"/>
          <w:b w:val="false"/>
          <w:color w:val="000000"/>
          <w:sz w:val="20"/>
          <w:shd w:fill="FFFFFF" w:val="clear"/>
        </w:rPr>
        <w:t xml:space="preserve">which differed from the U.S. statutory rate primarily due to </w:t>
      </w:r>
      <w:r>
        <w:rPr>
          <w:rFonts w:ascii="Times New Roman;serif" w:hAnsi="Times New Roman;serif"/>
          <w:b w:val="false"/>
          <w:color w:val="000000"/>
          <w:sz w:val="20"/>
        </w:rPr>
        <w:t xml:space="preserve">the favorable effects of amended state income tax returns and the aforementioned interest income benefit offset by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unfavorable effects of the shortfall component of equity compensation, which are discrete items, and the unfavorable effects of various permanent tax adjustments such as executive compensation. We estimate our effective tax rate for the year ended December 31, 2026 at approximately 25%. This estimated effective tax rate includes the effects of the tax benefits related to the purchase of transferable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June 30, 2026, we had total available liquidity of $966.5 million, which consisted of cash and cash equivalents of $4.8 million (excluding $25.6 million held by TCA), short-term investments of $5.3 million, available funds in our floor plan offset accounts of $144.3 million, $782.0 million of availability under our revolving credit facility and $30.1 million of availability under our used vehicle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As of June 30, 2026, these financial covenants did not further limit our availability under our other credit facilities. Our 2021 syndicated real estate facility is scheduled to mature in December 2026. The Company expects to complete a refinance of the full outstanding principal amount prior to the expiration date of the existing agreement.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2023 Senior Credit Facility,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customary operating and other restrictive covenants in our various debt and lease agreements. We were in compliance with all of our covenants as of June 30, 2026.</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Repurchases and Dividend Restrictions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ability to repurchase shares or pay dividends on our common stock is subject to our compliance with the covenants and restrictions in our various debt and lease agreements.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25, 2026, the Company announced that its Board of Directors approved an increase of $424.0 million in the Company's share repurchase authorization to $500.0 million (the "New Share Repurchase Authorization"). As of June 30, 2026, the Company had $322.4 million remaining on its share repurchase authorization. The extent to which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and retired 668,116 and 1,346,359 shares of our common stock under our share repurchase program, respectively. The cash paid for these share repurchases was $130.6 million and $277.6 million for the three and six months ended June 30, 2026, respectively. There were no share repurchases during the three and six months ended June 30,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817 and 38,237 shares of our common stock for $0.1 million and $9.9 million, respectively, from employees in connection with a net share settlement feature of employee equity-based awards.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repurchased 646 and 43,426 shares of our common stock for $0.2 million and $12.7 million, respectively, from employees in connection with a net share settlement feature of employee equity-based awards.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Classification of Cash Flows Associated with Floor Plan Notes Payable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non-trade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We believe that the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(ii) borrowings and repayments associated with the purchase of used vehicle inventory, and (iii) changes in the floor plan offset accounts were classified as operating activities for both floor plan notes payable - non-trade and floor plan notes payable - trade.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5"/>
        <w:gridCol w:w="2393"/>
        <w:gridCol w:w="2404"/>
        <w:gridCol w:w="242"/>
        <w:gridCol w:w="708"/>
        <w:gridCol w:w="125"/>
        <w:gridCol w:w="125"/>
        <w:gridCol w:w="125"/>
        <w:gridCol w:w="125"/>
        <w:gridCol w:w="242"/>
        <w:gridCol w:w="708"/>
        <w:gridCol w:w="125"/>
        <w:gridCol w:w="158"/>
      </w:tblGrid>
      <w:tr>
        <w:trPr/>
        <w:tc>
          <w:tcPr>
            <w:tcW w:w="2725"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cash provided by operating activities to cash provided by operating activities, as adjusted</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as reported</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net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associated with floor plan offset, used vehicle borrowing base changes adjusted for acquisitions and divestitures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Payable—Trade associated with floor plan offset, adjusted for acquisitions and divestitures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flow provided by operating activities</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totaled $352.6 million and $316.4 million, for the six months ended June 30, 2026 and 2025, respectively. Adjusted cash flow provided by operating activities totaled $305.2 million and $334.0 million for the six months ended June 30, 2026 and 2025, respectively. Adjusted cash flow provided by operating activities includes net income, adjustments to reconcile net income to net cash provided by operating activities, changes in working capital, changes in used vehicle borrowing base, changes in floor plan notes payable - non-trade and trade, excluding the impact of offsets, and excluding operating cash flows associated with acquisitions and divestitures related to loaner vehicles and new vehicle inventories financed through floor plan notes payable - trade.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$28.8 million decrease in adjusted cash flow provided by operating activities for the six months ended June 30, 2026 compared to the six months ended June 30, 2025, was primarily the result of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$89.9 million in net income and non-cash adjustments to net income;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$15.7 million related to inventory, net of floor plan notes payable, including both trade and non-trade, excluding offset and including used vehicle borrowing base changes adjusted for acquisitions and divestitures.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decrease in our adjusted cash flow provided by operating activities was partially offset by: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$36.4 million increase related to other current assets, net;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$16.7 million increase related to accounts payable and accrued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$19.3 million increase related to sales volume and the timing of collection of accounts receivable and contracts-in-transit during 2026 as compared to 2025;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$5.0 million increase related to other long term assets and liabilities, net.</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totaled $186.5 million for the six months ended June 30, 2026 compared to net cash provided by investing activities of $129.1 million for the six months ended June 30, 2025.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excluding the purchase of real estate, were $117.4 million and $59.5 million for the six months ended June 30, 2026 and 2025,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acquired real estate properties for $51.9 million and did not purchase previously leased real estate properties. We did not acquire real estate properties during the six months ended June 30,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sold 14 franchises (10 dealership locations) for an aggregate purchase price of $361.5 million. The Company recorded a pre-tax gain totaling $125.8 million, which is presented in our accompanying consolidated statements of income as a gain on dealership divestitures, net.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sold nine franchises (seven dealership locations) for an aggregate purchase price of $222.3 million. The company recorded a pre-tax gain totaling $10.1 million, which is presented in our accompanying consolidated statements of income as a gain on dealership divestitures,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purchased $57.2 million and $97.9 million of debt securities during the six months ended June 30, 2026 and 2025,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proceeds of $45.8 million and $64.2 million from the sale of debt securities during the six months ended June 30, 2026 and 2025,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received cash proceeds of $5.7 million from the sale of real estate. During the six months ended June 30, 2025, we did not sell any real estate.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capital expenditures during 2026 will total approximately $250.0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totaled $549.2 million for the six months ended June 30, 2026 compared to net cash used in financing activities of $460.1 million for the six months ended June 30, 2025.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had non-trade floor plan borrowings, excluding floor plan borrowings associated with acquisitions, of $4.81 billion and $4.51 billion, respectively, and non-trade floor plan repayments, excluding floor plan repayments associated with divestitures, of $4.88 billion and $4.82 billion,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had non-trade floor plan repayments associated with dealership divestitures of $77.8 million and $41.8 million,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Repayments of borrowings totaled $66.6 million and $98.2 million for the six months ended June 30, 2026 and 2025,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$850.0 million borrowings and $900.0 million repayments under our revolving credit facility during the six months ended June 30, 2026. During the six months ended June 30, 2025, there were $602.7 million borrowings and $602.7 million repayments under our revolving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1,346,359 shares of our common stock under our share repurchase program for a total of $277.6 million and repurchased 38,237 shares of our common stock for $9.9 million from employees in connection with a net share settlement feature of employee equity-based awards. During the six months ended June 30, 2025, we repurchased 43,426 shares of our common stock for $12.7 million from employees in connection with a net share settlement feature of employee equity-based awards.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no off balance sheet arrangements during any of the periods presented other than those disclosed in Note 13 "Commitments and Contingencies" of the Company's condensed consolidated financial statements.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Guarantor Financial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7873" w:type="dxa"/>
        <w:jc w:val="left"/>
        <w:tblInd w:w="0" w:type="dxa"/>
        <w:tblLayout w:type="fixed"/>
        <w:tblCellMar>
          <w:top w:w="28" w:type="dxa"/>
          <w:left w:w="28" w:type="dxa"/>
          <w:bottom w:w="28" w:type="dxa"/>
          <w:right w:w="28" w:type="dxa"/>
        </w:tblCellMar>
      </w:tblPr>
      <w:tblGrid>
        <w:gridCol w:w="873"/>
        <w:gridCol w:w="768"/>
        <w:gridCol w:w="774"/>
        <w:gridCol w:w="452"/>
        <w:gridCol w:w="1644"/>
        <w:gridCol w:w="234"/>
        <w:gridCol w:w="234"/>
        <w:gridCol w:w="234"/>
        <w:gridCol w:w="234"/>
        <w:gridCol w:w="452"/>
        <w:gridCol w:w="1644"/>
        <w:gridCol w:w="330"/>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78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 Data of Asbury and Guarantor Subsidiaries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affiliates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Summarized Statement of Operations Data for Asbury and Guarantor Subsidiaries</w:t>
      </w:r>
    </w:p>
    <w:tbl>
      <w:tblPr>
        <w:tblW w:w="5129" w:type="dxa"/>
        <w:jc w:val="left"/>
        <w:tblInd w:w="0" w:type="dxa"/>
        <w:tblLayout w:type="fixed"/>
        <w:tblCellMar>
          <w:top w:w="28" w:type="dxa"/>
          <w:left w:w="28" w:type="dxa"/>
          <w:bottom w:w="28" w:type="dxa"/>
          <w:right w:w="28" w:type="dxa"/>
        </w:tblCellMar>
      </w:tblPr>
      <w:tblGrid>
        <w:gridCol w:w="740"/>
        <w:gridCol w:w="646"/>
        <w:gridCol w:w="654"/>
        <w:gridCol w:w="576"/>
        <w:gridCol w:w="2093"/>
        <w:gridCol w:w="420"/>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a description of our critical accounting policies and estimates, see our Annual Report on Form 10-K for the fiscal year ended December 31, 2025. Our critical accounting policies and estimates have not changed materially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exposed to risk from changes in interest rates on a significant portion of our outstanding indebtedness. Based on $2.09 billion of total variable interest rate debt, which includes our floor plan notes payable, amounts drawn on our used vehicle floor plan, revolver and certain mortgage liabilities, outstanding as of June 30, 2026, a 100 basis point change in interest rates would result in a change of $20.9 million in annual interest expense.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receive floor plan assistance from certain automobile manufacturers, which is primarily accounted for as a reduction in our new vehicle inventory cost. Floor plan assistance reduced our cost of sales for the six months ended June 30, 2026 and 2025 by $52.3 million and $54.0 million, respectively. We cannot provide assurance as to the future amount of floor plan assistance and these amounts may be negatively impacted due to future changes in interest rates.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June 30, 2026, we had five interest rate swap agreements. These swaps are designed to provide a hedge against changes in variable rate cash flows regarding fluctuations in SOFR. The following table provides information on the attributes of each swap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tbl>
      <w:tblPr>
        <w:tblW w:w="1020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558"/>
        <w:gridCol w:w="1629"/>
        <w:gridCol w:w="288"/>
        <w:gridCol w:w="109"/>
        <w:gridCol w:w="109"/>
        <w:gridCol w:w="109"/>
        <w:gridCol w:w="284"/>
        <w:gridCol w:w="829"/>
        <w:gridCol w:w="146"/>
        <w:gridCol w:w="109"/>
        <w:gridCol w:w="109"/>
        <w:gridCol w:w="109"/>
        <w:gridCol w:w="548"/>
        <w:gridCol w:w="1599"/>
        <w:gridCol w:w="283"/>
        <w:gridCol w:w="109"/>
        <w:gridCol w:w="109"/>
        <w:gridCol w:w="109"/>
        <w:gridCol w:w="416"/>
        <w:gridCol w:w="416"/>
        <w:gridCol w:w="592"/>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8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2030</w:t>
            </w:r>
          </w:p>
        </w:tc>
      </w:tr>
    </w:tbl>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10 "Financial Instruments and Fair Value" within the accompanying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the Company's financial reporting, as such term is defined in Exchange Act Rule 13(a)-15(f). 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as of the end of such period such disclosure controls and procedures were effective as of June 30,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as part of our integration activities following the acquisition of The Herb Chambers Dealerships ("Chambers") in July 2025, we continued implementing changes related to Chambers' business process controls, IT general controls and IT infrastructure to more closely align with the standards of the Company's controls environment. In accordance with our integration efforts, we plan to incorporate Chambers’ operations into our internal control over financial reporting program within the time provided by the applicable rules and regulations of the U.S. Securities and Exchange Commission.</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converted 25 stores from CDK, our existing DMS provider, to Tekion, a cloud-based DMS. We are implementing new or modified procedures and controls where appropriate and will continue to evaluate the design and operating effectiveness of internal control over financial reporting in subsequent periods.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other material changes in our internal control over financial reporting during the quarter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270"/>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there have been no additional material legal proceedings or material developments in the legal proceedings disclosed in Part 1, Item 3, of our Annual Report on Form 10-K for the year ended December 31, 2025. For more information, see Note 13 "Commitments and Contingencies" within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ind w:left="0" w:right="0" w:hanging="765"/>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6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that affect our business and financial results that are discussed in Part I, Item 1A, of our Annual Report on Form 10-K for the year ended December 31, 2025.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Information about the shares of our common stock that we repurchased during the quarter ended June 30, 2026 is set forth below:</w:t>
      </w:r>
    </w:p>
    <w:tbl>
      <w:tblPr>
        <w:tblW w:w="10205" w:type="dxa"/>
        <w:jc w:val="left"/>
        <w:tblInd w:w="0" w:type="dxa"/>
        <w:tblLayout w:type="fixed"/>
        <w:tblCellMar>
          <w:top w:w="28" w:type="dxa"/>
          <w:left w:w="28" w:type="dxa"/>
          <w:bottom w:w="28" w:type="dxa"/>
          <w:right w:w="28" w:type="dxa"/>
        </w:tblCellMar>
      </w:tblPr>
      <w:tblGrid>
        <w:gridCol w:w="418"/>
        <w:gridCol w:w="289"/>
        <w:gridCol w:w="290"/>
        <w:gridCol w:w="109"/>
        <w:gridCol w:w="109"/>
        <w:gridCol w:w="109"/>
        <w:gridCol w:w="667"/>
        <w:gridCol w:w="414"/>
        <w:gridCol w:w="416"/>
        <w:gridCol w:w="109"/>
        <w:gridCol w:w="109"/>
        <w:gridCol w:w="109"/>
        <w:gridCol w:w="279"/>
        <w:gridCol w:w="956"/>
        <w:gridCol w:w="144"/>
        <w:gridCol w:w="109"/>
        <w:gridCol w:w="109"/>
        <w:gridCol w:w="109"/>
        <w:gridCol w:w="799"/>
        <w:gridCol w:w="691"/>
        <w:gridCol w:w="693"/>
        <w:gridCol w:w="109"/>
        <w:gridCol w:w="109"/>
        <w:gridCol w:w="109"/>
        <w:gridCol w:w="608"/>
        <w:gridCol w:w="1779"/>
        <w:gridCol w:w="454"/>
      </w:tblGrid>
      <w:tr>
        <w:trPr/>
        <w:tc>
          <w:tcPr>
            <w:tcW w:w="4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(or Units) that May Yet Be Purchased Under the Plans or Programs (In millions)</w:t>
            </w:r>
          </w:p>
        </w:tc>
      </w:tr>
      <w:tr>
        <w:trPr/>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04/01/2026 - 04/30/2026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05/01/2026 - 05/31/2026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412,980 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412,728 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06/01/2026 - 06/30/2026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255,388 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668,611 </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668,116 </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February 25, 2026, the Company announced that its Board of Directors approved an increase of $424.0 million in the Company's share repurchase authorization to $500.0 million (the "New Share Repurchase Authorization"), for the repurchase of our common stock in open market transactions or privately negotiated transactions or in other manners as permitted by federal securities laws and other legal and contractual requirements.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6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93"/>
        <w:gridCol w:w="257"/>
        <w:gridCol w:w="258"/>
        <w:gridCol w:w="109"/>
        <w:gridCol w:w="109"/>
        <w:gridCol w:w="109"/>
        <w:gridCol w:w="2811"/>
        <w:gridCol w:w="2586"/>
        <w:gridCol w:w="367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Documents</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Asbury Automotive Group, Inc. (incorporated by reference to Exhibit 3.1 to the Company’s Current Report on Form 8-K filed with the SEC on May 6, 2026)</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Asbury Automotive Group, Inc., as amended (incorporated by reference to Exhibit 3.2 to the Company’s Current Report on Form 8-K filed with the SEC on May 6, 2026)</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section302ceocertific.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 13a-14(a)/15d-14(a) of the Securities Exchange Act of 1934, as adopted pursuant to Section 302 of the Sarbanes-Oxley Act of 2002</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section302cfocertific.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 13a-14(a)/15d-14(a) of the Securities Exchange Act of 1934, as adopted pursuant to Section 302 of the Sarbanes-Oxley Act of 2002</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section906ceocertific.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18 U.S.C. Section 1350, as adopted pursuant to Section 906 of the Sarbanes-Oxley Act of 2002</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section906cfocertific.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18 U.S.C. Section 1350, as adopted pursuant to Section 906 of the Sarbanes-Oxley Act of 2002</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May 4, 2026, by and between Asbury Automotive Group, Inc. and Daniel Clara (incorporated by reference to Exhibit 99.1 to the Company’s Current Report on Form 8-K/A filed with the SEC on May 6, 2026)</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c9746fb7f0247ebabb0fa9ffaf201a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180" w:after="283"/>
        <w:ind w:left="0" w:right="0" w:firstLine="315"/>
        <w:jc w:val="left"/>
        <w:rPr/>
      </w:pPr>
      <w:r>
        <w:rPr/>
      </w:r>
    </w:p>
    <w:tbl>
      <w:tblPr>
        <w:tblW w:w="6582"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97"/>
        <w:gridCol w:w="297"/>
        <w:gridCol w:w="297"/>
        <w:gridCol w:w="297"/>
        <w:gridCol w:w="297"/>
        <w:gridCol w:w="297"/>
        <w:gridCol w:w="881"/>
        <w:gridCol w:w="881"/>
        <w:gridCol w:w="12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E. Clara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Daniel E. Clara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r>
          </w:p>
        </w:tc>
      </w:tr>
    </w:tbl>
    <w:p>
      <w:pPr>
        <w:pStyle w:val="TextBody"/>
        <w:bidi w:val="0"/>
        <w:spacing w:before="80" w:after="283"/>
        <w:jc w:val="left"/>
        <w:rPr/>
      </w:pPr>
      <w:r>
        <w:rPr/>
      </w:r>
    </w:p>
    <w:tbl>
      <w:tblPr>
        <w:tblW w:w="662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03"/>
        <w:gridCol w:w="203"/>
        <w:gridCol w:w="208"/>
        <w:gridCol w:w="109"/>
        <w:gridCol w:w="109"/>
        <w:gridCol w:w="109"/>
        <w:gridCol w:w="1147"/>
        <w:gridCol w:w="1147"/>
        <w:gridCol w:w="16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D. Welch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Daniel E. Clara,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Asbury Automotive Group, Inc.;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72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9"/>
        <w:gridCol w:w="65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E. Clara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E. Clara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D. Welch,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Asbury Automotive Group, Inc.;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ind w:left="0" w:right="0" w:hanging="144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Quarterly Report on Form 10-Q of Asbury Automotive Group, Inc. (the "Company") for the period ended June 30, 2026, as filed with the Securities and Exchange Commission on the date hereof (the "Report"), I, Daniel E. Clara,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9"/>
        <w:gridCol w:w="65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E. Clara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E. Clara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Quarterly Report on Form 10-Q of Asbury Automotive Group, Inc. (the "Company") for the period ended June 30, 2026,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4980/000114498026000082/ex31amendedandrestatedcert.htm" TargetMode="External"/><Relationship Id="rId3" Type="http://schemas.openxmlformats.org/officeDocument/2006/relationships/hyperlink" Target="https://www.sec.gov/Archives/edgar/data/1144980/000114498026000082/ex32amendedby-laws5426.htm" TargetMode="External"/><Relationship Id="rId4" Type="http://schemas.openxmlformats.org/officeDocument/2006/relationships/hyperlink" Target="https://www.sec.gov/Archives/edgar/data/1144980/000114498026000083/ex991danclaraemploymentagr.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26794</Words>
  <Characters>142590</Characters>
  <CharactersWithSpaces>166390</CharactersWithSpaces>
  <Paragraphs>5287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