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69608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3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158750</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9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238125</wp:posOffset>
            </wp:positionV>
            <wp:extent cx="242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41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ind w:left="2760"/>
        <w:spacing w:after="0"/>
        <w:rPr>
          <w:sz w:val="20"/>
          <w:szCs w:val="20"/>
          <w:color w:val="auto"/>
        </w:rPr>
      </w:pPr>
      <w:r>
        <w:rPr>
          <w:rFonts w:ascii="Arial" w:cs="Arial" w:eastAsia="Arial" w:hAnsi="Arial"/>
          <w:sz w:val="22"/>
          <w:szCs w:val="22"/>
          <w:b w:val="1"/>
          <w:bCs w:val="1"/>
          <w:color w:val="auto"/>
        </w:rPr>
        <w:t>Date of Report (Date of earliest event reported): April 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191135</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46"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Asbury Automotive Group, Inc.</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330200</wp:posOffset>
            </wp:positionV>
            <wp:extent cx="2425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5560" w:type="dxa"/>
            <w:vAlign w:val="bottom"/>
          </w:tcPr>
          <w:p>
            <w:pPr>
              <w:ind w:left="980"/>
              <w:spacing w:after="0"/>
              <w:rPr>
                <w:sz w:val="20"/>
                <w:szCs w:val="20"/>
                <w:color w:val="auto"/>
              </w:rPr>
            </w:pPr>
            <w:r>
              <w:rPr>
                <w:rFonts w:ascii="Arial" w:cs="Arial" w:eastAsia="Arial" w:hAnsi="Arial"/>
                <w:sz w:val="18"/>
                <w:szCs w:val="18"/>
                <w:b w:val="1"/>
                <w:bCs w:val="1"/>
                <w:color w:val="auto"/>
              </w:rPr>
              <w:t>Delaware</w:t>
            </w:r>
          </w:p>
        </w:tc>
      </w:tr>
      <w:tr>
        <w:trPr>
          <w:trHeight w:val="186"/>
        </w:trPr>
        <w:tc>
          <w:tcPr>
            <w:tcW w:w="3060" w:type="dxa"/>
            <w:vAlign w:val="bottom"/>
          </w:tcPr>
          <w:p>
            <w:pPr>
              <w:spacing w:after="0"/>
              <w:rPr>
                <w:sz w:val="16"/>
                <w:szCs w:val="16"/>
                <w:color w:val="auto"/>
              </w:rPr>
            </w:pPr>
          </w:p>
        </w:tc>
        <w:tc>
          <w:tcPr>
            <w:tcW w:w="5560" w:type="dxa"/>
            <w:vAlign w:val="bottom"/>
          </w:tcPr>
          <w:p>
            <w:pPr>
              <w:ind w:left="120"/>
              <w:spacing w:after="0"/>
              <w:rPr>
                <w:sz w:val="20"/>
                <w:szCs w:val="20"/>
                <w:color w:val="auto"/>
              </w:rPr>
            </w:pPr>
            <w:r>
              <w:rPr>
                <w:rFonts w:ascii="Arial" w:cs="Arial" w:eastAsia="Arial" w:hAnsi="Arial"/>
                <w:sz w:val="13"/>
                <w:szCs w:val="13"/>
                <w:b w:val="1"/>
                <w:bCs w:val="1"/>
                <w:color w:val="auto"/>
              </w:rPr>
              <w:t>(State or other jurisdiction of incorporation)</w:t>
            </w:r>
          </w:p>
        </w:tc>
      </w:tr>
      <w:tr>
        <w:trPr>
          <w:trHeight w:val="394"/>
        </w:trPr>
        <w:tc>
          <w:tcPr>
            <w:tcW w:w="306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001-31262</w:t>
            </w:r>
          </w:p>
        </w:tc>
        <w:tc>
          <w:tcPr>
            <w:tcW w:w="5560" w:type="dxa"/>
            <w:vAlign w:val="bottom"/>
          </w:tcPr>
          <w:p>
            <w:pPr>
              <w:jc w:val="right"/>
              <w:ind w:right="399"/>
              <w:spacing w:after="0"/>
              <w:rPr>
                <w:sz w:val="20"/>
                <w:szCs w:val="20"/>
                <w:color w:val="auto"/>
              </w:rPr>
            </w:pPr>
            <w:r>
              <w:rPr>
                <w:rFonts w:ascii="Arial" w:cs="Arial" w:eastAsia="Arial" w:hAnsi="Arial"/>
                <w:sz w:val="18"/>
                <w:szCs w:val="18"/>
                <w:b w:val="1"/>
                <w:bCs w:val="1"/>
                <w:color w:val="auto"/>
              </w:rPr>
              <w:t>01-0609375</w:t>
            </w:r>
          </w:p>
        </w:tc>
      </w:tr>
      <w:tr>
        <w:trPr>
          <w:trHeight w:val="281"/>
        </w:trPr>
        <w:tc>
          <w:tcPr>
            <w:tcW w:w="3060" w:type="dxa"/>
            <w:vAlign w:val="bottom"/>
          </w:tcPr>
          <w:p>
            <w:pPr>
              <w:jc w:val="center"/>
              <w:ind w:right="39"/>
              <w:spacing w:after="0"/>
              <w:rPr>
                <w:sz w:val="20"/>
                <w:szCs w:val="20"/>
                <w:color w:val="auto"/>
              </w:rPr>
            </w:pPr>
            <w:r>
              <w:rPr>
                <w:rFonts w:ascii="Arial" w:cs="Arial" w:eastAsia="Arial" w:hAnsi="Arial"/>
                <w:sz w:val="13"/>
                <w:szCs w:val="13"/>
                <w:b w:val="1"/>
                <w:bCs w:val="1"/>
                <w:color w:val="auto"/>
                <w:w w:val="88"/>
              </w:rPr>
              <w:t>(Commission File Number)</w:t>
            </w:r>
          </w:p>
        </w:tc>
        <w:tc>
          <w:tcPr>
            <w:tcW w:w="5560" w:type="dxa"/>
            <w:vAlign w:val="bottom"/>
          </w:tcPr>
          <w:p>
            <w:pPr>
              <w:jc w:val="center"/>
              <w:ind w:left="3659"/>
              <w:spacing w:after="0"/>
              <w:rPr>
                <w:sz w:val="20"/>
                <w:szCs w:val="20"/>
                <w:color w:val="auto"/>
              </w:rPr>
            </w:pPr>
            <w:r>
              <w:rPr>
                <w:rFonts w:ascii="Arial" w:cs="Arial" w:eastAsia="Arial" w:hAnsi="Arial"/>
                <w:sz w:val="13"/>
                <w:szCs w:val="13"/>
                <w:b w:val="1"/>
                <w:bCs w:val="1"/>
                <w:color w:val="auto"/>
                <w:w w:val="89"/>
              </w:rPr>
              <w:t>(IRS Employer Identification No.)</w:t>
            </w:r>
          </w:p>
        </w:tc>
      </w:tr>
      <w:tr>
        <w:trPr>
          <w:trHeight w:val="421"/>
        </w:trPr>
        <w:tc>
          <w:tcPr>
            <w:tcW w:w="3060" w:type="dxa"/>
            <w:vAlign w:val="bottom"/>
          </w:tcPr>
          <w:p>
            <w:pPr>
              <w:jc w:val="center"/>
              <w:ind w:right="39"/>
              <w:spacing w:after="0"/>
              <w:rPr>
                <w:sz w:val="20"/>
                <w:szCs w:val="20"/>
                <w:color w:val="auto"/>
              </w:rPr>
            </w:pPr>
            <w:r>
              <w:rPr>
                <w:rFonts w:ascii="Arial" w:cs="Arial" w:eastAsia="Arial" w:hAnsi="Arial"/>
                <w:sz w:val="18"/>
                <w:szCs w:val="18"/>
                <w:b w:val="1"/>
                <w:bCs w:val="1"/>
                <w:color w:val="auto"/>
                <w:w w:val="92"/>
              </w:rPr>
              <w:t>2905 Premiere Parkway NW Suite 300</w:t>
            </w:r>
          </w:p>
        </w:tc>
        <w:tc>
          <w:tcPr>
            <w:tcW w:w="5560" w:type="dxa"/>
            <w:vAlign w:val="bottom"/>
          </w:tcPr>
          <w:p>
            <w:pPr>
              <w:spacing w:after="0"/>
              <w:rPr>
                <w:sz w:val="24"/>
                <w:szCs w:val="24"/>
                <w:color w:val="auto"/>
              </w:rPr>
            </w:pPr>
          </w:p>
        </w:tc>
      </w:tr>
      <w:tr>
        <w:trPr>
          <w:trHeight w:val="270"/>
        </w:trPr>
        <w:tc>
          <w:tcPr>
            <w:tcW w:w="3060" w:type="dxa"/>
            <w:vAlign w:val="bottom"/>
          </w:tcPr>
          <w:p>
            <w:pPr>
              <w:ind w:left="1080"/>
              <w:spacing w:after="0"/>
              <w:rPr>
                <w:sz w:val="20"/>
                <w:szCs w:val="20"/>
                <w:color w:val="auto"/>
              </w:rPr>
            </w:pPr>
            <w:r>
              <w:rPr>
                <w:rFonts w:ascii="Arial" w:cs="Arial" w:eastAsia="Arial" w:hAnsi="Arial"/>
                <w:sz w:val="18"/>
                <w:szCs w:val="18"/>
                <w:b w:val="1"/>
                <w:bCs w:val="1"/>
                <w:color w:val="auto"/>
              </w:rPr>
              <w:t>Duluth, GA</w:t>
            </w:r>
          </w:p>
        </w:tc>
        <w:tc>
          <w:tcPr>
            <w:tcW w:w="5560" w:type="dxa"/>
            <w:vAlign w:val="bottom"/>
          </w:tcPr>
          <w:p>
            <w:pPr>
              <w:jc w:val="right"/>
              <w:ind w:right="599"/>
              <w:spacing w:after="0"/>
              <w:rPr>
                <w:sz w:val="20"/>
                <w:szCs w:val="20"/>
                <w:color w:val="auto"/>
              </w:rPr>
            </w:pPr>
            <w:r>
              <w:rPr>
                <w:rFonts w:ascii="Arial" w:cs="Arial" w:eastAsia="Arial" w:hAnsi="Arial"/>
                <w:sz w:val="18"/>
                <w:szCs w:val="18"/>
                <w:b w:val="1"/>
                <w:bCs w:val="1"/>
                <w:color w:val="auto"/>
              </w:rPr>
              <w:t>30097</w:t>
            </w:r>
          </w:p>
        </w:tc>
      </w:tr>
      <w:tr>
        <w:trPr>
          <w:trHeight w:val="270"/>
        </w:trPr>
        <w:tc>
          <w:tcPr>
            <w:tcW w:w="3060" w:type="dxa"/>
            <w:vAlign w:val="bottom"/>
          </w:tcPr>
          <w:p>
            <w:pPr>
              <w:jc w:val="center"/>
              <w:ind w:right="19"/>
              <w:spacing w:after="0"/>
              <w:rPr>
                <w:sz w:val="20"/>
                <w:szCs w:val="20"/>
                <w:color w:val="auto"/>
              </w:rPr>
            </w:pPr>
            <w:r>
              <w:rPr>
                <w:rFonts w:ascii="Arial" w:cs="Arial" w:eastAsia="Arial" w:hAnsi="Arial"/>
                <w:sz w:val="14"/>
                <w:szCs w:val="14"/>
                <w:color w:val="auto"/>
                <w:w w:val="95"/>
              </w:rPr>
              <w:t>(Address of principal executive offices)</w:t>
            </w:r>
          </w:p>
        </w:tc>
        <w:tc>
          <w:tcPr>
            <w:tcW w:w="5560" w:type="dxa"/>
            <w:vAlign w:val="bottom"/>
          </w:tcPr>
          <w:p>
            <w:pPr>
              <w:jc w:val="center"/>
              <w:ind w:left="3659"/>
              <w:spacing w:after="0"/>
              <w:rPr>
                <w:sz w:val="20"/>
                <w:szCs w:val="20"/>
                <w:color w:val="auto"/>
              </w:rPr>
            </w:pPr>
            <w:r>
              <w:rPr>
                <w:rFonts w:ascii="Arial" w:cs="Arial" w:eastAsia="Arial" w:hAnsi="Arial"/>
                <w:sz w:val="18"/>
                <w:szCs w:val="18"/>
                <w:color w:val="auto"/>
                <w:w w:val="91"/>
              </w:rPr>
              <w:t>(Zip Code)</w:t>
            </w:r>
          </w:p>
        </w:tc>
      </w:tr>
    </w:tbl>
    <w:p>
      <w:pPr>
        <w:spacing w:after="0" w:line="38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(770) 418-8200</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4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None</w:t>
      </w:r>
    </w:p>
    <w:p>
      <w:pPr>
        <w:spacing w:after="0" w:line="50" w:lineRule="exact"/>
        <w:rPr>
          <w:sz w:val="24"/>
          <w:szCs w:val="24"/>
          <w:color w:val="auto"/>
        </w:rPr>
      </w:pPr>
    </w:p>
    <w:p>
      <w:pPr>
        <w:jc w:val="center"/>
        <w:ind w:right="-35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182245</wp:posOffset>
            </wp:positionV>
            <wp:extent cx="2425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81" w:lineRule="exact"/>
        <w:rPr>
          <w:rFonts w:ascii="MS PGothic" w:cs="MS PGothic" w:eastAsia="MS PGothic" w:hAnsi="MS PGothic"/>
          <w:sz w:val="20"/>
          <w:szCs w:val="20"/>
          <w:color w:val="auto"/>
        </w:rPr>
      </w:pPr>
    </w:p>
    <w:p>
      <w:pPr>
        <w:ind w:left="820" w:hanging="812"/>
        <w:spacing w:after="0"/>
        <w:tabs>
          <w:tab w:leader="none" w:pos="8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81" w:lineRule="exact"/>
        <w:rPr>
          <w:rFonts w:ascii="MS PGothic" w:cs="MS PGothic" w:eastAsia="MS PGothic" w:hAnsi="MS PGothic"/>
          <w:sz w:val="20"/>
          <w:szCs w:val="20"/>
          <w:color w:val="auto"/>
        </w:rPr>
      </w:pPr>
    </w:p>
    <w:p>
      <w:pPr>
        <w:ind w:left="820" w:hanging="812"/>
        <w:spacing w:after="0"/>
        <w:tabs>
          <w:tab w:leader="none" w:pos="8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81" w:lineRule="exact"/>
        <w:rPr>
          <w:rFonts w:ascii="MS PGothic" w:cs="MS PGothic" w:eastAsia="MS PGothic" w:hAnsi="MS PGothic"/>
          <w:sz w:val="20"/>
          <w:szCs w:val="20"/>
          <w:color w:val="auto"/>
        </w:rPr>
      </w:pPr>
    </w:p>
    <w:p>
      <w:pPr>
        <w:ind w:left="820" w:hanging="812"/>
        <w:spacing w:after="0"/>
        <w:tabs>
          <w:tab w:leader="none" w:pos="8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35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378"/>
        </w:trPr>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Trading</w:t>
            </w:r>
          </w:p>
        </w:tc>
        <w:tc>
          <w:tcPr>
            <w:tcW w:w="4420" w:type="dxa"/>
            <w:vAlign w:val="bottom"/>
          </w:tcPr>
          <w:p>
            <w:pPr>
              <w:spacing w:after="0"/>
              <w:rPr>
                <w:sz w:val="24"/>
                <w:szCs w:val="24"/>
                <w:color w:val="auto"/>
              </w:rPr>
            </w:pPr>
          </w:p>
        </w:tc>
      </w:tr>
      <w:tr>
        <w:trPr>
          <w:trHeight w:val="270"/>
        </w:trPr>
        <w:tc>
          <w:tcPr>
            <w:tcW w:w="44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Title of each class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Symbol(s)</w:t>
            </w:r>
          </w:p>
        </w:tc>
        <w:tc>
          <w:tcPr>
            <w:tcW w:w="44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236"/>
        </w:trPr>
        <w:tc>
          <w:tcPr>
            <w:tcW w:w="44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Common stock, $0.01 par value per share</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ABG</w:t>
            </w:r>
          </w:p>
        </w:tc>
        <w:tc>
          <w:tcPr>
            <w:tcW w:w="44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ectPr>
          <w:pgSz w:w="11900" w:h="16838" w:orient="portrait"/>
          <w:cols w:equalWidth="0" w:num="1">
            <w:col w:w="10820"/>
          </w:cols>
          <w:pgMar w:left="320" w:top="1313" w:right="759" w:bottom="1440" w:gutter="0" w:footer="0" w:header="0"/>
        </w:sectPr>
      </w:pPr>
    </w:p>
    <w:bookmarkStart w:id="1" w:name="page2"/>
    <w:bookmarkEnd w:id="1"/>
    <w:p>
      <w:pPr>
        <w:ind w:right="360"/>
        <w:spacing w:after="0" w:line="25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34" w:lineRule="exact"/>
        <w:rPr>
          <w:sz w:val="20"/>
          <w:szCs w:val="20"/>
          <w:color w:val="auto"/>
        </w:rPr>
      </w:pPr>
    </w:p>
    <w:p>
      <w:pPr>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ectPr>
          <w:pgSz w:w="11900" w:h="16838" w:orient="portrait"/>
          <w:cols w:equalWidth="0" w:num="1">
            <w:col w:w="11080"/>
          </w:cols>
          <w:pgMar w:left="320" w:top="557" w:right="499" w:bottom="1440" w:gutter="0" w:footer="0" w:header="0"/>
        </w:sectPr>
      </w:pPr>
    </w:p>
    <w:bookmarkStart w:id="2" w:name="page3"/>
    <w:bookmarkEnd w:id="2"/>
    <w:p>
      <w:pPr>
        <w:ind w:right="3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180" w:firstLine="648"/>
        <w:spacing w:after="0" w:line="270" w:lineRule="auto"/>
        <w:rPr>
          <w:sz w:val="20"/>
          <w:szCs w:val="20"/>
          <w:color w:val="auto"/>
        </w:rPr>
      </w:pPr>
      <w:r>
        <w:rPr>
          <w:rFonts w:ascii="Arial" w:cs="Arial" w:eastAsia="Arial" w:hAnsi="Arial"/>
          <w:sz w:val="17"/>
          <w:szCs w:val="17"/>
          <w:color w:val="auto"/>
        </w:rPr>
        <w:t>On April 3, 2020, Asbury Automotive Group, Inc. (the “Company”) approved a temporary reduction in pay for each of its named executive officers, including (1) a 50% base salary reduction for David Hult, the President and Chief Executive Officer, (2) a 20% base salary reduction for each of Daniel Clara, Senior Vice President, Operations, Jed M. Milstein, Senior Vice President &amp; Chief Human Resources Officer, and George A. Villasana, Senior Vice President, General Counsel &amp; Secretary and (3) a 10% base salary reduction for William F. Stax, Interim Principal Financial Officer, Vice President, Controller, &amp; Chief Accounting Officer. In connection with these reductions, each of Messrs. Hult, Milstein and Villasana waived his right to terminate his employment for “good reason” due to a reduction in salary as defined in the agreement for such officer previously filed with the U.S. Securities and Exchange Commission. For any other termination of these three officers occurring during the temporary period, the applicable severance payment will be calculated pursuant to and in accordance with the terms of such applicable agreement using the base salary in effect immediately prior to April 3, 2020. Messrs. Stax and Clara are not subject to agreements with similar rights.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4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COVID-19 pandemic has caused a dramatic decrease in economic activity across the United States. The pandemic also has resulted in the imposition of measures mandated by federal, state and local governments and guidelines issued by public health officials designed to minimize the public’s exposure to the virus.</w:t>
      </w:r>
    </w:p>
    <w:p>
      <w:pPr>
        <w:spacing w:after="0" w:line="103" w:lineRule="exact"/>
        <w:rPr>
          <w:sz w:val="20"/>
          <w:szCs w:val="20"/>
          <w:color w:val="auto"/>
        </w:rPr>
      </w:pPr>
    </w:p>
    <w:p>
      <w:pPr>
        <w:ind w:right="180" w:firstLine="170"/>
        <w:spacing w:after="0" w:line="263" w:lineRule="auto"/>
        <w:rPr>
          <w:sz w:val="20"/>
          <w:szCs w:val="20"/>
          <w:color w:val="auto"/>
        </w:rPr>
      </w:pPr>
      <w:r>
        <w:rPr>
          <w:rFonts w:ascii="Arial" w:cs="Arial" w:eastAsia="Arial" w:hAnsi="Arial"/>
          <w:sz w:val="18"/>
          <w:szCs w:val="18"/>
          <w:color w:val="auto"/>
        </w:rPr>
        <w:t>As a result of the COVID-19 pandemic and related measures and guidelines, the Company has experienced a sudden and significant decline in its sales and service business operations. In response to the COVID-19 effects, the Company has acted decisively in an effort to right-size its business, reduce expenses and mitigate the financial impact of COVID-19.</w:t>
      </w:r>
    </w:p>
    <w:p>
      <w:pPr>
        <w:spacing w:after="0" w:line="103"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These actions include the placement of approximately 2,300 employees on furlough, implementation of reduced store hours, and suspension of the 401(k) match. These actions will be evaluated and adjusted as necessary in response to the Company’s operational needs during these times of economic uncertainty. The Company also implemented a temporary reduction in pay for all employees across the Company, including the following reductions:</w:t>
      </w:r>
    </w:p>
    <w:p>
      <w:pPr>
        <w:spacing w:after="0" w:line="68"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50% base salary reduction for the President and Chief Executive Officer,</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 base salary reduction for the Senior Vice Presidents,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 average pay reduction for the Regional and Field Vice Presidents and National Directors,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10% base salary reduction for all other Vice Presidents.</w:t>
      </w:r>
    </w:p>
    <w:p>
      <w:pPr>
        <w:spacing w:after="0" w:line="130"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The Company’s directors have also agreed to waive 25% of the annual cash retainer and annual cash committee chair retainer during this temporary period. In addition, the chairman of the board has agreed to waive 30% of his annual cash chairman retainer during this temporary period.</w:t>
      </w:r>
    </w:p>
    <w:p>
      <w:pPr>
        <w:spacing w:after="0" w:line="43"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In addition, the Company has significantly reduced its marketing expenses, deferred most capital expenditures, and negotiated significant discounts with certain vendors through the end of the second quarter of 2020.</w:t>
      </w:r>
    </w:p>
    <w:p>
      <w:pPr>
        <w:spacing w:after="0" w:line="89"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Because the Company cannot predict the duration of the pandemic and resulting economic impact on its business, the Company will continue to evaluate its options and manage its business as appropriate in order to preserve its financial flexibility during this challenging time.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This report contains “forward-looking statements” within the meaning of the Private Securities Litigation Reform Act of 1995. Forward-looking statements are statements other than historical fact, and may include statements relating to goals, plans, market conditions and projections regarding Asbury's financial position, liquidity, results of operations, market position and dealership portfolio, and other initiatives and future business strategy. These statements are based on management's current expectations and beliefs and involve significant risks and uncertainties that may cause results to differ materially from those set forth in the statements. These risks and uncertainties include, among other things, market factors, </w:t>
      </w:r>
      <w:r>
        <w:rPr>
          <w:rFonts w:ascii="Arial" w:cs="Arial" w:eastAsia="Arial" w:hAnsi="Arial"/>
          <w:sz w:val="16"/>
          <w:szCs w:val="16"/>
          <w:color w:val="212529"/>
        </w:rPr>
        <w:t>the duration of the COVID-19 pandemic and its</w:t>
      </w:r>
      <w:r>
        <w:rPr>
          <w:rFonts w:ascii="Arial" w:cs="Arial" w:eastAsia="Arial" w:hAnsi="Arial"/>
          <w:sz w:val="16"/>
          <w:szCs w:val="16"/>
          <w:color w:val="auto"/>
        </w:rPr>
        <w:t xml:space="preserve"> </w:t>
      </w:r>
      <w:r>
        <w:rPr>
          <w:rFonts w:ascii="Arial" w:cs="Arial" w:eastAsia="Arial" w:hAnsi="Arial"/>
          <w:sz w:val="16"/>
          <w:szCs w:val="16"/>
          <w:color w:val="212529"/>
        </w:rPr>
        <w:t xml:space="preserve">impact on the economy, our business operations and the supply of vehicle and parts inventories, the scope and duration of government-mandated measures and guidelines by health officials, and their impact on our business operations, the ability and willingness of our customers to visit our stores to purchase products or service their vehicles and the overall health of our labor force, and our liquidity, our </w:t>
      </w:r>
      <w:r>
        <w:rPr>
          <w:rFonts w:ascii="Arial" w:cs="Arial" w:eastAsia="Arial" w:hAnsi="Arial"/>
          <w:sz w:val="16"/>
          <w:szCs w:val="16"/>
          <w:color w:val="000000"/>
        </w:rPr>
        <w:t>relationships with, and the financial and operational</w:t>
      </w:r>
      <w:r>
        <w:rPr>
          <w:rFonts w:ascii="Arial" w:cs="Arial" w:eastAsia="Arial" w:hAnsi="Arial"/>
          <w:sz w:val="16"/>
          <w:szCs w:val="16"/>
          <w:color w:val="212529"/>
        </w:rPr>
        <w:t xml:space="preserve"> </w:t>
      </w:r>
      <w:r>
        <w:rPr>
          <w:rFonts w:ascii="Arial" w:cs="Arial" w:eastAsia="Arial" w:hAnsi="Arial"/>
          <w:sz w:val="16"/>
          <w:szCs w:val="16"/>
          <w:color w:val="000000"/>
        </w:rPr>
        <w:t>stability of, vehicle manufacturers and other suppliers, acts of God or other incidents, which may adversely impact supply from vehicle manufacturers and/or present retail sales challenges, risks associated with Asbury's indebtedness (including available borrowing capacity, compliance with its financial covenants and ability to refinance or repay such indebtedness, on favorable terms), Asbury's relationships with, and the financial stability of, its lenders and lessors, risks related to competition in the automotive retail and service industries, general economic conditions both</w:t>
      </w:r>
    </w:p>
    <w:p>
      <w:pPr>
        <w:sectPr>
          <w:pgSz w:w="11900" w:h="16838" w:orient="portrait"/>
          <w:cols w:equalWidth="0" w:num="1">
            <w:col w:w="11240"/>
          </w:cols>
          <w:pgMar w:left="320" w:top="553" w:right="339" w:bottom="1440" w:gutter="0" w:footer="0" w:header="0"/>
        </w:sectPr>
      </w:pPr>
    </w:p>
    <w:bookmarkStart w:id="3" w:name="page4"/>
    <w:bookmarkEnd w:id="3"/>
    <w:p>
      <w:pPr>
        <w:jc w:val="both"/>
        <w:spacing w:after="0" w:line="259" w:lineRule="auto"/>
        <w:rPr>
          <w:sz w:val="20"/>
          <w:szCs w:val="20"/>
          <w:color w:val="auto"/>
        </w:rPr>
      </w:pPr>
      <w:r>
        <w:rPr>
          <w:rFonts w:ascii="Arial" w:cs="Arial" w:eastAsia="Arial" w:hAnsi="Arial"/>
          <w:sz w:val="18"/>
          <w:szCs w:val="18"/>
          <w:color w:val="auto"/>
        </w:rPr>
        <w:t>nationally and locally, governmental regulations, legislation, adverse results in litigation and other proceedings, and Asbury's ability to execute its initiatives and other operational strategies, Asbury's ability to leverage gains from its dealership portfolio. Asbury's ability to capitalize on opportunities to repurchase its debt and equity securities or purchase properties that it currently leases, and Asbury's ability to stay within its targeted range for capital expenditures.</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and other risk factors that could cause actual results to differ materially from those expressed or implied in our forward-looking statements are and will be discussed in Asbury's filings with the U.S. Securities and Exchange Commission from time to time, including its most recent annual report on Form 10-K and any subsequently filed quarterly reports on Form 10-Q. We undertake no obligation to publicly update any forward-looking statement, whether as a result of new information, future events or otherwise.</w:t>
      </w:r>
    </w:p>
    <w:p>
      <w:pPr>
        <w:sectPr>
          <w:pgSz w:w="11900" w:h="16838" w:orient="portrait"/>
          <w:cols w:equalWidth="0" w:num="1">
            <w:col w:w="11240"/>
          </w:cols>
          <w:pgMar w:left="320" w:top="557" w:right="339" w:bottom="1440" w:gutter="0" w:footer="0" w:header="0"/>
        </w:sectPr>
      </w:pPr>
    </w:p>
    <w:bookmarkStart w:id="4" w:name="page5"/>
    <w:bookmarkEnd w:id="4"/>
    <w:p>
      <w:pPr>
        <w:jc w:val="center"/>
        <w:ind w:right="-53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ASBURY AUTOMOTIVE GROUP, INC.</w:t>
      </w:r>
    </w:p>
    <w:p>
      <w:pPr>
        <w:spacing w:after="0" w:line="185" w:lineRule="exact"/>
        <w:rPr>
          <w:sz w:val="20"/>
          <w:szCs w:val="20"/>
          <w:color w:val="auto"/>
        </w:rPr>
      </w:pPr>
    </w:p>
    <w:p>
      <w:pPr>
        <w:ind w:left="40"/>
        <w:spacing w:after="0"/>
        <w:tabs>
          <w:tab w:leader="none" w:pos="5520" w:val="left"/>
          <w:tab w:leader="none" w:pos="6420" w:val="left"/>
          <w:tab w:leader="none" w:pos="6780" w:val="left"/>
        </w:tabs>
        <w:rPr>
          <w:sz w:val="20"/>
          <w:szCs w:val="20"/>
          <w:color w:val="auto"/>
        </w:rPr>
      </w:pPr>
      <w:r>
        <w:rPr>
          <w:rFonts w:ascii="Arial" w:cs="Arial" w:eastAsia="Arial" w:hAnsi="Arial"/>
          <w:sz w:val="18"/>
          <w:szCs w:val="18"/>
          <w:color w:val="auto"/>
        </w:rPr>
        <w:t>Date: April 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George A Villasana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31750</wp:posOffset>
            </wp:positionV>
            <wp:extent cx="31286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9" w:lineRule="exact"/>
        <w:rPr>
          <w:sz w:val="20"/>
          <w:szCs w:val="20"/>
          <w:color w:val="auto"/>
        </w:rPr>
      </w:pPr>
    </w:p>
    <w:p>
      <w:pPr>
        <w:ind w:left="5540"/>
        <w:spacing w:after="0"/>
        <w:tabs>
          <w:tab w:leader="none" w:pos="642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6"/>
          <w:szCs w:val="16"/>
          <w:b w:val="1"/>
          <w:bCs w:val="1"/>
          <w:color w:val="auto"/>
        </w:rPr>
        <w:t>George A. Villasana</w:t>
      </w:r>
    </w:p>
    <w:p>
      <w:pPr>
        <w:spacing w:after="0" w:line="63" w:lineRule="exact"/>
        <w:rPr>
          <w:sz w:val="20"/>
          <w:szCs w:val="20"/>
          <w:color w:val="auto"/>
        </w:rPr>
      </w:pPr>
    </w:p>
    <w:p>
      <w:pPr>
        <w:ind w:left="5540"/>
        <w:spacing w:after="0"/>
        <w:tabs>
          <w:tab w:leader="none" w:pos="642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Senior Vice President, General Counsel &amp; Secretary</w:t>
      </w:r>
    </w:p>
    <w:sectPr>
      <w:pgSz w:w="11900" w:h="16838" w:orient="portrait"/>
      <w:cols w:equalWidth="0" w:num="1">
        <w:col w:w="10720"/>
      </w:cols>
      <w:pgMar w:left="320" w:top="553"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2020-04-03T16:18:23Z</dcterms:created>
  <dcterms:modified xsi:type="dcterms:W3CDTF">2020-04-03T16:18:23Z</dcterms:modified>
</cp:coreProperties>
</file>