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540832.xml.htm"/>
      <w:bookmarkStart w:id="1" w:name="kswkform4_17715408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Clara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ASBURY AUTOMOTIVE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6655 PEACHTREE DUNWOODY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ASBURY AUTOMOTIVE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229.78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9,228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of the Issuer's common stock withheld for payment of taxes upon the vesting of one-third of the restricted share units granted on February 19,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/s/Dean Calloway, Attorney 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1913" TargetMode="External"/><Relationship Id="rId5" Type="http://schemas.openxmlformats.org/officeDocument/2006/relationships/hyperlink" Target="http://www.sec.gov/cgi-bin/browse-edgar?action=getcompany&amp;CIK=00011449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3243</Characters>
  <CharactersWithSpaces>3778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