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762000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728980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t>UNITED STATES</w:t>
      </w:r>
    </w:p>
    <w:p>
      <w:pPr>
        <w:spacing w:after="0" w:line="5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49530</wp:posOffset>
            </wp:positionV>
            <wp:extent cx="2322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81280</wp:posOffset>
            </wp:positionV>
            <wp:extent cx="2322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160655</wp:posOffset>
            </wp:positionV>
            <wp:extent cx="2322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1"/>
          <w:szCs w:val="41"/>
          <w:b w:val="1"/>
          <w:bCs w:val="1"/>
          <w:color w:val="auto"/>
        </w:rPr>
        <w:t>Asbury Automotive Group, Inc.</w:t>
      </w:r>
    </w:p>
    <w:p>
      <w:pPr>
        <w:spacing w:after="0" w:line="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55245</wp:posOffset>
            </wp:positionV>
            <wp:extent cx="2322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37" w:lineRule="exact"/>
        <w:rPr>
          <w:sz w:val="24"/>
          <w:szCs w:val="24"/>
          <w:color w:val="auto"/>
        </w:rPr>
      </w:pPr>
    </w:p>
    <w:tbl>
      <w:tblPr>
        <w:tblLayout w:type="fixed"/>
        <w:tblInd w:w="130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5540" w:type="dxa"/>
            <w:vAlign w:val="bottom"/>
          </w:tcPr>
          <w:p>
            <w:pPr>
              <w:ind w:left="1000"/>
              <w:spacing w:after="0"/>
              <w:rPr>
                <w:sz w:val="20"/>
                <w:szCs w:val="20"/>
                <w:color w:val="auto"/>
              </w:rPr>
            </w:pPr>
            <w:r>
              <w:rPr>
                <w:rFonts w:ascii="Times New Roman" w:cs="Times New Roman" w:eastAsia="Times New Roman" w:hAnsi="Times New Roman"/>
                <w:sz w:val="17"/>
                <w:szCs w:val="17"/>
                <w:b w:val="1"/>
                <w:bCs w:val="1"/>
                <w:color w:val="auto"/>
              </w:rPr>
              <w:t>Delaware</w:t>
            </w:r>
          </w:p>
        </w:tc>
      </w:tr>
      <w:tr>
        <w:trPr>
          <w:trHeight w:val="178"/>
        </w:trPr>
        <w:tc>
          <w:tcPr>
            <w:tcW w:w="2980" w:type="dxa"/>
            <w:vAlign w:val="bottom"/>
          </w:tcPr>
          <w:p>
            <w:pPr>
              <w:spacing w:after="0"/>
              <w:rPr>
                <w:sz w:val="15"/>
                <w:szCs w:val="15"/>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r>
      <w:tr>
        <w:trPr>
          <w:trHeight w:val="332"/>
        </w:trPr>
        <w:tc>
          <w:tcPr>
            <w:tcW w:w="2980" w:type="dxa"/>
            <w:vAlign w:val="bottom"/>
          </w:tcPr>
          <w:p>
            <w:pPr>
              <w:jc w:val="center"/>
              <w:ind w:right="82"/>
              <w:spacing w:after="0"/>
              <w:rPr>
                <w:sz w:val="20"/>
                <w:szCs w:val="20"/>
                <w:color w:val="auto"/>
              </w:rPr>
            </w:pPr>
            <w:r>
              <w:rPr>
                <w:rFonts w:ascii="Times New Roman" w:cs="Times New Roman" w:eastAsia="Times New Roman" w:hAnsi="Times New Roman"/>
                <w:sz w:val="17"/>
                <w:szCs w:val="17"/>
                <w:b w:val="1"/>
                <w:bCs w:val="1"/>
                <w:color w:val="auto"/>
              </w:rPr>
              <w:t>001-31262</w:t>
            </w:r>
          </w:p>
        </w:tc>
        <w:tc>
          <w:tcPr>
            <w:tcW w:w="5540" w:type="dxa"/>
            <w:vAlign w:val="bottom"/>
          </w:tcPr>
          <w:p>
            <w:pPr>
              <w:jc w:val="right"/>
              <w:ind w:right="382"/>
              <w:spacing w:after="0"/>
              <w:rPr>
                <w:sz w:val="20"/>
                <w:szCs w:val="20"/>
                <w:color w:val="auto"/>
              </w:rPr>
            </w:pPr>
            <w:r>
              <w:rPr>
                <w:rFonts w:ascii="Times New Roman" w:cs="Times New Roman" w:eastAsia="Times New Roman" w:hAnsi="Times New Roman"/>
                <w:sz w:val="17"/>
                <w:szCs w:val="17"/>
                <w:b w:val="1"/>
                <w:bCs w:val="1"/>
                <w:color w:val="auto"/>
              </w:rPr>
              <w:t>01-0609375</w:t>
            </w:r>
          </w:p>
        </w:tc>
      </w:tr>
      <w:tr>
        <w:trPr>
          <w:trHeight w:val="159"/>
        </w:trPr>
        <w:tc>
          <w:tcPr>
            <w:tcW w:w="2980" w:type="dxa"/>
            <w:vAlign w:val="bottom"/>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rPr>
              <w:t>(Commission File Number)</w:t>
            </w:r>
          </w:p>
        </w:tc>
        <w:tc>
          <w:tcPr>
            <w:tcW w:w="5540" w:type="dxa"/>
            <w:vAlign w:val="bottom"/>
          </w:tcPr>
          <w:p>
            <w:pPr>
              <w:jc w:val="center"/>
              <w:ind w:left="3722"/>
              <w:spacing w:after="0"/>
              <w:rPr>
                <w:sz w:val="20"/>
                <w:szCs w:val="20"/>
                <w:color w:val="auto"/>
              </w:rPr>
            </w:pPr>
            <w:r>
              <w:rPr>
                <w:rFonts w:ascii="Times New Roman" w:cs="Times New Roman" w:eastAsia="Times New Roman" w:hAnsi="Times New Roman"/>
                <w:sz w:val="12"/>
                <w:szCs w:val="12"/>
                <w:b w:val="1"/>
                <w:bCs w:val="1"/>
                <w:color w:val="auto"/>
                <w:w w:val="99"/>
              </w:rPr>
              <w:t>(IRS Employer Identification No.)</w:t>
            </w:r>
          </w:p>
        </w:tc>
      </w:tr>
      <w:tr>
        <w:trPr>
          <w:trHeight w:val="331"/>
        </w:trPr>
        <w:tc>
          <w:tcPr>
            <w:tcW w:w="2980" w:type="dxa"/>
            <w:vAlign w:val="bottom"/>
          </w:tcPr>
          <w:p>
            <w:pPr>
              <w:jc w:val="center"/>
              <w:ind w:right="82"/>
              <w:spacing w:after="0"/>
              <w:rPr>
                <w:sz w:val="20"/>
                <w:szCs w:val="20"/>
                <w:color w:val="auto"/>
              </w:rPr>
            </w:pPr>
            <w:r>
              <w:rPr>
                <w:rFonts w:ascii="Times New Roman" w:cs="Times New Roman" w:eastAsia="Times New Roman" w:hAnsi="Times New Roman"/>
                <w:sz w:val="17"/>
                <w:szCs w:val="17"/>
                <w:b w:val="1"/>
                <w:bCs w:val="1"/>
                <w:color w:val="auto"/>
              </w:rPr>
              <w:t>2905 Premiere Parkway NW Suite 300</w:t>
            </w:r>
          </w:p>
        </w:tc>
        <w:tc>
          <w:tcPr>
            <w:tcW w:w="5540" w:type="dxa"/>
            <w:vAlign w:val="bottom"/>
          </w:tcPr>
          <w:p>
            <w:pPr>
              <w:spacing w:after="0"/>
              <w:rPr>
                <w:sz w:val="24"/>
                <w:szCs w:val="24"/>
                <w:color w:val="auto"/>
              </w:rPr>
            </w:pPr>
          </w:p>
        </w:tc>
      </w:tr>
      <w:tr>
        <w:trPr>
          <w:trHeight w:val="220"/>
        </w:trPr>
        <w:tc>
          <w:tcPr>
            <w:tcW w:w="2980" w:type="dxa"/>
            <w:vAlign w:val="bottom"/>
          </w:tcPr>
          <w:p>
            <w:pPr>
              <w:ind w:left="1000"/>
              <w:spacing w:after="0"/>
              <w:rPr>
                <w:sz w:val="20"/>
                <w:szCs w:val="20"/>
                <w:color w:val="auto"/>
              </w:rPr>
            </w:pPr>
            <w:r>
              <w:rPr>
                <w:rFonts w:ascii="Times New Roman" w:cs="Times New Roman" w:eastAsia="Times New Roman" w:hAnsi="Times New Roman"/>
                <w:sz w:val="17"/>
                <w:szCs w:val="17"/>
                <w:b w:val="1"/>
                <w:bCs w:val="1"/>
                <w:color w:val="auto"/>
              </w:rPr>
              <w:t>Duluth, GA</w:t>
            </w:r>
          </w:p>
        </w:tc>
        <w:tc>
          <w:tcPr>
            <w:tcW w:w="5540" w:type="dxa"/>
            <w:vAlign w:val="bottom"/>
          </w:tcPr>
          <w:p>
            <w:pPr>
              <w:jc w:val="right"/>
              <w:ind w:right="582"/>
              <w:spacing w:after="0"/>
              <w:rPr>
                <w:sz w:val="20"/>
                <w:szCs w:val="20"/>
                <w:color w:val="auto"/>
              </w:rPr>
            </w:pPr>
            <w:r>
              <w:rPr>
                <w:rFonts w:ascii="Times New Roman" w:cs="Times New Roman" w:eastAsia="Times New Roman" w:hAnsi="Times New Roman"/>
                <w:sz w:val="17"/>
                <w:szCs w:val="17"/>
                <w:b w:val="1"/>
                <w:bCs w:val="1"/>
                <w:color w:val="auto"/>
              </w:rPr>
              <w:t>30097</w:t>
            </w:r>
          </w:p>
        </w:tc>
      </w:tr>
      <w:tr>
        <w:trPr>
          <w:trHeight w:val="227"/>
        </w:trPr>
        <w:tc>
          <w:tcPr>
            <w:tcW w:w="29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5540" w:type="dxa"/>
            <w:vAlign w:val="bottom"/>
          </w:tcPr>
          <w:p>
            <w:pPr>
              <w:jc w:val="center"/>
              <w:ind w:left="3742"/>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00" w:lineRule="exact"/>
        <w:rPr>
          <w:sz w:val="24"/>
          <w:szCs w:val="24"/>
          <w:color w:val="auto"/>
        </w:rPr>
      </w:pPr>
    </w:p>
    <w:p>
      <w:pPr>
        <w:spacing w:after="0" w:line="20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(770) 418-8200</w:t>
      </w:r>
    </w:p>
    <w:p>
      <w:pPr>
        <w:spacing w:after="0" w:line="2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5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121920</wp:posOffset>
            </wp:positionV>
            <wp:extent cx="2322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24" w:lineRule="exact"/>
        <w:rPr>
          <w:sz w:val="24"/>
          <w:szCs w:val="24"/>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74"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87"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74"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39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4400" w:type="dxa"/>
            <w:vAlign w:val="bottom"/>
          </w:tcPr>
          <w:p>
            <w:pPr>
              <w:spacing w:after="0"/>
              <w:rPr>
                <w:sz w:val="24"/>
                <w:szCs w:val="24"/>
                <w:color w:val="auto"/>
              </w:rPr>
            </w:pPr>
          </w:p>
        </w:tc>
      </w:tr>
      <w:tr>
        <w:trPr>
          <w:trHeight w:val="227"/>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 per share</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ABG</w:t>
            </w:r>
          </w:p>
        </w:tc>
        <w:tc>
          <w:tcPr>
            <w:tcW w:w="100" w:type="dxa"/>
            <w:vAlign w:val="bottom"/>
          </w:tcPr>
          <w:p>
            <w:pPr>
              <w:spacing w:after="0"/>
              <w:rPr>
                <w:sz w:val="18"/>
                <w:szCs w:val="18"/>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57"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541655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257" w:right="51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8171180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320" w:top="1092"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80" w:lineRule="exact"/>
        <w:rPr>
          <w:sz w:val="20"/>
          <w:szCs w:val="20"/>
          <w:color w:val="auto"/>
        </w:rPr>
      </w:pPr>
    </w:p>
    <w:p>
      <w:pPr>
        <w:ind w:right="180" w:firstLine="388"/>
        <w:spacing w:after="0" w:line="288" w:lineRule="auto"/>
        <w:rPr>
          <w:sz w:val="20"/>
          <w:szCs w:val="20"/>
          <w:color w:val="auto"/>
        </w:rPr>
      </w:pPr>
      <w:r>
        <w:rPr>
          <w:rFonts w:ascii="Times New Roman" w:cs="Times New Roman" w:eastAsia="Times New Roman" w:hAnsi="Times New Roman"/>
          <w:sz w:val="17"/>
          <w:szCs w:val="17"/>
          <w:color w:val="auto"/>
        </w:rPr>
        <w:t>Asbury Automotive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issued an earnings release on July 29, 2025, announcing its financial results for the three and six months ended June 30, 2025. A copy of the earnings release is furnished as Exhibit 99.1 to this Current Report.</w:t>
      </w:r>
    </w:p>
    <w:p>
      <w:pPr>
        <w:spacing w:after="0" w:line="99" w:lineRule="exact"/>
        <w:rPr>
          <w:sz w:val="20"/>
          <w:szCs w:val="20"/>
          <w:color w:val="auto"/>
        </w:rPr>
      </w:pPr>
    </w:p>
    <w:p>
      <w:pPr>
        <w:ind w:firstLine="388"/>
        <w:spacing w:after="0" w:line="265" w:lineRule="auto"/>
        <w:rPr>
          <w:sz w:val="20"/>
          <w:szCs w:val="20"/>
          <w:color w:val="auto"/>
        </w:rPr>
      </w:pPr>
      <w:r>
        <w:rPr>
          <w:rFonts w:ascii="Times New Roman" w:cs="Times New Roman" w:eastAsia="Times New Roman" w:hAnsi="Times New Roman"/>
          <w:sz w:val="17"/>
          <w:szCs w:val="17"/>
          <w:color w:val="auto"/>
        </w:rPr>
        <w:t>The information furnished in this Current Report on Form 8-K, including Exhibit 99.1, shall not be deemed to be “filed” for purposes of Section 18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2" w:lineRule="exact"/>
        <w:rPr>
          <w:sz w:val="20"/>
          <w:szCs w:val="20"/>
          <w:color w:val="auto"/>
        </w:rPr>
      </w:pPr>
    </w:p>
    <w:p>
      <w:pPr>
        <w:ind w:left="400"/>
        <w:spacing w:after="0"/>
        <w:tabs>
          <w:tab w:leader="none" w:pos="740" w:val="left"/>
        </w:tabs>
        <w:rPr>
          <w:sz w:val="20"/>
          <w:szCs w:val="20"/>
          <w:color w:val="auto"/>
        </w:rPr>
      </w:pPr>
      <w:r>
        <w:rPr>
          <w:rFonts w:ascii="Times New Roman" w:cs="Times New Roman" w:eastAsia="Times New Roman" w:hAnsi="Times New Roman"/>
          <w:sz w:val="17"/>
          <w:szCs w:val="17"/>
          <w:color w:val="auto"/>
        </w:rPr>
        <w:t>(d)</w:t>
        <w:tab/>
        <w:t>Exhibits.</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exhibits are furnished as part of this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16"/>
        </w:trPr>
        <w:tc>
          <w:tcPr>
            <w:tcW w:w="820" w:type="dxa"/>
            <w:vAlign w:val="bottom"/>
          </w:tcPr>
          <w:p>
            <w:pPr>
              <w:spacing w:after="0"/>
              <w:rPr>
                <w:sz w:val="24"/>
                <w:szCs w:val="2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Press Release dated July 29, 2025.</w:t>
            </w:r>
          </w:p>
        </w:tc>
      </w:tr>
      <w:tr>
        <w:trPr>
          <w:trHeight w:val="239"/>
        </w:trPr>
        <w:tc>
          <w:tcPr>
            <w:tcW w:w="1020" w:type="dxa"/>
            <w:vAlign w:val="bottom"/>
            <w:gridSpan w:val="2"/>
          </w:tcPr>
          <w:p>
            <w:pPr>
              <w:spacing w:after="0"/>
              <w:rPr>
                <w:sz w:val="20"/>
                <w:szCs w:val="20"/>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20"/>
                <w:szCs w:val="20"/>
                <w:color w:val="auto"/>
              </w:rPr>
            </w:pP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078"/>
        </w:trPr>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70" w:lineRule="exact"/>
        <w:rPr>
          <w:sz w:val="20"/>
          <w:szCs w:val="20"/>
          <w:color w:val="auto"/>
        </w:rPr>
      </w:pPr>
    </w:p>
    <w:p>
      <w:pPr>
        <w:ind w:right="100" w:firstLine="426"/>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ASBURY AUTOMOTIVE GROUP, INC.</w:t>
            </w:r>
          </w:p>
        </w:tc>
      </w:tr>
      <w:tr>
        <w:trPr>
          <w:trHeight w:val="27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2025</w:t>
            </w:r>
          </w:p>
        </w:tc>
        <w:tc>
          <w:tcPr>
            <w:tcW w:w="2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7"/>
                <w:szCs w:val="17"/>
                <w:color w:val="auto"/>
              </w:rPr>
              <w:t>/s/ Michael D. Welch</w:t>
            </w:r>
          </w:p>
        </w:tc>
      </w:tr>
      <w:tr>
        <w:trPr>
          <w:trHeight w:val="192"/>
        </w:trPr>
        <w:tc>
          <w:tcPr>
            <w:tcW w:w="3400" w:type="dxa"/>
            <w:vAlign w:val="bottom"/>
          </w:tcPr>
          <w:p>
            <w:pPr>
              <w:spacing w:after="0"/>
              <w:rPr>
                <w:sz w:val="16"/>
                <w:szCs w:val="16"/>
                <w:color w:val="auto"/>
              </w:rPr>
            </w:pPr>
          </w:p>
        </w:tc>
        <w:tc>
          <w:tcPr>
            <w:tcW w:w="2840" w:type="dxa"/>
            <w:vAlign w:val="bottom"/>
          </w:tcPr>
          <w:p>
            <w:pPr>
              <w:ind w:left="2080"/>
              <w:spacing w:after="0" w:line="192" w:lineRule="exact"/>
              <w:rPr>
                <w:sz w:val="20"/>
                <w:szCs w:val="20"/>
                <w:color w:val="auto"/>
              </w:rPr>
            </w:pPr>
            <w:r>
              <w:rPr>
                <w:rFonts w:ascii="Times New Roman" w:cs="Times New Roman" w:eastAsia="Times New Roman" w:hAnsi="Times New Roman"/>
                <w:sz w:val="17"/>
                <w:szCs w:val="17"/>
                <w:b w:val="1"/>
                <w:bCs w:val="1"/>
                <w:color w:val="auto"/>
              </w:rPr>
              <w:t>Name:</w:t>
            </w:r>
          </w:p>
        </w:tc>
        <w:tc>
          <w:tcPr>
            <w:tcW w:w="49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6"/>
              </w:rPr>
              <w:t>Michael D. Welch</w:t>
            </w:r>
          </w:p>
        </w:tc>
      </w:tr>
      <w:tr>
        <w:trPr>
          <w:trHeight w:val="227"/>
        </w:trPr>
        <w:tc>
          <w:tcPr>
            <w:tcW w:w="3400" w:type="dxa"/>
            <w:vAlign w:val="bottom"/>
          </w:tcPr>
          <w:p>
            <w:pPr>
              <w:spacing w:after="0"/>
              <w:rPr>
                <w:sz w:val="19"/>
                <w:szCs w:val="19"/>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9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7"/>
              </w:rPr>
              <w:t>Senior Vice President and Chief Financial Officer</w:t>
            </w:r>
          </w:p>
        </w:tc>
      </w:tr>
    </w:tbl>
    <w:p>
      <w:pPr>
        <w:sectPr>
          <w:pgSz w:w="11900" w:h="16838" w:orient="portrait"/>
          <w:cols w:equalWidth="0" w:num="1">
            <w:col w:w="11240"/>
          </w:cols>
          <w:pgMar w:left="320" w:top="856" w:right="339" w:bottom="1440" w:gutter="0" w:footer="0" w:header="0"/>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912745" cy="582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274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b w:val="1"/>
          <w:bCs w:val="1"/>
          <w:color w:val="auto"/>
        </w:rPr>
        <w:t>Investors &amp; Reporters May Contact:</w:t>
      </w:r>
    </w:p>
    <w:p>
      <w:pPr>
        <w:spacing w:after="0" w:line="25"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Chris Reeves</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VP Finance, Investor Relations</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(678) 537-6576</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ir@asburyauto.com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Asbury Automotive Group Reports Second Quarter Results</w:t>
      </w:r>
    </w:p>
    <w:p>
      <w:pPr>
        <w:spacing w:after="0" w:line="176" w:lineRule="exact"/>
        <w:rPr>
          <w:sz w:val="20"/>
          <w:szCs w:val="20"/>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Revenue of $4.4 billion</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Gross Profit of $752 million</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All-time record Parts &amp; Service gross profit of $355 million</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Fourth quarter of sequential improvement in same store Used Retail gross profit per unit</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Net income of $153 million; adjusted net income, a non-GAAP measure, of $146 million</w:t>
      </w:r>
    </w:p>
    <w:p>
      <w:pPr>
        <w:spacing w:after="0" w:line="68"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EPS of $7.76 per diluted share; adjusted EPS, a non-GAAP measure, of $7.43 per diluted share</w:t>
      </w:r>
    </w:p>
    <w:p>
      <w:pPr>
        <w:spacing w:after="0" w:line="55" w:lineRule="exact"/>
        <w:rPr>
          <w:rFonts w:ascii="Times New Roman" w:cs="Times New Roman" w:eastAsia="Times New Roman" w:hAnsi="Times New Roman"/>
          <w:sz w:val="21"/>
          <w:szCs w:val="21"/>
          <w:color w:val="auto"/>
        </w:rPr>
      </w:pPr>
    </w:p>
    <w:p>
      <w:pPr>
        <w:ind w:left="620" w:right="620" w:hanging="307"/>
        <w:spacing w:after="0" w:line="269" w:lineRule="auto"/>
        <w:tabs>
          <w:tab w:leader="none" w:pos="615"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Completed acquisition of The Herb Chambers Automotive Group on July 21, 2025; the sixteenth largest privately-owned dealership group based on 2024 revenue with approximately $3 billion in annual revenue</w:t>
      </w:r>
    </w:p>
    <w:p>
      <w:pPr>
        <w:ind w:left="620" w:right="440" w:hanging="307"/>
        <w:spacing w:after="0" w:line="273" w:lineRule="auto"/>
        <w:tabs>
          <w:tab w:leader="none" w:pos="615"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Divested of nine stores in the period between April 1, 2025 through July 28, 2025 as part of ongoing capital allocation and portfolio optimization efforts; net proceeds of $250 - $270 million</w:t>
      </w:r>
    </w:p>
    <w:p>
      <w:pPr>
        <w:spacing w:after="0" w:line="200" w:lineRule="exact"/>
        <w:rPr>
          <w:sz w:val="20"/>
          <w:szCs w:val="20"/>
          <w:color w:val="auto"/>
        </w:rPr>
      </w:pPr>
    </w:p>
    <w:p>
      <w:pPr>
        <w:spacing w:after="0" w:line="223" w:lineRule="exact"/>
        <w:rPr>
          <w:sz w:val="20"/>
          <w:szCs w:val="20"/>
          <w:color w:val="auto"/>
        </w:rPr>
      </w:pPr>
    </w:p>
    <w:p>
      <w:pPr>
        <w:jc w:val="both"/>
        <w:ind w:firstLine="17"/>
        <w:spacing w:after="0" w:line="250" w:lineRule="auto"/>
        <w:rPr>
          <w:sz w:val="20"/>
          <w:szCs w:val="20"/>
          <w:color w:val="auto"/>
        </w:rPr>
      </w:pPr>
      <w:r>
        <w:rPr>
          <w:rFonts w:ascii="Times New Roman" w:cs="Times New Roman" w:eastAsia="Times New Roman" w:hAnsi="Times New Roman"/>
          <w:sz w:val="21"/>
          <w:szCs w:val="21"/>
          <w:color w:val="auto"/>
        </w:rPr>
        <w:t>DULUTH, GA. (July 29, 2025) — Asbury Automotive Group, Inc. (NYSE: ABG) (the “Company”), one of the largest automotive retail and service companies in the U.S., reported second quarter 2025 net income of $153 million ($7.76 per diluted share), an increase of 443% from $28 million ($1.39 per diluted share) in second quarter 2024. The Company reported second quarter 2025 adjusted net income, a non-GAAP measure, of $146 million ($7.43 per diluted share), an increase of 13% from $129 million ($6.40 per diluted share) in second quarter 2024.</w:t>
      </w:r>
    </w:p>
    <w:p>
      <w:pPr>
        <w:spacing w:after="0" w:line="202" w:lineRule="exact"/>
        <w:rPr>
          <w:sz w:val="20"/>
          <w:szCs w:val="20"/>
          <w:color w:val="auto"/>
        </w:rPr>
      </w:pPr>
    </w:p>
    <w:p>
      <w:pPr>
        <w:jc w:val="both"/>
        <w:ind w:firstLine="17"/>
        <w:spacing w:after="0" w:line="257" w:lineRule="auto"/>
        <w:rPr>
          <w:sz w:val="20"/>
          <w:szCs w:val="20"/>
          <w:color w:val="auto"/>
        </w:rPr>
      </w:pPr>
      <w:r>
        <w:rPr>
          <w:rFonts w:ascii="Times New Roman" w:cs="Times New Roman" w:eastAsia="Times New Roman" w:hAnsi="Times New Roman"/>
          <w:sz w:val="21"/>
          <w:szCs w:val="21"/>
          <w:color w:val="auto"/>
        </w:rPr>
        <w:t>“I commend our team members for their sustained focus on growth, profitability and cost discipline," said David Hult, Asbury’s President and Chief Executive Officer. "This year, we have taken strategic steps to optimize our portfolio in order to position ourselves for continued, long-term operational success. This July, we welcomed The Herb Chambers Automotive Group to Asbury and we look forward to entering a new region of the country with a flagship group of operators and stores.”</w:t>
      </w:r>
    </w:p>
    <w:p>
      <w:pPr>
        <w:spacing w:after="0" w:line="193" w:lineRule="exact"/>
        <w:rPr>
          <w:sz w:val="20"/>
          <w:szCs w:val="20"/>
          <w:color w:val="auto"/>
        </w:rPr>
      </w:pPr>
    </w:p>
    <w:p>
      <w:pPr>
        <w:jc w:val="both"/>
        <w:ind w:firstLine="17"/>
        <w:spacing w:after="0" w:line="296" w:lineRule="auto"/>
        <w:rPr>
          <w:sz w:val="20"/>
          <w:szCs w:val="20"/>
          <w:color w:val="auto"/>
        </w:rPr>
      </w:pPr>
      <w:r>
        <w:rPr>
          <w:rFonts w:ascii="Times New Roman" w:cs="Times New Roman" w:eastAsia="Times New Roman" w:hAnsi="Times New Roman"/>
          <w:sz w:val="20"/>
          <w:szCs w:val="20"/>
          <w:color w:val="auto"/>
        </w:rPr>
        <w:t>The financial measures discussed below include both GAAP and adjusted (non-GAAP) financial measures. Please see “Non-GAAP Financial Disclosure and Reconciliation, Same Store Data and Other Data” and the reconciliations for non-GAAP metrics used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Adjusted net income for second quarter 2025 excludes, net of tax, $4 million of cyber insurance recovery proceeds ($0.19 per diluted share), $4 million related to gain on divestitures ($0.23 per diluted share) and $2 million of professional fees related to the acquisition of The Herb Chambers Automotive Group ($0.09 per diluted share).</w:t>
      </w:r>
    </w:p>
    <w:p>
      <w:pPr>
        <w:spacing w:after="0" w:line="20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1"/>
          <w:szCs w:val="21"/>
          <w:color w:val="auto"/>
        </w:rPr>
        <w:t>Adjusted net income for second quarter 2024 excludes, net of tax, $101 million of non-cash asset impairments ($5.02 per diluted share), gain on divestitures of $3 million ($0.13 per diluted share), and losses related to hail damage of $2 million ($0.11 per diluted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Second Quarter 2025 Operational Summary</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Total Company vs. 2</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21"/>
          <w:szCs w:val="21"/>
          <w:b w:val="1"/>
          <w:bCs w:val="1"/>
          <w:color w:val="auto"/>
        </w:rPr>
        <w:t xml:space="preserve"> Quarter 2024:</w:t>
      </w:r>
    </w:p>
    <w:p>
      <w:pPr>
        <w:spacing w:after="0" w:line="73" w:lineRule="exact"/>
        <w:rPr>
          <w:sz w:val="20"/>
          <w:szCs w:val="20"/>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Revenue of $4.4 billion, increase of 3%</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Gross profit of $752 million, increase of 3%</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Gross margin decreased 1 bps to 17.2%</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New vehicle unit volume increase of 4%; new vehicle revenue increase of 6%; new vehicle gross profit increase of 3%</w:t>
      </w:r>
    </w:p>
    <w:p>
      <w:pPr>
        <w:spacing w:after="0" w:line="54" w:lineRule="exact"/>
        <w:rPr>
          <w:rFonts w:ascii="Arial" w:cs="Arial" w:eastAsia="Arial" w:hAnsi="Arial"/>
          <w:sz w:val="21"/>
          <w:szCs w:val="21"/>
          <w:color w:val="auto"/>
        </w:rPr>
      </w:pPr>
    </w:p>
    <w:p>
      <w:pPr>
        <w:ind w:left="620" w:right="280" w:hanging="307"/>
        <w:spacing w:after="0" w:line="27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Used vehicle retail unit volume decrease of 6%; used vehicle retail revenue decrease of 3%; used vehicle retail gross profit increase of 11%</w:t>
      </w:r>
    </w:p>
    <w:p>
      <w:pPr>
        <w:spacing w:after="0" w:line="1"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Finance and insurance (F&amp;I) per vehicle retailed (PVR) of $2,084, decrease of 3%</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Parts and service revenue increase of 4%; gross profit increase of 4%</w:t>
      </w:r>
    </w:p>
    <w:p>
      <w:pPr>
        <w:spacing w:after="0" w:line="54" w:lineRule="exact"/>
        <w:rPr>
          <w:rFonts w:ascii="Arial" w:cs="Arial" w:eastAsia="Arial" w:hAnsi="Arial"/>
          <w:sz w:val="21"/>
          <w:szCs w:val="21"/>
          <w:color w:val="auto"/>
        </w:rPr>
      </w:pPr>
    </w:p>
    <w:p>
      <w:pPr>
        <w:ind w:left="620" w:right="220" w:hanging="307"/>
        <w:spacing w:after="0" w:line="270"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Selling, General and Administrative expenses (SG&amp;A) as a percentage of gross profit of 63.2%, a 198 basis point reduction versus prior year</w:t>
      </w:r>
    </w:p>
    <w:p>
      <w:pPr>
        <w:spacing w:after="0" w:line="1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Adjusted SG&amp;A as a percentage of gross profit of 63.6%, a 119 basis point reduction versus prior year</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5.9%</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5.8%</w:t>
      </w:r>
    </w:p>
    <w:p>
      <w:pPr>
        <w:spacing w:after="0" w:line="2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Same Store vs. 2</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21"/>
          <w:szCs w:val="21"/>
          <w:b w:val="1"/>
          <w:bCs w:val="1"/>
          <w:color w:val="auto"/>
        </w:rPr>
        <w:t xml:space="preserve"> Quarter 2024:</w:t>
      </w:r>
    </w:p>
    <w:p>
      <w:pPr>
        <w:spacing w:after="0" w:line="6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Revenue of $4.3 billion, increase of 5%</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Gross profit of $742 million, increase of 4%</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Gross margin decreased 9 bps to 17.2%</w:t>
      </w:r>
    </w:p>
    <w:p>
      <w:pPr>
        <w:spacing w:after="0" w:line="5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New vehicle unit volume increase of 7%; new vehicle revenue increase of 9%; new vehicle gross profit increase of 4%</w:t>
      </w:r>
    </w:p>
    <w:p>
      <w:pPr>
        <w:spacing w:after="0" w:line="54" w:lineRule="exact"/>
        <w:rPr>
          <w:rFonts w:ascii="Arial" w:cs="Arial" w:eastAsia="Arial" w:hAnsi="Arial"/>
          <w:sz w:val="21"/>
          <w:szCs w:val="21"/>
          <w:color w:val="auto"/>
        </w:rPr>
      </w:pPr>
    </w:p>
    <w:p>
      <w:pPr>
        <w:ind w:left="620" w:right="280" w:hanging="307"/>
        <w:spacing w:after="0" w:line="268"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Used vehicle retail unit volume decrease of 4%; used vehicle retail revenue decrease of 1%; used vehicle retail gross profit increase of 11%</w:t>
      </w:r>
    </w:p>
    <w:p>
      <w:pPr>
        <w:spacing w:after="0" w:line="2"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F&amp;I PVR of $2,096, decrease of 4%</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Parts and service revenue increase of 6%; gross profit increase of 7%</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SG&amp;A as a percentage of gross profit of 62.9%, a 183 basis point reduction versus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63.2%, a 103 basis point reduction versus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6.0%</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060"/>
          </w:cols>
          <w:pgMar w:left="320" w:top="1440" w:right="519" w:bottom="1440" w:gutter="0" w:footer="0" w:header="0"/>
        </w:sectPr>
      </w:pPr>
    </w:p>
    <w:bookmarkStart w:id="6" w:name="page7"/>
    <w:bookmarkEnd w:id="6"/>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Liquidity and Leverage</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1"/>
          <w:szCs w:val="21"/>
          <w:color w:val="auto"/>
        </w:rPr>
        <w:t>As of June 30, 2025, the Company had cash and floorplan offset accounts of $318 million (which excludes $34 million of cash at Total Care Auto, Powered by Landcar) and availability under the used vehicle floorplan line and revolver of $798 million for a total of $1.1 billion in liquidity. The Company’s transaction adjusted net leverage ratio, which is calculated as set forth in our credit facility, was 2.46x at quarter 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Earnings Call</w:t>
      </w:r>
    </w:p>
    <w:p>
      <w:pPr>
        <w:spacing w:after="0" w:line="16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21"/>
          <w:szCs w:val="21"/>
          <w:color w:val="auto"/>
        </w:rPr>
        <w:t>Additional commentary regarding the second quarter results will be provided during the earnings conference call on Tuesday, July 29, 2025, at 10:00 a.m. ET.</w:t>
      </w:r>
    </w:p>
    <w:p>
      <w:pPr>
        <w:spacing w:after="0" w:line="19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1"/>
          <w:szCs w:val="21"/>
          <w:color w:val="auto"/>
        </w:rPr>
        <w:t>The conference call will be simulcast live on the internet. The webcast, together with supplemental materials, and can be accessed by logging onto https://investors.asburyauto.com. A replay and the accompanying materials will be available on this site for at least 30 days.</w:t>
      </w:r>
    </w:p>
    <w:p>
      <w:pPr>
        <w:spacing w:after="0" w:line="193"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21"/>
          <w:szCs w:val="21"/>
          <w:color w:val="auto"/>
        </w:rPr>
        <w:t>In addition, live audio will be accessible to the public. Participants may enter the conference call five to ten minutes prior to the scheduled start of the call by dialing: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Domestic:</w:t>
            </w:r>
          </w:p>
        </w:tc>
        <w:tc>
          <w:tcPr>
            <w:tcW w:w="20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(877) 407-2988</w:t>
            </w:r>
          </w:p>
        </w:tc>
      </w:tr>
      <w:tr>
        <w:trPr>
          <w:trHeight w:val="277"/>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International:</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 (201) 389-0923</w:t>
            </w:r>
          </w:p>
        </w:tc>
      </w:tr>
      <w:tr>
        <w:trPr>
          <w:trHeight w:val="277"/>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Passcode:</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13754714</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Asbury Automotive Group, Inc.</w:t>
      </w:r>
    </w:p>
    <w:p>
      <w:pPr>
        <w:spacing w:after="0" w:line="1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Duluth, GA,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June 30, 2025, Asbury operated 146 new vehicle dealerships, consisting of 189 franchises and representing 31 domestic and foreign brands of vehicles. Asbury also operates Total Care Auto, Powered by Landcar,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and the Company is listed in World’s Most Trustworthy Companies 2024 by Newsweek.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additional information, visit </w:t>
      </w:r>
      <w:r>
        <w:rPr>
          <w:rFonts w:ascii="Times New Roman" w:cs="Times New Roman" w:eastAsia="Times New Roman" w:hAnsi="Times New Roman"/>
          <w:sz w:val="21"/>
          <w:szCs w:val="21"/>
          <w:u w:val="single" w:color="auto"/>
          <w:color w:val="0000ED"/>
        </w:rPr>
        <w:t>www.asburyauto.com</w:t>
      </w:r>
      <w:r>
        <w:rPr>
          <w:rFonts w:ascii="Times New Roman" w:cs="Times New Roman" w:eastAsia="Times New Roman" w:hAnsi="Times New Roman"/>
          <w:sz w:val="21"/>
          <w:szCs w:val="21"/>
          <w:u w:val="single" w:color="auto"/>
          <w:color w:val="0000FF"/>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Statements</w:t>
      </w:r>
    </w:p>
    <w:p>
      <w:pPr>
        <w:spacing w:after="0" w:line="24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projections regarding Asbury's financial position, liquidity, results of operations, cash flows, leverage,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80"/>
          </w:cols>
          <w:pgMar w:left="320" w:top="1440" w:right="399" w:bottom="1440" w:gutter="0" w:footer="0" w:header="0"/>
          <w:type w:val="continuous"/>
        </w:sectPr>
      </w:pPr>
    </w:p>
    <w:bookmarkStart w:id="7" w:name="page8"/>
    <w:bookmarkEnd w:id="7"/>
    <w:p>
      <w:pPr>
        <w:spacing w:after="0" w:line="200" w:lineRule="exact"/>
        <w:rPr>
          <w:sz w:val="20"/>
          <w:szCs w:val="20"/>
          <w:color w:val="auto"/>
        </w:rPr>
      </w:pPr>
    </w:p>
    <w:p>
      <w:pPr>
        <w:spacing w:after="0" w:line="34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market position, the timing and amount of any stock repurchases, and dealership portfolio, revenue enhancement strategies, operational improvements, projections regarding the expected benefits of present and new technologies, the ability to implement those technologies, and the ability to transition to new technologies from existing systems; management’s plans, projections and objectives for future operations, scale and performance, integration plans and expected synergies from acquisitions, capital allocation strategy, and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 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spacing w:after="0" w:line="2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Non-GAAP Financial Disclosure and Reconciliation, Same Store Data and Other Data</w:t>
      </w:r>
    </w:p>
    <w:p>
      <w:pPr>
        <w:spacing w:after="0" w:line="24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0"/>
          <w:szCs w:val="20"/>
          <w:color w:val="auto"/>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 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p>
    <w:p>
      <w:pPr>
        <w:spacing w:after="0" w:line="348" w:lineRule="exact"/>
        <w:rPr>
          <w:sz w:val="20"/>
          <w:szCs w:val="20"/>
          <w:color w:val="auto"/>
        </w:rPr>
      </w:pPr>
    </w:p>
    <w:p>
      <w:pPr>
        <w:ind w:right="740"/>
        <w:spacing w:after="0" w:line="270" w:lineRule="auto"/>
        <w:rPr>
          <w:sz w:val="20"/>
          <w:szCs w:val="20"/>
          <w:color w:val="auto"/>
        </w:rPr>
      </w:pPr>
      <w:r>
        <w:rPr>
          <w:rFonts w:ascii="Times New Roman" w:cs="Times New Roman" w:eastAsia="Times New Roman" w:hAnsi="Times New Roman"/>
          <w:sz w:val="21"/>
          <w:szCs w:val="21"/>
          <w:color w:val="auto"/>
        </w:rPr>
        <w:t>assessment on a same store basis represents an important indicator of comparative financial performance and provides relevant information to assess our performance at our existing locations.</w:t>
      </w:r>
    </w:p>
    <w:p>
      <w:pPr>
        <w:spacing w:after="0" w:line="1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w:t>
      </w:r>
    </w:p>
    <w:p>
      <w:pPr>
        <w:spacing w:after="0" w:line="1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color w:val="auto"/>
        </w:rPr>
        <w:t>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acquisition(s). For divestitures, including divestitures due to requirements in connection with an acquisition, the adjusted EBITDA associated with the divestiture(s) is excluded from Transaction adjusted EBITDA. We believe the Transaction Adjusted Metrics provide relevant information to assess our performance at our existing dealership locations for the last twelve-month periods being presented.</w:t>
      </w:r>
    </w:p>
    <w:p>
      <w:pPr>
        <w:spacing w:after="0" w:line="19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1"/>
          <w:szCs w:val="21"/>
          <w:color w:val="auto"/>
        </w:rPr>
        <w:t>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w:t>
      </w:r>
    </w:p>
    <w:p>
      <w:pPr>
        <w:spacing w:after="0" w:line="193"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15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21"/>
          <w:szCs w:val="21"/>
          <w:color w:val="auto"/>
        </w:rPr>
        <w:t>Amounts presented herein have been calculated using non-rounded amounts for all periods presented and therefore certain amounts may not compute.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INCOME (In millions, except per share data)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8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12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8"/>
                <w:szCs w:val="18"/>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2,303.9</w:t>
            </w:r>
          </w:p>
        </w:tc>
        <w:tc>
          <w:tcPr>
            <w:tcW w:w="2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4,229.1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3"/>
        </w:trPr>
        <w:tc>
          <w:tcPr>
            <w:tcW w:w="4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 OF SALES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476.5</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impairments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80" w:type="dxa"/>
            <w:vAlign w:val="bottom"/>
          </w:tcPr>
          <w:p>
            <w:pPr>
              <w:spacing w:after="0"/>
              <w:rPr>
                <w:sz w:val="18"/>
                <w:szCs w:val="18"/>
                <w:color w:val="auto"/>
              </w:rPr>
            </w:pP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other expenses, net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18"/>
                <w:szCs w:val="18"/>
                <w:color w:val="auto"/>
              </w:rPr>
            </w:pP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Pr>
          <w:p>
            <w:pPr>
              <w:spacing w:after="0"/>
              <w:rPr>
                <w:sz w:val="18"/>
                <w:szCs w:val="18"/>
                <w:color w:val="auto"/>
              </w:rPr>
            </w:pP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EARNINGS PER SHARE:</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Restricted stock</w:t>
            </w:r>
          </w:p>
        </w:tc>
        <w:tc>
          <w:tcPr>
            <w:tcW w:w="1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Performance share units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Disclosures-Consolidated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60" w:type="dxa"/>
            <w:vAlign w:val="bottom"/>
          </w:tcPr>
          <w:p>
            <w:pPr>
              <w:spacing w:after="0"/>
              <w:rPr>
                <w:sz w:val="17"/>
                <w:szCs w:val="17"/>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0" w:type="dxa"/>
            <w:vAlign w:val="bottom"/>
          </w:tcPr>
          <w:p>
            <w:pPr>
              <w:spacing w:after="0"/>
              <w:rPr>
                <w:sz w:val="17"/>
                <w:szCs w:val="17"/>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200" w:type="dxa"/>
            <w:vAlign w:val="bottom"/>
          </w:tcPr>
          <w:p>
            <w:pPr>
              <w:spacing w:after="0"/>
              <w:rPr>
                <w:sz w:val="17"/>
                <w:szCs w:val="17"/>
                <w:color w:val="auto"/>
              </w:rPr>
            </w:pPr>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 Cha</w:t>
            </w:r>
          </w:p>
        </w:tc>
        <w:tc>
          <w:tcPr>
            <w:tcW w:w="0" w:type="dxa"/>
            <w:vAlign w:val="bottom"/>
          </w:tcPr>
          <w:p>
            <w:pPr>
              <w:spacing w:after="0"/>
              <w:rPr>
                <w:sz w:val="1"/>
                <w:szCs w:val="1"/>
                <w:color w:val="auto"/>
              </w:rPr>
            </w:pPr>
          </w:p>
        </w:tc>
      </w:tr>
      <w:tr>
        <w:trPr>
          <w:trHeight w:val="227"/>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SELECTED BALANCE SHEET DATA</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Inventory, net (a)</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Floor plan notes payable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Long-term debt (including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6,822.0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6,640.7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Excluding $49.4 million and $58.7 million of inventory classified as assets held for sale as of June 30, 2025 and December 31, 2024, respectively.</w:t>
      </w:r>
    </w:p>
    <w:p>
      <w:pPr>
        <w:spacing w:after="0" w:line="200" w:lineRule="exact"/>
        <w:rPr>
          <w:sz w:val="20"/>
          <w:szCs w:val="20"/>
          <w:color w:val="auto"/>
        </w:rPr>
      </w:pPr>
    </w:p>
    <w:p>
      <w:pPr>
        <w:spacing w:after="0" w:line="398" w:lineRule="exact"/>
        <w:rPr>
          <w:sz w:val="20"/>
          <w:szCs w:val="20"/>
          <w:color w:val="auto"/>
        </w:rPr>
      </w:pPr>
    </w:p>
    <w:tbl>
      <w:tblPr>
        <w:tblLayout w:type="fixed"/>
        <w:tblInd w:w="5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161"/>
        </w:trPr>
        <w:tc>
          <w:tcPr>
            <w:tcW w:w="5760" w:type="dxa"/>
            <w:vAlign w:val="bottom"/>
            <w:tcBorders>
              <w:top w:val="single" w:sz="8" w:color="CCEEFF"/>
              <w:left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Days Supply</w:t>
            </w:r>
          </w:p>
        </w:tc>
        <w:tc>
          <w:tcPr>
            <w:tcW w:w="1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39"/>
        </w:trPr>
        <w:tc>
          <w:tcPr>
            <w:tcW w:w="940" w:type="dxa"/>
            <w:vAlign w:val="bottom"/>
            <w:tcBorders>
              <w:left w:val="single" w:sz="8" w:color="CCEEFF"/>
            </w:tcBorders>
            <w:shd w:val="clear" w:color="auto" w:fill="000000"/>
          </w:tcPr>
          <w:p>
            <w:pPr>
              <w:spacing w:after="0"/>
              <w:rPr>
                <w:sz w:val="3"/>
                <w:szCs w:val="3"/>
                <w:color w:val="auto"/>
              </w:rPr>
            </w:pPr>
          </w:p>
        </w:tc>
        <w:tc>
          <w:tcPr>
            <w:tcW w:w="48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r>
        <w:trPr>
          <w:trHeight w:val="220"/>
        </w:trPr>
        <w:tc>
          <w:tcPr>
            <w:tcW w:w="5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New vehicle inventory</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5760" w:type="dxa"/>
            <w:vAlign w:val="bottom"/>
            <w:tcBorders>
              <w:lef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Used vehicle inventory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supply of inventory is calculated based on new and used inventory, in units, at the end of each reporting period and a 30-day historical unit sales.</w:t>
      </w: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340"/>
          </w:cols>
          <w:pgMar w:left="320" w:top="1440" w:right="2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20" w:type="dxa"/>
            <w:vAlign w:val="bottom"/>
            <w:gridSpan w:val="6"/>
          </w:tcPr>
          <w:p>
            <w:pPr>
              <w:spacing w:after="0"/>
              <w:rPr>
                <w:sz w:val="20"/>
                <w:szCs w:val="20"/>
                <w:color w:val="auto"/>
              </w:rPr>
            </w:pPr>
            <w:r>
              <w:rPr>
                <w:rFonts w:ascii="Times New Roman" w:cs="Times New Roman" w:eastAsia="Times New Roman" w:hAnsi="Times New Roman"/>
                <w:sz w:val="17"/>
                <w:szCs w:val="17"/>
                <w:i w:val="1"/>
                <w:iCs w:val="1"/>
                <w:color w:val="auto"/>
              </w:rPr>
              <w:t>Brand Mix - New Vehicle Revenue by Brand</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3"/>
                <w:szCs w:val="13"/>
                <w:color w:val="auto"/>
              </w:rPr>
            </w:pPr>
          </w:p>
        </w:tc>
        <w:tc>
          <w:tcPr>
            <w:tcW w:w="864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Luxury</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 w:type="dxa"/>
            <w:vAlign w:val="bottom"/>
            <w:tcBorders>
              <w:right w:val="single" w:sz="8" w:color="CCEEFF"/>
            </w:tcBorders>
          </w:tcPr>
          <w:p>
            <w:pPr>
              <w:spacing w:after="0"/>
              <w:rPr>
                <w:sz w:val="3"/>
                <w:szCs w:val="3"/>
                <w:color w:val="auto"/>
              </w:rPr>
            </w:pPr>
          </w:p>
        </w:tc>
        <w:tc>
          <w:tcPr>
            <w:tcW w:w="58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Lexus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Mercedes-Benz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BMW</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Land Rover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Porsche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luxury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Total luxury</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864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Imports</w:t>
            </w: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0" w:type="dxa"/>
            <w:vAlign w:val="bottom"/>
            <w:tcBorders>
              <w:right w:val="single" w:sz="8" w:color="CCEEFF"/>
            </w:tcBorders>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Toyota</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Honda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Hyundai</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Kia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7"/>
                <w:szCs w:val="17"/>
                <w:color w:val="auto"/>
              </w:rPr>
              <w:t>Other imports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3"/>
        </w:trPr>
        <w:tc>
          <w:tcPr>
            <w:tcW w:w="80" w:type="dxa"/>
            <w:vAlign w:val="bottom"/>
            <w:tcBorders>
              <w:right w:val="single" w:sz="8" w:color="CCEEFF"/>
            </w:tcBorders>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8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imports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864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Domestic</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68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Ford</w:t>
            </w:r>
          </w:p>
        </w:tc>
        <w:tc>
          <w:tcPr>
            <w:tcW w:w="7960" w:type="dxa"/>
            <w:vAlign w:val="bottom"/>
            <w:gridSpan w:val="3"/>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Chrysler, Dodge, Jeep, Ram</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Chevrolet, Buick, GMC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7"/>
                <w:szCs w:val="17"/>
                <w:color w:val="auto"/>
              </w:rPr>
              <w:t>Total domestic</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38"/>
        </w:trPr>
        <w:tc>
          <w:tcPr>
            <w:tcW w:w="80" w:type="dxa"/>
            <w:vAlign w:val="bottom"/>
            <w:tcBorders>
              <w:right w:val="single" w:sz="8" w:color="CCEEFF"/>
            </w:tcBorders>
          </w:tcPr>
          <w:p>
            <w:pPr>
              <w:spacing w:after="0"/>
              <w:rPr>
                <w:sz w:val="20"/>
                <w:szCs w:val="20"/>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New Vehicle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3"/>
                <w:szCs w:val="13"/>
                <w:color w:val="auto"/>
              </w:rPr>
            </w:pPr>
          </w:p>
        </w:tc>
        <w:tc>
          <w:tcPr>
            <w:tcW w:w="864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Revenue mix</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 w:type="dxa"/>
            <w:vAlign w:val="bottom"/>
            <w:tcBorders>
              <w:right w:val="single" w:sz="8" w:color="CCEEFF"/>
            </w:tcBorders>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Used vehicle wholesale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38"/>
        </w:trPr>
        <w:tc>
          <w:tcPr>
            <w:tcW w:w="80" w:type="dxa"/>
            <w:vAlign w:val="bottom"/>
            <w:tcBorders>
              <w:right w:val="single" w:sz="8" w:color="CCEEFF"/>
            </w:tcBorders>
          </w:tcPr>
          <w:p>
            <w:pPr>
              <w:spacing w:after="0"/>
              <w:rPr>
                <w:sz w:val="20"/>
                <w:szCs w:val="20"/>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40" w:type="dxa"/>
            <w:vAlign w:val="bottom"/>
            <w:tcBorders>
              <w:top w:val="single" w:sz="8" w:color="CCEEFF"/>
              <w:bottom w:val="single" w:sz="8" w:color="CCEEFF"/>
            </w:tcBorders>
            <w:gridSpan w:val="5"/>
            <w:vMerge w:val="restart"/>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Gross profit mix</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 w:type="dxa"/>
            <w:vAlign w:val="bottom"/>
          </w:tcPr>
          <w:p>
            <w:pPr>
              <w:spacing w:after="0"/>
              <w:rPr>
                <w:sz w:val="11"/>
                <w:szCs w:val="11"/>
                <w:color w:val="auto"/>
              </w:rPr>
            </w:pPr>
          </w:p>
        </w:tc>
        <w:tc>
          <w:tcPr>
            <w:tcW w:w="864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wholesale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20" w:top="1440" w:right="379" w:bottom="1440" w:gutter="0" w:footer="0" w:header="0"/>
          <w:type w:val="continuous"/>
        </w:sectPr>
      </w:pPr>
    </w:p>
    <w:bookmarkStart w:id="12" w:name="page13"/>
    <w:bookmarkEnd w:id="12"/>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HIGHLIGHTS-CONSOLIDATED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r>
        <w:rPr>
          <w:rFonts w:ascii="Times New Roman" w:cs="Times New Roman" w:eastAsia="Times New Roman" w:hAnsi="Times New Roman"/>
          <w:sz w:val="15"/>
          <w:szCs w:val="15"/>
          <w:color w:val="auto"/>
        </w:rPr>
        <w:t>)</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180" w:type="dxa"/>
            <w:vAlign w:val="bottom"/>
            <w:gridSpan w:val="2"/>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For the Six Months Ended June 30,</w:t>
            </w:r>
          </w:p>
        </w:tc>
        <w:tc>
          <w:tcPr>
            <w:tcW w:w="1120" w:type="dxa"/>
            <w:vAlign w:val="bottom"/>
            <w:gridSpan w:val="2"/>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49"/>
        </w:trPr>
        <w:tc>
          <w:tcPr>
            <w:tcW w:w="3940" w:type="dxa"/>
            <w:vAlign w:val="bottom"/>
            <w:tcBorders>
              <w:top w:val="single" w:sz="8" w:color="CCEEFF"/>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2,303.9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2,164.9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4,442.0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4,229.1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7"/>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1,167.2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2,358.5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13"/>
        </w:trPr>
        <w:tc>
          <w:tcPr>
            <w:tcW w:w="580" w:type="dxa"/>
            <w:vAlign w:val="bottom"/>
          </w:tcPr>
          <w:p>
            <w:pPr>
              <w:spacing w:after="0"/>
              <w:rPr>
                <w:sz w:val="18"/>
                <w:szCs w:val="18"/>
                <w:color w:val="auto"/>
              </w:rPr>
            </w:pPr>
          </w:p>
        </w:tc>
        <w:tc>
          <w:tcPr>
            <w:tcW w:w="33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1,285.8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1,308.0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2,664.9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3940" w:type="dxa"/>
            <w:vAlign w:val="bottom"/>
            <w:tcBorders>
              <w:bottom w:val="single" w:sz="8" w:color="CCEEFF"/>
            </w:tcBorders>
            <w:gridSpan w:val="8"/>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192.4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382.1</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4,373.1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4,246.2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8,521.6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8,447.4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77"/>
        </w:trPr>
        <w:tc>
          <w:tcPr>
            <w:tcW w:w="3940" w:type="dxa"/>
            <w:vAlign w:val="bottom"/>
            <w:gridSpan w:val="8"/>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820" w:type="dxa"/>
            <w:vAlign w:val="bottom"/>
            <w:tcBorders>
              <w:top w:val="single" w:sz="8" w:color="auto"/>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New vehicle</w:t>
            </w:r>
          </w:p>
        </w:tc>
        <w:tc>
          <w:tcPr>
            <w:tcW w:w="3120" w:type="dxa"/>
            <w:vAlign w:val="bottom"/>
            <w:gridSpan w:val="5"/>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940" w:type="dxa"/>
            <w:vAlign w:val="bottom"/>
            <w:tcBorders>
              <w:bottom w:val="single" w:sz="8" w:color="CCEEFF"/>
            </w:tcBorders>
            <w:gridSpan w:val="8"/>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13"/>
        </w:trPr>
        <w:tc>
          <w:tcPr>
            <w:tcW w:w="580" w:type="dxa"/>
            <w:vAlign w:val="bottom"/>
            <w:tcBorders>
              <w:left w:val="single" w:sz="8" w:color="CCEEFF"/>
            </w:tcBorders>
            <w:shd w:val="clear" w:color="auto" w:fill="CCEEFF"/>
          </w:tcPr>
          <w:p>
            <w:pPr>
              <w:spacing w:after="0"/>
              <w:rPr>
                <w:sz w:val="18"/>
                <w:szCs w:val="18"/>
                <w:color w:val="auto"/>
              </w:rPr>
            </w:pPr>
          </w:p>
        </w:tc>
        <w:tc>
          <w:tcPr>
            <w:tcW w:w="336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174.7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355.8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751.9</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1,476.1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1,480.7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168"/>
        </w:trPr>
        <w:tc>
          <w:tcPr>
            <w:tcW w:w="3940" w:type="dxa"/>
            <w:vAlign w:val="bottom"/>
            <w:tcBorders>
              <w:left w:val="single" w:sz="8" w:color="CCEEFF"/>
            </w:tcBorders>
            <w:gridSpan w:val="8"/>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Unit sales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04"/>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17,297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22,663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44,150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12,235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23,340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13"/>
        </w:trPr>
        <w:tc>
          <w:tcPr>
            <w:tcW w:w="394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44,437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42,679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85,933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83,356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38,534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71,648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78,023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to new ratio</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7"/>
        </w:trPr>
        <w:tc>
          <w:tcPr>
            <w:tcW w:w="1400" w:type="dxa"/>
            <w:vAlign w:val="bottom"/>
            <w:tcBorders>
              <w:left w:val="single" w:sz="8" w:color="CCEEFF"/>
              <w:bottom w:val="single" w:sz="8" w:color="auto"/>
            </w:tcBorders>
            <w:gridSpan w:val="6"/>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w w:val="95"/>
              </w:rPr>
              <w:t>Average selling price</w:t>
            </w:r>
          </w:p>
        </w:tc>
        <w:tc>
          <w:tcPr>
            <w:tcW w:w="254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51,846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50,725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51,691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50,736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30,289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30,822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30,229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177"/>
        </w:trPr>
        <w:tc>
          <w:tcPr>
            <w:tcW w:w="3940" w:type="dxa"/>
            <w:vAlign w:val="bottom"/>
            <w:gridSpan w:val="8"/>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Average gross profit per unit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920" w:type="dxa"/>
            <w:vAlign w:val="bottom"/>
            <w:tcBorders>
              <w:top w:val="single" w:sz="8" w:color="auto"/>
              <w:lef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7,214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7,045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7,021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2,705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2,205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Front end yield (1)</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4,927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68"/>
        </w:trPr>
        <w:tc>
          <w:tcPr>
            <w:tcW w:w="3940" w:type="dxa"/>
            <w:vAlign w:val="bottom"/>
            <w:tcBorders>
              <w:left w:val="single" w:sz="8" w:color="CCEEFF"/>
            </w:tcBorders>
            <w:gridSpan w:val="8"/>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 bps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69 bps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58.5 %</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 bps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profit margin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 bps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bps</w:t>
            </w:r>
          </w:p>
        </w:tc>
      </w:tr>
      <w:tr>
        <w:trPr>
          <w:trHeight w:val="177"/>
        </w:trPr>
        <w:tc>
          <w:tcPr>
            <w:tcW w:w="1320" w:type="dxa"/>
            <w:vAlign w:val="bottom"/>
            <w:tcBorders>
              <w:bottom w:val="single" w:sz="8" w:color="auto"/>
            </w:tcBorders>
            <w:gridSpan w:val="5"/>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w w:val="95"/>
              </w:rPr>
              <w:t>Operating expenses</w:t>
            </w:r>
          </w:p>
        </w:tc>
        <w:tc>
          <w:tcPr>
            <w:tcW w:w="262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476.5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NM</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945.1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478.2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941.8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942.1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(198) bps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SG&amp;A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64.8 %</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(119) bps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352 bps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2,048 bps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 bps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bps</w:t>
            </w:r>
          </w:p>
        </w:tc>
      </w:tr>
      <w:tr>
        <w:trPr>
          <w:trHeight w:val="223"/>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32.7 %</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116 bps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603"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603" w:gutter="0" w:footer="0" w:header="0"/>
          <w:type w:val="continuous"/>
        </w:sectPr>
      </w:pPr>
    </w:p>
    <w:bookmarkStart w:id="13" w:name="page14"/>
    <w:bookmarkEnd w:id="13"/>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STORE OPERATING HIGHLIGHTS-CONSOLIDATED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Six Months Ended June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14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30,</w:t>
            </w:r>
          </w:p>
        </w:tc>
        <w:tc>
          <w:tcPr>
            <w:tcW w:w="920" w:type="dxa"/>
            <w:vAlign w:val="bottom"/>
            <w:tcBorders>
              <w:bottom w:val="single" w:sz="8" w:color="auto"/>
            </w:tcBorders>
          </w:tcPr>
          <w:p>
            <w:pPr>
              <w:spacing w:after="0"/>
              <w:rPr>
                <w:sz w:val="20"/>
                <w:szCs w:val="20"/>
                <w:color w:val="auto"/>
              </w:rPr>
            </w:pPr>
          </w:p>
        </w:tc>
        <w:tc>
          <w:tcPr>
            <w:tcW w:w="116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6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99"/>
              </w:rPr>
              <w:t>Revenue</w:t>
            </w:r>
          </w:p>
        </w:tc>
        <w:tc>
          <w:tcPr>
            <w:tcW w:w="312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2,268.0</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2,087.6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4,364.6</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4,068.4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2,271.4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1,268.4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1,266.2</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2,481.9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2,570.4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187.6</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364.6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371.0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20" w:type="dxa"/>
            <w:vAlign w:val="bottom"/>
            <w:shd w:val="clear" w:color="auto" w:fill="CCEEFF"/>
          </w:tcPr>
          <w:p>
            <w:pPr>
              <w:spacing w:after="0"/>
              <w:rPr>
                <w:sz w:val="18"/>
                <w:szCs w:val="18"/>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4,307.3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4,100.7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8,376.7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8,136.2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70"/>
        </w:trPr>
        <w:tc>
          <w:tcPr>
            <w:tcW w:w="20" w:type="dxa"/>
            <w:vAlign w:val="bottom"/>
          </w:tcPr>
          <w:p>
            <w:pPr>
              <w:spacing w:after="0"/>
              <w:rPr>
                <w:sz w:val="14"/>
                <w:szCs w:val="14"/>
                <w:color w:val="auto"/>
              </w:rPr>
            </w:pPr>
          </w:p>
        </w:tc>
        <w:tc>
          <w:tcPr>
            <w:tcW w:w="3760" w:type="dxa"/>
            <w:vAlign w:val="bottom"/>
            <w:gridSpan w:val="8"/>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2880" w:type="dxa"/>
            <w:vAlign w:val="bottom"/>
            <w:gridSpan w:val="5"/>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151.6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119.4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13"/>
        </w:trPr>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685.8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344.8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741.5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709.8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1,454.1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1,433.9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99"/>
              </w:rPr>
              <w:t>Unit sales</w:t>
            </w:r>
          </w:p>
        </w:tc>
        <w:tc>
          <w:tcPr>
            <w:tcW w:w="3040" w:type="dxa"/>
            <w:vAlign w:val="bottom"/>
            <w:tcBorders>
              <w:bottom w:val="single" w:sz="8" w:color="CCEEFF"/>
            </w:tcBorders>
            <w:gridSpan w:val="6"/>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Luxury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18,012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17,134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Import</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21,174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43,305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41,261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Domestic</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22,901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21,241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2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40,840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84,218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79,636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37,027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74,591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to new ratio</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0"/>
        </w:trPr>
        <w:tc>
          <w:tcPr>
            <w:tcW w:w="20" w:type="dxa"/>
            <w:vAlign w:val="bottom"/>
            <w:shd w:val="clear" w:color="auto" w:fill="CCEEFF"/>
          </w:tcPr>
          <w:p>
            <w:pPr>
              <w:spacing w:after="0"/>
              <w:rPr>
                <w:sz w:val="17"/>
                <w:szCs w:val="17"/>
                <w:color w:val="auto"/>
              </w:rPr>
            </w:pPr>
          </w:p>
        </w:tc>
        <w:tc>
          <w:tcPr>
            <w:tcW w:w="376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Average selling price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15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New vehicle</w:t>
            </w:r>
          </w:p>
        </w:tc>
        <w:tc>
          <w:tcPr>
            <w:tcW w:w="224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51,967</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51,116</w:t>
            </w: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51,826</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51,087</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30,487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30,452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90"/>
        </w:trPr>
        <w:tc>
          <w:tcPr>
            <w:tcW w:w="20" w:type="dxa"/>
            <w:vAlign w:val="bottom"/>
          </w:tcPr>
          <w:p>
            <w:pPr>
              <w:spacing w:after="0"/>
              <w:rPr>
                <w:sz w:val="16"/>
                <w:szCs w:val="16"/>
                <w:color w:val="auto"/>
              </w:rPr>
            </w:pPr>
          </w:p>
        </w:tc>
        <w:tc>
          <w:tcPr>
            <w:tcW w:w="2120" w:type="dxa"/>
            <w:vAlign w:val="bottom"/>
            <w:tcBorders>
              <w:bottom w:val="single" w:sz="8" w:color="auto"/>
            </w:tcBorders>
            <w:gridSpan w:val="7"/>
          </w:tcPr>
          <w:p>
            <w:pPr>
              <w:spacing w:after="0" w:line="181" w:lineRule="exact"/>
              <w:rPr>
                <w:sz w:val="20"/>
                <w:szCs w:val="20"/>
                <w:color w:val="auto"/>
              </w:rPr>
            </w:pPr>
            <w:r>
              <w:rPr>
                <w:rFonts w:ascii="Times New Roman" w:cs="Times New Roman" w:eastAsia="Times New Roman" w:hAnsi="Times New Roman"/>
                <w:sz w:val="17"/>
                <w:szCs w:val="17"/>
                <w:b w:val="1"/>
                <w:bCs w:val="1"/>
                <w:color w:val="auto"/>
                <w:w w:val="99"/>
              </w:rPr>
              <w:t>Average gross profit per unit</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Luxury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7,221</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7,053</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7,026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Import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2,645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Domestic</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2,182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Front end yield (1)</w:t>
            </w:r>
          </w:p>
        </w:tc>
        <w:tc>
          <w:tcPr>
            <w:tcW w:w="12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4,844</w:t>
            </w: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Gross margin</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 bps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bps</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60 bps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bps</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58.6 %</w:t>
            </w: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53 bps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bps</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profit margin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17.3 %</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 bps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bps</w:t>
            </w:r>
          </w:p>
        </w:tc>
      </w:tr>
      <w:tr>
        <w:trPr>
          <w:trHeight w:val="181"/>
        </w:trPr>
        <w:tc>
          <w:tcPr>
            <w:tcW w:w="20" w:type="dxa"/>
            <w:vAlign w:val="bottom"/>
          </w:tcPr>
          <w:p>
            <w:pPr>
              <w:spacing w:after="0"/>
              <w:rPr>
                <w:sz w:val="15"/>
                <w:szCs w:val="15"/>
                <w:color w:val="auto"/>
              </w:rPr>
            </w:pPr>
          </w:p>
        </w:tc>
        <w:tc>
          <w:tcPr>
            <w:tcW w:w="376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Operating expenses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907.8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Adjusted selling, 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469.0</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922.4</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904.8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SG&amp;A as a % of gross profit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64.7 %</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(183) bps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bps</w:t>
            </w:r>
          </w:p>
        </w:tc>
      </w:tr>
      <w:tr>
        <w:trPr>
          <w:trHeight w:val="223"/>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Adjusted SG&amp;A as a % of gross profit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64.3 %</w:t>
            </w: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(103) bps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bps</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9" w:lineRule="exact"/>
        <w:rPr>
          <w:sz w:val="20"/>
          <w:szCs w:val="20"/>
          <w:color w:val="auto"/>
        </w:rPr>
      </w:pPr>
    </w:p>
    <w:p>
      <w:pPr>
        <w:ind w:left="380" w:hanging="377"/>
        <w:spacing w:after="0"/>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941"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941" w:gutter="0" w:footer="0" w:header="0"/>
          <w:type w:val="continuous"/>
        </w:sectPr>
      </w:pPr>
    </w:p>
    <w:bookmarkStart w:id="14" w:name="page15"/>
    <w:bookmarkEnd w:id="14"/>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REPORTING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680" w:type="dxa"/>
            <w:vAlign w:val="bottom"/>
          </w:tcPr>
          <w:p>
            <w:pPr>
              <w:spacing w:after="0"/>
              <w:rPr>
                <w:sz w:val="17"/>
                <w:szCs w:val="17"/>
                <w:color w:val="auto"/>
              </w:rPr>
            </w:pPr>
          </w:p>
        </w:tc>
      </w:tr>
      <w:tr>
        <w:trPr>
          <w:trHeight w:val="210"/>
        </w:trPr>
        <w:tc>
          <w:tcPr>
            <w:tcW w:w="4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01"/>
        </w:trPr>
        <w:tc>
          <w:tcPr>
            <w:tcW w:w="4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14"/>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4,246.2</w:t>
            </w: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13"/>
        </w:trPr>
        <w:tc>
          <w:tcPr>
            <w:tcW w:w="4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4,300.7</w:t>
            </w:r>
          </w:p>
        </w:tc>
      </w:tr>
      <w:tr>
        <w:trPr>
          <w:trHeight w:val="20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revenue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4,373.1</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4,246.2</w:t>
            </w:r>
          </w:p>
        </w:tc>
      </w:tr>
      <w:tr>
        <w:trPr>
          <w:trHeight w:val="225"/>
        </w:trPr>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Personnel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 and related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selling, general and administrative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segment items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211.7</w:t>
            </w:r>
          </w:p>
        </w:tc>
      </w:tr>
      <w:tr>
        <w:trPr>
          <w:trHeight w:val="225"/>
        </w:trPr>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segment operating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intersegment revenue eliminations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2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intersegment cost of sales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168"/>
        </w:trPr>
        <w:tc>
          <w:tcPr>
            <w:tcW w:w="43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Deferral of SG&amp;A expense (related to capitalized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3"/>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intersegment eliminations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r>
      <w:tr>
        <w:trPr>
          <w:trHeight w:val="220"/>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8"/>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7"/>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7"/>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r>
      <w:tr>
        <w:trPr>
          <w:trHeight w:val="227"/>
        </w:trPr>
        <w:tc>
          <w:tcPr>
            <w:tcW w:w="4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Dealerships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TCA</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Dealerships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TCA</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auto"/>
              </w:rPr>
              <w:t>(In millions)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8,358.0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8,297.9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8,447.4</w:t>
            </w: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34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13"/>
        </w:trPr>
        <w:tc>
          <w:tcPr>
            <w:tcW w:w="4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8,407.3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8,556.8</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revenue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revenue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8,447.4</w:t>
            </w:r>
          </w:p>
        </w:tc>
      </w:tr>
      <w:tr>
        <w:trPr>
          <w:trHeight w:val="225"/>
        </w:trPr>
        <w:tc>
          <w:tcPr>
            <w:tcW w:w="4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4,138.9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Personnel costs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 and related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selling, general and administrative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segment items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413.8</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451.4</w:t>
            </w:r>
          </w:p>
        </w:tc>
      </w:tr>
      <w:tr>
        <w:trPr>
          <w:trHeight w:val="225"/>
        </w:trPr>
        <w:tc>
          <w:tcPr>
            <w:tcW w:w="4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segment operating income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Intersegment eliminations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intersegment revenue eliminations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20"/>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intersegment cost of sales eliminations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168"/>
        </w:trPr>
        <w:tc>
          <w:tcPr>
            <w:tcW w:w="404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Deferral of SG&amp;A expense (related to capitalized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3"/>
        </w:trPr>
        <w:tc>
          <w:tcPr>
            <w:tcW w:w="4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3"/>
        </w:trPr>
        <w:tc>
          <w:tcPr>
            <w:tcW w:w="4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intersegment eliminations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22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20"/>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8"/>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reconciliations for our non-GAAP metrics: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5"/>
                <w:szCs w:val="15"/>
                <w:color w:val="auto"/>
              </w:rPr>
            </w:pPr>
          </w:p>
        </w:tc>
        <w:tc>
          <w:tcPr>
            <w:tcW w:w="240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23"/>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Adjusted leverage ratio:</w:t>
            </w:r>
          </w:p>
        </w:tc>
        <w:tc>
          <w:tcPr>
            <w:tcW w:w="4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3,128.5</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and floor plan offset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TCA cash</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Availability under our used vehicle floor plan facility</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r>
      <w:tr>
        <w:trPr>
          <w:trHeight w:val="213"/>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Adjusted long-term net debt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68"/>
        </w:trPr>
        <w:tc>
          <w:tcPr>
            <w:tcW w:w="20" w:type="dxa"/>
            <w:vAlign w:val="bottom"/>
          </w:tcPr>
          <w:p>
            <w:pPr>
              <w:spacing w:after="0"/>
              <w:rPr>
                <w:sz w:val="14"/>
                <w:szCs w:val="14"/>
                <w:color w:val="auto"/>
              </w:rPr>
            </w:pPr>
          </w:p>
        </w:tc>
        <w:tc>
          <w:tcPr>
            <w:tcW w:w="5920" w:type="dxa"/>
            <w:vAlign w:val="bottom"/>
            <w:gridSpan w:val="2"/>
          </w:tcPr>
          <w:p>
            <w:pPr>
              <w:spacing w:after="0" w:line="168" w:lineRule="exact"/>
              <w:rPr>
                <w:sz w:val="20"/>
                <w:szCs w:val="20"/>
                <w:color w:val="auto"/>
              </w:rPr>
            </w:pPr>
            <w:r>
              <w:rPr>
                <w:rFonts w:ascii="Times New Roman" w:cs="Times New Roman" w:eastAsia="Times New Roman" w:hAnsi="Times New Roman"/>
                <w:sz w:val="17"/>
                <w:szCs w:val="17"/>
                <w:color w:val="auto"/>
              </w:rPr>
              <w:t>Calculation of earnings before interest, taxes, depreciation and amortization</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w:t>
            </w:r>
          </w:p>
        </w:tc>
      </w:tr>
      <w:tr>
        <w:trPr>
          <w:trHeight w:val="258"/>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Swap and other 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r>
      <w:tr>
        <w:trPr>
          <w:trHeight w:val="213"/>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Earnings before interest, taxes, depreciation and amortization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Non-core items - expense (income):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Proceeds from franchise termination</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Asset impairments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Hail damage</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Hurricane Milton losses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 recovery</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Professional fees associated with acquisition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3"/>
        </w:trPr>
        <w:tc>
          <w:tcPr>
            <w:tcW w:w="20" w:type="dxa"/>
            <w:vAlign w:val="bottom"/>
          </w:tcPr>
          <w:p>
            <w:pPr>
              <w:spacing w:after="0"/>
              <w:rPr>
                <w:sz w:val="18"/>
                <w:szCs w:val="18"/>
                <w:color w:val="auto"/>
              </w:rPr>
            </w:pPr>
          </w:p>
        </w:tc>
        <w:tc>
          <w:tcPr>
            <w:tcW w:w="59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Total non-core items</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155.4</w:t>
            </w:r>
          </w:p>
        </w:tc>
      </w:tr>
      <w:tr>
        <w:trPr>
          <w:trHeight w:val="258"/>
        </w:trPr>
        <w:tc>
          <w:tcPr>
            <w:tcW w:w="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42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963.4</w:t>
            </w:r>
          </w:p>
        </w:tc>
      </w:tr>
      <w:tr>
        <w:trPr>
          <w:trHeight w:val="238"/>
        </w:trPr>
        <w:tc>
          <w:tcPr>
            <w:tcW w:w="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Impact of dealership acquisitions and divestitures</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Transaction adjusted EBITDA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962.4</w:t>
            </w:r>
          </w:p>
        </w:tc>
      </w:tr>
      <w:tr>
        <w:trPr>
          <w:trHeight w:val="238"/>
        </w:trPr>
        <w:tc>
          <w:tcPr>
            <w:tcW w:w="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Transaction adjusted net leverage ratio</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 2025</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Gain on dealership</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40" w:type="dxa"/>
            <w:vAlign w:val="bottom"/>
            <w:gridSpan w:val="3"/>
          </w:tcPr>
          <w:p>
            <w:pPr>
              <w:ind w:left="300"/>
              <w:spacing w:after="0" w:line="151" w:lineRule="exact"/>
              <w:rPr>
                <w:sz w:val="20"/>
                <w:szCs w:val="20"/>
                <w:color w:val="auto"/>
              </w:rPr>
            </w:pPr>
            <w:r>
              <w:rPr>
                <w:rFonts w:ascii="Times New Roman" w:cs="Times New Roman" w:eastAsia="Times New Roman" w:hAnsi="Times New Roman"/>
                <w:sz w:val="16"/>
                <w:szCs w:val="16"/>
                <w:b w:val="1"/>
                <w:bCs w:val="1"/>
                <w:color w:val="auto"/>
              </w:rPr>
              <w:t>Professional fees</w:t>
            </w:r>
          </w:p>
        </w:tc>
        <w:tc>
          <w:tcPr>
            <w:tcW w:w="160" w:type="dxa"/>
            <w:vAlign w:val="bottom"/>
          </w:tcPr>
          <w:p>
            <w:pPr>
              <w:spacing w:after="0"/>
              <w:rPr>
                <w:sz w:val="13"/>
                <w:szCs w:val="13"/>
                <w:color w:val="auto"/>
              </w:rPr>
            </w:pPr>
          </w:p>
        </w:tc>
        <w:tc>
          <w:tcPr>
            <w:tcW w:w="88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Income tax</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202"/>
              <w:spacing w:after="0" w:line="155" w:lineRule="exact"/>
              <w:rPr>
                <w:sz w:val="20"/>
                <w:szCs w:val="20"/>
                <w:color w:val="auto"/>
              </w:rPr>
            </w:pPr>
            <w:r>
              <w:rPr>
                <w:rFonts w:ascii="Times New Roman" w:cs="Times New Roman" w:eastAsia="Times New Roman" w:hAnsi="Times New Roman"/>
                <w:sz w:val="16"/>
                <w:szCs w:val="16"/>
                <w:b w:val="1"/>
                <w:bCs w:val="1"/>
                <w:color w:val="auto"/>
                <w:w w:val="96"/>
              </w:rPr>
              <w:t>associated with</w:t>
            </w: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7"/>
              </w:rPr>
              <w:t>Non-GAAP adjusted</w:t>
            </w: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divestitures, net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recovery</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96"/>
              </w:rPr>
              <w:t>effect</w:t>
            </w: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(In millions, except per share data)</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(SG&amp;A)</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478.2</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146.3</w:t>
            </w: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6"/>
              </w:rPr>
              <w:t>Weighted average common share outstanding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63.2 %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61"/>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(Same Store)</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466.2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469.0</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 (Same Store)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63.2 %</w:t>
            </w:r>
          </w:p>
        </w:tc>
        <w:tc>
          <w:tcPr>
            <w:tcW w:w="0" w:type="dxa"/>
            <w:vAlign w:val="bottom"/>
          </w:tcPr>
          <w:p>
            <w:pPr>
              <w:spacing w:after="0"/>
              <w:rPr>
                <w:sz w:val="1"/>
                <w:szCs w:val="1"/>
                <w:color w:val="auto"/>
              </w:rPr>
            </w:pPr>
          </w:p>
        </w:tc>
      </w:tr>
      <w:tr>
        <w:trPr>
          <w:trHeight w:val="915"/>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7"/>
              </w:rPr>
              <w:t>Gain on dealership</w:t>
            </w:r>
          </w:p>
        </w:tc>
        <w:tc>
          <w:tcPr>
            <w:tcW w:w="1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Hail damage</w:t>
            </w: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200" w:type="dxa"/>
            <w:vAlign w:val="bottom"/>
          </w:tcPr>
          <w:p>
            <w:pPr>
              <w:spacing w:after="0"/>
              <w:rPr>
                <w:sz w:val="13"/>
                <w:szCs w:val="13"/>
                <w:color w:val="auto"/>
              </w:rPr>
            </w:pPr>
          </w:p>
        </w:tc>
        <w:tc>
          <w:tcPr>
            <w:tcW w:w="940" w:type="dxa"/>
            <w:vAlign w:val="bottom"/>
            <w:gridSpan w:val="2"/>
          </w:tcPr>
          <w:p>
            <w:pPr>
              <w:jc w:val="right"/>
              <w:ind w:right="82"/>
              <w:spacing w:after="0" w:line="151" w:lineRule="exact"/>
              <w:rPr>
                <w:sz w:val="20"/>
                <w:szCs w:val="20"/>
                <w:color w:val="auto"/>
              </w:rPr>
            </w:pPr>
            <w:r>
              <w:rPr>
                <w:rFonts w:ascii="Times New Roman" w:cs="Times New Roman" w:eastAsia="Times New Roman" w:hAnsi="Times New Roman"/>
                <w:sz w:val="16"/>
                <w:szCs w:val="16"/>
                <w:b w:val="1"/>
                <w:bCs w:val="1"/>
                <w:color w:val="auto"/>
                <w:w w:val="99"/>
              </w:rPr>
              <w:t>Income tax</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Non-GAAP adjusted</w:t>
            </w: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divestitures, net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effect</w:t>
            </w: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(SG&amp;A)</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1"/>
              </w:rPr>
              <w:t>(3.1)</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8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135.4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8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6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6"/>
              </w:rPr>
              <w:t>Weighted average common share outstanding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(0.13)</w:t>
            </w:r>
          </w:p>
        </w:tc>
        <w:tc>
          <w:tcPr>
            <w:tcW w:w="8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0.11</w:t>
            </w:r>
          </w:p>
        </w:tc>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64.8 %</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48"/>
        </w:trPr>
        <w:tc>
          <w:tcPr>
            <w:tcW w:w="2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(Same Store)</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8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1"/>
              </w:rPr>
              <w:t>(3.1)</w:t>
            </w:r>
          </w:p>
        </w:tc>
        <w:tc>
          <w:tcPr>
            <w:tcW w:w="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456.2</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 (Same Store)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Six Months Ended June 30, 2025</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 on dealership</w:t>
            </w:r>
          </w:p>
        </w:tc>
        <w:tc>
          <w:tcPr>
            <w:tcW w:w="160" w:type="dxa"/>
            <w:vAlign w:val="bottom"/>
          </w:tcPr>
          <w:p>
            <w:pPr>
              <w:spacing w:after="0"/>
              <w:rPr>
                <w:sz w:val="13"/>
                <w:szCs w:val="13"/>
                <w:color w:val="auto"/>
              </w:rPr>
            </w:pPr>
          </w:p>
        </w:tc>
        <w:tc>
          <w:tcPr>
            <w:tcW w:w="106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Insurance</w:t>
            </w:r>
          </w:p>
        </w:tc>
        <w:tc>
          <w:tcPr>
            <w:tcW w:w="180" w:type="dxa"/>
            <w:vAlign w:val="bottom"/>
          </w:tcPr>
          <w:p>
            <w:pPr>
              <w:spacing w:after="0"/>
              <w:rPr>
                <w:sz w:val="13"/>
                <w:szCs w:val="13"/>
                <w:color w:val="auto"/>
              </w:rPr>
            </w:pPr>
          </w:p>
        </w:tc>
        <w:tc>
          <w:tcPr>
            <w:tcW w:w="1360" w:type="dxa"/>
            <w:vAlign w:val="bottom"/>
            <w:gridSpan w:val="2"/>
          </w:tcPr>
          <w:p>
            <w:pPr>
              <w:jc w:val="center"/>
              <w:ind w:right="102"/>
              <w:spacing w:after="0" w:line="151" w:lineRule="exact"/>
              <w:rPr>
                <w:sz w:val="20"/>
                <w:szCs w:val="20"/>
                <w:color w:val="auto"/>
              </w:rPr>
            </w:pPr>
            <w:r>
              <w:rPr>
                <w:rFonts w:ascii="Times New Roman" w:cs="Times New Roman" w:eastAsia="Times New Roman" w:hAnsi="Times New Roman"/>
                <w:sz w:val="16"/>
                <w:szCs w:val="16"/>
                <w:b w:val="1"/>
                <w:bCs w:val="1"/>
                <w:color w:val="auto"/>
                <w:w w:val="97"/>
              </w:rPr>
              <w:t>Professional fees</w:t>
            </w:r>
          </w:p>
        </w:tc>
        <w:tc>
          <w:tcPr>
            <w:tcW w:w="9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Income tax</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6"/>
              </w:rPr>
              <w:t>associated with</w:t>
            </w:r>
          </w:p>
        </w:tc>
        <w:tc>
          <w:tcPr>
            <w:tcW w:w="900" w:type="dxa"/>
            <w:vAlign w:val="bottom"/>
            <w:gridSpan w:val="2"/>
            <w:vMerge w:val="continue"/>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Non-GAAP adjusted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divestitures, net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8"/>
              </w:rPr>
              <w:t>impairments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7"/>
              </w:rPr>
              <w:t>recovery</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6"/>
              </w:rPr>
              <w:t>acquisition</w:t>
            </w: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effect</w:t>
            </w:r>
          </w:p>
        </w:tc>
        <w:tc>
          <w:tcPr>
            <w:tcW w:w="15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6"/>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(In millions, except per share data)</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931.8</w:t>
            </w:r>
          </w:p>
        </w:tc>
        <w:tc>
          <w:tcPr>
            <w:tcW w:w="1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941.8</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496.1</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280.6</w:t>
            </w: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Weighted average common share</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diluted</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(0.38)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0.19</w:t>
            </w:r>
          </w:p>
        </w:tc>
        <w:tc>
          <w:tcPr>
            <w:tcW w:w="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63.8 %</w:t>
            </w:r>
          </w:p>
        </w:tc>
        <w:tc>
          <w:tcPr>
            <w:tcW w:w="0" w:type="dxa"/>
            <w:vAlign w:val="bottom"/>
          </w:tcPr>
          <w:p>
            <w:pPr>
              <w:spacing w:after="0"/>
              <w:rPr>
                <w:sz w:val="1"/>
                <w:szCs w:val="1"/>
                <w:color w:val="auto"/>
              </w:rPr>
            </w:pPr>
          </w:p>
        </w:tc>
      </w:tr>
      <w:tr>
        <w:trPr>
          <w:trHeight w:val="156"/>
        </w:trPr>
        <w:tc>
          <w:tcPr>
            <w:tcW w:w="24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Income from operations as a % of</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(Same Store)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912.5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922.4</w:t>
            </w: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SG&amp;A as a % of gross profit (Same</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21"/>
        </w:trPr>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Six Months Ended June 30, 2024</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line="151" w:lineRule="exact"/>
              <w:rPr>
                <w:sz w:val="20"/>
                <w:szCs w:val="20"/>
                <w:color w:val="auto"/>
              </w:rPr>
            </w:pPr>
            <w:r>
              <w:rPr>
                <w:rFonts w:ascii="Times New Roman" w:cs="Times New Roman" w:eastAsia="Times New Roman" w:hAnsi="Times New Roman"/>
                <w:sz w:val="16"/>
                <w:szCs w:val="16"/>
                <w:b w:val="1"/>
                <w:bCs w:val="1"/>
                <w:color w:val="auto"/>
              </w:rPr>
              <w:t>Gain on dealership</w:t>
            </w:r>
          </w:p>
        </w:tc>
        <w:tc>
          <w:tcPr>
            <w:tcW w:w="160" w:type="dxa"/>
            <w:vAlign w:val="bottom"/>
          </w:tcPr>
          <w:p>
            <w:pPr>
              <w:spacing w:after="0"/>
              <w:rPr>
                <w:sz w:val="13"/>
                <w:szCs w:val="13"/>
                <w:color w:val="auto"/>
              </w:rPr>
            </w:pPr>
          </w:p>
        </w:tc>
        <w:tc>
          <w:tcPr>
            <w:tcW w:w="166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16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Hail damage</w:t>
            </w:r>
          </w:p>
        </w:tc>
        <w:tc>
          <w:tcPr>
            <w:tcW w:w="130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Income tax effect</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Non-GAAP adjusted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divestitures, net</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300" w:type="dxa"/>
            <w:vAlign w:val="bottom"/>
            <w:tcBorders>
              <w:bottom w:val="single" w:sz="8" w:color="auto"/>
            </w:tcBorders>
            <w:gridSpan w:val="3"/>
            <w:vMerge w:val="continue"/>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6"/>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(In millions, except per share data)</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945.1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vMerge w:val="restart"/>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942.1</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4"/>
              </w:rPr>
              <w:t>135.4</w:t>
            </w:r>
          </w:p>
        </w:tc>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501.7</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135.4</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58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276.2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Weighted average common share</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diluted</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(0.13)</w:t>
            </w:r>
          </w:p>
        </w:tc>
        <w:tc>
          <w:tcPr>
            <w:tcW w:w="10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0.11</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63.8 %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156"/>
        </w:trPr>
        <w:tc>
          <w:tcPr>
            <w:tcW w:w="24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Income from operations as a % of</w:t>
            </w:r>
          </w:p>
        </w:tc>
        <w:tc>
          <w:tcPr>
            <w:tcW w:w="16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(Same Store)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SG&amp;A as a % of gross profit (Same</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63.3 %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Adjusted 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38035" cy="139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38035" cy="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Change in Floor Plan Notes Payable—Non-Trade, net</w:t>
      </w:r>
    </w:p>
    <w:p>
      <w:pPr>
        <w:spacing w:after="0" w:line="24" w:lineRule="exact"/>
        <w:rPr>
          <w:sz w:val="20"/>
          <w:szCs w:val="20"/>
          <w:color w:val="auto"/>
        </w:rPr>
      </w:pPr>
    </w:p>
    <w:p>
      <w:pPr>
        <w:ind w:left="300" w:right="420"/>
        <w:spacing w:after="0" w:line="237" w:lineRule="auto"/>
        <w:rPr>
          <w:sz w:val="20"/>
          <w:szCs w:val="20"/>
          <w:color w:val="auto"/>
        </w:rPr>
      </w:pPr>
      <w:r>
        <w:rPr>
          <w:rFonts w:ascii="Times New Roman" w:cs="Times New Roman" w:eastAsia="Times New Roman" w:hAnsi="Times New Roman"/>
          <w:sz w:val="17"/>
          <w:szCs w:val="17"/>
          <w:color w:val="auto"/>
        </w:rPr>
        <w:t>Change in Floor Plan Notes Payable—Non-Trade associated with floor plan offset, used vehicle borrowing base changes adjusted for acquisition and divestitures</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Change in Floor Plan Notes Payable—Trade associated with floor plan offset, adjusted for acquisition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38035"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Adjusted cash flow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0"/>
        </w:trPr>
        <w:tc>
          <w:tcPr>
            <w:tcW w:w="2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860" w:type="dxa"/>
            <w:vAlign w:val="bottom"/>
          </w:tcPr>
          <w:p>
            <w:pPr>
              <w:spacing w:after="0"/>
              <w:rPr>
                <w:sz w:val="19"/>
                <w:szCs w:val="19"/>
                <w:color w:val="auto"/>
              </w:rPr>
            </w:pPr>
          </w:p>
        </w:tc>
      </w:tr>
      <w:tr>
        <w:trPr>
          <w:trHeight w:val="428"/>
        </w:trPr>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10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23"/>
        </w:trPr>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397"/>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r>
      <w:tr>
        <w:trPr>
          <w:trHeight w:val="223"/>
        </w:trPr>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148.7</w:t>
            </w: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8440" w:space="100"/>
        <w:col w:w="268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2025-07-29T06:29:30Z</dcterms:created>
  <dcterms:modified xsi:type="dcterms:W3CDTF">2025-07-29T06:29:30Z</dcterms:modified>
</cp:coreProperties>
</file>