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762000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728980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49530</wp:posOffset>
            </wp:positionV>
            <wp:extent cx="2322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81280</wp:posOffset>
            </wp:positionV>
            <wp:extent cx="2322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160655</wp:posOffset>
            </wp:positionV>
            <wp:extent cx="2322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Asbury Automotive Group, Inc.</w:t>
      </w:r>
    </w:p>
    <w:p>
      <w:pPr>
        <w:spacing w:after="0" w:line="6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55245</wp:posOffset>
            </wp:positionV>
            <wp:extent cx="2322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37" w:lineRule="exact"/>
        <w:rPr>
          <w:sz w:val="24"/>
          <w:szCs w:val="24"/>
          <w:color w:val="auto"/>
        </w:rPr>
      </w:pPr>
    </w:p>
    <w:tbl>
      <w:tblPr>
        <w:tblLayout w:type="fixed"/>
        <w:tblInd w:w="1520" w:type="dxa"/>
        <w:tblCellMar>
          <w:top w:w="0" w:type="dxa"/>
          <w:left w:w="0" w:type="dxa"/>
          <w:bottom w:w="0" w:type="dxa"/>
          <w:right w:w="0" w:type="dxa"/>
        </w:tblCellMar>
      </w:tblPr>
      <w:tr>
        <w:trPr>
          <w:trHeight w:val="227"/>
        </w:trPr>
        <w:tc>
          <w:tcPr>
            <w:tcW w:w="2660" w:type="dxa"/>
            <w:vAlign w:val="bottom"/>
          </w:tcPr>
          <w:p>
            <w:pPr>
              <w:spacing w:after="0"/>
              <w:rPr>
                <w:sz w:val="19"/>
                <w:szCs w:val="19"/>
                <w:color w:val="auto"/>
              </w:rPr>
            </w:pPr>
          </w:p>
        </w:tc>
        <w:tc>
          <w:tcPr>
            <w:tcW w:w="564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Delaware</w:t>
            </w:r>
          </w:p>
        </w:tc>
      </w:tr>
      <w:tr>
        <w:trPr>
          <w:trHeight w:val="178"/>
        </w:trPr>
        <w:tc>
          <w:tcPr>
            <w:tcW w:w="2660" w:type="dxa"/>
            <w:vAlign w:val="bottom"/>
          </w:tcPr>
          <w:p>
            <w:pPr>
              <w:spacing w:after="0"/>
              <w:rPr>
                <w:sz w:val="15"/>
                <w:szCs w:val="15"/>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r>
      <w:tr>
        <w:trPr>
          <w:trHeight w:val="332"/>
        </w:trPr>
        <w:tc>
          <w:tcPr>
            <w:tcW w:w="2660" w:type="dxa"/>
            <w:vAlign w:val="bottom"/>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rPr>
              <w:t>001-31262</w:t>
            </w:r>
          </w:p>
        </w:tc>
        <w:tc>
          <w:tcPr>
            <w:tcW w:w="5640" w:type="dxa"/>
            <w:vAlign w:val="bottom"/>
          </w:tcPr>
          <w:p>
            <w:pPr>
              <w:jc w:val="right"/>
              <w:ind w:right="382"/>
              <w:spacing w:after="0"/>
              <w:rPr>
                <w:sz w:val="20"/>
                <w:szCs w:val="20"/>
                <w:color w:val="auto"/>
              </w:rPr>
            </w:pPr>
            <w:r>
              <w:rPr>
                <w:rFonts w:ascii="Times New Roman" w:cs="Times New Roman" w:eastAsia="Times New Roman" w:hAnsi="Times New Roman"/>
                <w:sz w:val="17"/>
                <w:szCs w:val="17"/>
                <w:b w:val="1"/>
                <w:bCs w:val="1"/>
                <w:color w:val="auto"/>
              </w:rPr>
              <w:t>01-0609375</w:t>
            </w:r>
          </w:p>
        </w:tc>
      </w:tr>
      <w:tr>
        <w:trPr>
          <w:trHeight w:val="159"/>
        </w:trPr>
        <w:tc>
          <w:tcPr>
            <w:tcW w:w="2660" w:type="dxa"/>
            <w:vAlign w:val="bottom"/>
          </w:tcPr>
          <w:p>
            <w:pPr>
              <w:jc w:val="center"/>
              <w:ind w:right="222"/>
              <w:spacing w:after="0"/>
              <w:rPr>
                <w:sz w:val="20"/>
                <w:szCs w:val="20"/>
                <w:color w:val="auto"/>
              </w:rPr>
            </w:pPr>
            <w:r>
              <w:rPr>
                <w:rFonts w:ascii="Times New Roman" w:cs="Times New Roman" w:eastAsia="Times New Roman" w:hAnsi="Times New Roman"/>
                <w:sz w:val="12"/>
                <w:szCs w:val="12"/>
                <w:b w:val="1"/>
                <w:bCs w:val="1"/>
                <w:color w:val="auto"/>
              </w:rPr>
              <w:t>(Commission File Number)</w:t>
            </w:r>
          </w:p>
        </w:tc>
        <w:tc>
          <w:tcPr>
            <w:tcW w:w="5640" w:type="dxa"/>
            <w:vAlign w:val="bottom"/>
          </w:tcPr>
          <w:p>
            <w:pPr>
              <w:jc w:val="center"/>
              <w:ind w:left="3822"/>
              <w:spacing w:after="0"/>
              <w:rPr>
                <w:sz w:val="20"/>
                <w:szCs w:val="20"/>
                <w:color w:val="auto"/>
              </w:rPr>
            </w:pPr>
            <w:r>
              <w:rPr>
                <w:rFonts w:ascii="Times New Roman" w:cs="Times New Roman" w:eastAsia="Times New Roman" w:hAnsi="Times New Roman"/>
                <w:sz w:val="12"/>
                <w:szCs w:val="12"/>
                <w:b w:val="1"/>
                <w:bCs w:val="1"/>
                <w:color w:val="auto"/>
                <w:w w:val="99"/>
              </w:rPr>
              <w:t>(IRS Employer Identification No.)</w:t>
            </w:r>
          </w:p>
        </w:tc>
      </w:tr>
      <w:tr>
        <w:trPr>
          <w:trHeight w:val="331"/>
        </w:trPr>
        <w:tc>
          <w:tcPr>
            <w:tcW w:w="2660" w:type="dxa"/>
            <w:vAlign w:val="bottom"/>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rPr>
              <w:t>6655 Peachtree Dunwoody Road</w:t>
            </w:r>
          </w:p>
        </w:tc>
        <w:tc>
          <w:tcPr>
            <w:tcW w:w="5640" w:type="dxa"/>
            <w:vAlign w:val="bottom"/>
          </w:tcPr>
          <w:p>
            <w:pPr>
              <w:spacing w:after="0"/>
              <w:rPr>
                <w:sz w:val="24"/>
                <w:szCs w:val="24"/>
                <w:color w:val="auto"/>
              </w:rPr>
            </w:pPr>
          </w:p>
        </w:tc>
      </w:tr>
      <w:tr>
        <w:trPr>
          <w:trHeight w:val="220"/>
        </w:trPr>
        <w:tc>
          <w:tcPr>
            <w:tcW w:w="2660" w:type="dxa"/>
            <w:vAlign w:val="bottom"/>
          </w:tcPr>
          <w:p>
            <w:pPr>
              <w:jc w:val="center"/>
              <w:ind w:right="202"/>
              <w:spacing w:after="0"/>
              <w:rPr>
                <w:sz w:val="20"/>
                <w:szCs w:val="20"/>
                <w:color w:val="auto"/>
              </w:rPr>
            </w:pPr>
            <w:r>
              <w:rPr>
                <w:rFonts w:ascii="Times New Roman" w:cs="Times New Roman" w:eastAsia="Times New Roman" w:hAnsi="Times New Roman"/>
                <w:sz w:val="17"/>
                <w:szCs w:val="17"/>
                <w:b w:val="1"/>
                <w:bCs w:val="1"/>
                <w:color w:val="auto"/>
              </w:rPr>
              <w:t>Atlanta, GA</w:t>
            </w:r>
          </w:p>
        </w:tc>
        <w:tc>
          <w:tcPr>
            <w:tcW w:w="5640" w:type="dxa"/>
            <w:vAlign w:val="bottom"/>
          </w:tcPr>
          <w:p>
            <w:pPr>
              <w:jc w:val="right"/>
              <w:ind w:right="582"/>
              <w:spacing w:after="0"/>
              <w:rPr>
                <w:sz w:val="20"/>
                <w:szCs w:val="20"/>
                <w:color w:val="auto"/>
              </w:rPr>
            </w:pPr>
            <w:r>
              <w:rPr>
                <w:rFonts w:ascii="Times New Roman" w:cs="Times New Roman" w:eastAsia="Times New Roman" w:hAnsi="Times New Roman"/>
                <w:sz w:val="17"/>
                <w:szCs w:val="17"/>
                <w:b w:val="1"/>
                <w:bCs w:val="1"/>
                <w:color w:val="auto"/>
              </w:rPr>
              <w:t>30328</w:t>
            </w:r>
          </w:p>
        </w:tc>
      </w:tr>
      <w:tr>
        <w:trPr>
          <w:trHeight w:val="227"/>
        </w:trPr>
        <w:tc>
          <w:tcPr>
            <w:tcW w:w="266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5640" w:type="dxa"/>
            <w:vAlign w:val="bottom"/>
          </w:tcPr>
          <w:p>
            <w:pPr>
              <w:jc w:val="center"/>
              <w:ind w:left="3842"/>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(770) 418-8200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2905 Premiere Parkway NW Suite 300</w:t>
      </w:r>
    </w:p>
    <w:p>
      <w:pPr>
        <w:spacing w:after="0" w:line="32" w:lineRule="exact"/>
        <w:rPr>
          <w:sz w:val="24"/>
          <w:szCs w:val="24"/>
          <w:color w:val="auto"/>
        </w:rPr>
      </w:pPr>
    </w:p>
    <w:p>
      <w:pPr>
        <w:jc w:val="center"/>
        <w:ind w:right="-59"/>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Duluth, GA</w:t>
        <w:tab/>
        <w:t>30097</w:t>
      </w:r>
    </w:p>
    <w:p>
      <w:pPr>
        <w:spacing w:after="0" w:line="1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121920</wp:posOffset>
            </wp:positionV>
            <wp:extent cx="2322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24" w:lineRule="exact"/>
        <w:rPr>
          <w:sz w:val="24"/>
          <w:szCs w:val="24"/>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87"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74"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87" w:lineRule="exact"/>
        <w:rPr>
          <w:rFonts w:ascii="MS PGothic" w:cs="MS PGothic" w:eastAsia="MS PGothic" w:hAnsi="MS PGothic"/>
          <w:sz w:val="19"/>
          <w:szCs w:val="19"/>
          <w:color w:val="auto"/>
        </w:rPr>
      </w:pPr>
    </w:p>
    <w:p>
      <w:pPr>
        <w:ind w:left="380" w:hanging="377"/>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9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7"/>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4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 per share</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ABG</w:t>
            </w:r>
          </w:p>
        </w:tc>
        <w:tc>
          <w:tcPr>
            <w:tcW w:w="100" w:type="dxa"/>
            <w:vAlign w:val="bottom"/>
          </w:tcPr>
          <w:p>
            <w:pPr>
              <w:spacing w:after="0"/>
              <w:rPr>
                <w:sz w:val="18"/>
                <w:szCs w:val="18"/>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c>
          <w:tcPr>
            <w:tcW w:w="440" w:type="dxa"/>
            <w:vAlign w:val="bottom"/>
          </w:tcPr>
          <w:p>
            <w:pPr>
              <w:spacing w:after="0"/>
              <w:rPr>
                <w:sz w:val="18"/>
                <w:szCs w:val="18"/>
                <w:color w:val="auto"/>
              </w:rPr>
            </w:pPr>
          </w:p>
        </w:tc>
      </w:tr>
      <w:tr>
        <w:trPr>
          <w:trHeight w:val="932"/>
        </w:trPr>
        <w:tc>
          <w:tcPr>
            <w:tcW w:w="4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8"/>
          <w:szCs w:val="18"/>
          <w:color w:val="auto"/>
        </w:rPr>
        <w:t>☐</w:t>
      </w:r>
    </w:p>
    <w:p>
      <w:pPr>
        <w:spacing w:after="0" w:line="250"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7456805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86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80" w:lineRule="exact"/>
        <w:rPr>
          <w:sz w:val="20"/>
          <w:szCs w:val="20"/>
          <w:color w:val="auto"/>
        </w:rPr>
      </w:pPr>
    </w:p>
    <w:p>
      <w:pPr>
        <w:ind w:right="380" w:firstLine="388"/>
        <w:spacing w:after="0" w:line="288" w:lineRule="auto"/>
        <w:rPr>
          <w:sz w:val="20"/>
          <w:szCs w:val="20"/>
          <w:color w:val="auto"/>
        </w:rPr>
      </w:pPr>
      <w:r>
        <w:rPr>
          <w:rFonts w:ascii="Times New Roman" w:cs="Times New Roman" w:eastAsia="Times New Roman" w:hAnsi="Times New Roman"/>
          <w:sz w:val="17"/>
          <w:szCs w:val="17"/>
          <w:color w:val="auto"/>
        </w:rPr>
        <w:t>Asbury Automotive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issued an earnings release on October 28, 2025, announcing its financial results for the three and nine months ended September 30, 2025. A copy of the earnings release is furnished as Exhibit 99.1 to this Current Report.</w:t>
      </w:r>
    </w:p>
    <w:p>
      <w:pPr>
        <w:spacing w:after="0" w:line="99" w:lineRule="exact"/>
        <w:rPr>
          <w:sz w:val="20"/>
          <w:szCs w:val="20"/>
          <w:color w:val="auto"/>
        </w:rPr>
      </w:pPr>
    </w:p>
    <w:p>
      <w:pPr>
        <w:ind w:firstLine="388"/>
        <w:spacing w:after="0" w:line="265" w:lineRule="auto"/>
        <w:rPr>
          <w:sz w:val="20"/>
          <w:szCs w:val="20"/>
          <w:color w:val="auto"/>
        </w:rPr>
      </w:pPr>
      <w:r>
        <w:rPr>
          <w:rFonts w:ascii="Times New Roman" w:cs="Times New Roman" w:eastAsia="Times New Roman" w:hAnsi="Times New Roman"/>
          <w:sz w:val="17"/>
          <w:szCs w:val="17"/>
          <w:color w:val="auto"/>
        </w:rPr>
        <w:t>The information furnished in this Current Report on Form 8-K, including Exhibit 99.1, shall not be deemed to be “filed” for purposes of Section 18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2" w:lineRule="exact"/>
        <w:rPr>
          <w:sz w:val="20"/>
          <w:szCs w:val="20"/>
          <w:color w:val="auto"/>
        </w:rPr>
      </w:pPr>
    </w:p>
    <w:p>
      <w:pPr>
        <w:ind w:left="400"/>
        <w:spacing w:after="0"/>
        <w:tabs>
          <w:tab w:leader="none" w:pos="740" w:val="left"/>
        </w:tabs>
        <w:rPr>
          <w:sz w:val="20"/>
          <w:szCs w:val="20"/>
          <w:color w:val="auto"/>
        </w:rPr>
      </w:pPr>
      <w:r>
        <w:rPr>
          <w:rFonts w:ascii="Times New Roman" w:cs="Times New Roman" w:eastAsia="Times New Roman" w:hAnsi="Times New Roman"/>
          <w:sz w:val="17"/>
          <w:szCs w:val="17"/>
          <w:color w:val="auto"/>
        </w:rPr>
        <w:t>(d)</w:t>
        <w:tab/>
        <w:t>Exhibits.</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exhibits are furnished as part of this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16"/>
        </w:trPr>
        <w:tc>
          <w:tcPr>
            <w:tcW w:w="820" w:type="dxa"/>
            <w:vAlign w:val="bottom"/>
          </w:tcPr>
          <w:p>
            <w:pPr>
              <w:spacing w:after="0"/>
              <w:rPr>
                <w:sz w:val="24"/>
                <w:szCs w:val="2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Press Release dated October 28, 2025.</w:t>
            </w:r>
          </w:p>
        </w:tc>
      </w:tr>
      <w:tr>
        <w:trPr>
          <w:trHeight w:val="239"/>
        </w:trPr>
        <w:tc>
          <w:tcPr>
            <w:tcW w:w="1020" w:type="dxa"/>
            <w:vAlign w:val="bottom"/>
            <w:gridSpan w:val="2"/>
          </w:tcPr>
          <w:p>
            <w:pPr>
              <w:spacing w:after="0"/>
              <w:rPr>
                <w:sz w:val="20"/>
                <w:szCs w:val="20"/>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20"/>
                <w:szCs w:val="20"/>
                <w:color w:val="auto"/>
              </w:rPr>
            </w:pPr>
          </w:p>
        </w:tc>
        <w:tc>
          <w:tcPr>
            <w:tcW w:w="97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078"/>
        </w:trPr>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70" w:lineRule="exact"/>
        <w:rPr>
          <w:sz w:val="20"/>
          <w:szCs w:val="20"/>
          <w:color w:val="auto"/>
        </w:rPr>
      </w:pPr>
    </w:p>
    <w:p>
      <w:pPr>
        <w:ind w:right="100" w:firstLine="426"/>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ASBURY AUTOMOTIVE GROUP, INC.</w:t>
            </w:r>
          </w:p>
        </w:tc>
      </w:tr>
      <w:tr>
        <w:trPr>
          <w:trHeight w:val="271"/>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2025</w:t>
            </w:r>
          </w:p>
        </w:tc>
        <w:tc>
          <w:tcPr>
            <w:tcW w:w="270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49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7"/>
                <w:szCs w:val="17"/>
                <w:color w:val="auto"/>
              </w:rPr>
              <w:t>/s/ Michael D. Welch</w:t>
            </w:r>
          </w:p>
        </w:tc>
      </w:tr>
      <w:tr>
        <w:trPr>
          <w:trHeight w:val="192"/>
        </w:trPr>
        <w:tc>
          <w:tcPr>
            <w:tcW w:w="3540" w:type="dxa"/>
            <w:vAlign w:val="bottom"/>
          </w:tcPr>
          <w:p>
            <w:pPr>
              <w:spacing w:after="0"/>
              <w:rPr>
                <w:sz w:val="16"/>
                <w:szCs w:val="16"/>
                <w:color w:val="auto"/>
              </w:rPr>
            </w:pPr>
          </w:p>
        </w:tc>
        <w:tc>
          <w:tcPr>
            <w:tcW w:w="2700" w:type="dxa"/>
            <w:vAlign w:val="bottom"/>
          </w:tcPr>
          <w:p>
            <w:pPr>
              <w:ind w:left="1940"/>
              <w:spacing w:after="0" w:line="192" w:lineRule="exact"/>
              <w:rPr>
                <w:sz w:val="20"/>
                <w:szCs w:val="20"/>
                <w:color w:val="auto"/>
              </w:rPr>
            </w:pPr>
            <w:r>
              <w:rPr>
                <w:rFonts w:ascii="Times New Roman" w:cs="Times New Roman" w:eastAsia="Times New Roman" w:hAnsi="Times New Roman"/>
                <w:sz w:val="17"/>
                <w:szCs w:val="17"/>
                <w:b w:val="1"/>
                <w:bCs w:val="1"/>
                <w:color w:val="auto"/>
              </w:rPr>
              <w:t>Name:</w:t>
            </w:r>
          </w:p>
        </w:tc>
        <w:tc>
          <w:tcPr>
            <w:tcW w:w="49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6"/>
              </w:rPr>
              <w:t>Michael D. Welch</w:t>
            </w:r>
          </w:p>
        </w:tc>
      </w:tr>
      <w:tr>
        <w:trPr>
          <w:trHeight w:val="227"/>
        </w:trPr>
        <w:tc>
          <w:tcPr>
            <w:tcW w:w="3540" w:type="dxa"/>
            <w:vAlign w:val="bottom"/>
          </w:tcPr>
          <w:p>
            <w:pPr>
              <w:spacing w:after="0"/>
              <w:rPr>
                <w:sz w:val="19"/>
                <w:szCs w:val="19"/>
                <w:color w:val="auto"/>
              </w:rPr>
            </w:pPr>
          </w:p>
        </w:tc>
        <w:tc>
          <w:tcPr>
            <w:tcW w:w="2700" w:type="dxa"/>
            <w:vAlign w:val="bottom"/>
          </w:tcPr>
          <w:p>
            <w:pPr>
              <w:ind w:left="19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96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7"/>
              </w:rPr>
              <w:t>Senior Vice President and Chief Financial Officer</w:t>
            </w:r>
          </w:p>
        </w:tc>
      </w:tr>
    </w:tbl>
    <w:p>
      <w:pPr>
        <w:sectPr>
          <w:pgSz w:w="11900" w:h="16838" w:orient="portrait"/>
          <w:cols w:equalWidth="0" w:num="1">
            <w:col w:w="11240"/>
          </w:cols>
          <w:pgMar w:left="320" w:top="856" w:right="339" w:bottom="1440" w:gutter="0" w:footer="0" w:header="0"/>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912745" cy="582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274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b w:val="1"/>
          <w:bCs w:val="1"/>
          <w:color w:val="auto"/>
        </w:rPr>
        <w:t>Investors &amp; Reporters May Contact:</w:t>
      </w:r>
    </w:p>
    <w:p>
      <w:pPr>
        <w:spacing w:after="0" w:line="25"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Joe Sorice</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Sr. Manager, Investor Relations</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(770) 418-8211</w:t>
      </w:r>
    </w:p>
    <w:p>
      <w:pPr>
        <w:spacing w:after="0" w:line="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color w:val="auto"/>
        </w:rPr>
        <w:t>ir@asburyauto.com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Asbury Automotive Group Reports Record Third Quarter Results</w:t>
      </w:r>
    </w:p>
    <w:p>
      <w:pPr>
        <w:spacing w:after="0" w:line="73"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All-time record Revenue of $4.8 billion, growth of 13%</w:t>
      </w:r>
    </w:p>
    <w:p>
      <w:pPr>
        <w:spacing w:after="0" w:line="55"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All-time record Gross Profit of $803 million, growth of 12%</w:t>
      </w:r>
    </w:p>
    <w:p>
      <w:pPr>
        <w:spacing w:after="0" w:line="55"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EPS of $7.52 per diluted share, an increase of 18%</w:t>
      </w:r>
    </w:p>
    <w:p>
      <w:pPr>
        <w:spacing w:after="0" w:line="55"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Adjusted EPS, a non-GAAP measure, of $7.17 per diluted share, an increase of 13%</w:t>
      </w:r>
    </w:p>
    <w:p>
      <w:pPr>
        <w:spacing w:after="0" w:line="55"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Same store Parts &amp; Service gross profit growth of 7%</w:t>
      </w:r>
    </w:p>
    <w:p>
      <w:pPr>
        <w:spacing w:after="0" w:line="68"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Repurchased approximately 220,500 shares for $50 million in the third quarter</w:t>
      </w:r>
    </w:p>
    <w:p>
      <w:pPr>
        <w:spacing w:after="0" w:line="55" w:lineRule="exact"/>
        <w:rPr>
          <w:rFonts w:ascii="Times New Roman" w:cs="Times New Roman" w:eastAsia="Times New Roman" w:hAnsi="Times New Roman"/>
          <w:sz w:val="21"/>
          <w:szCs w:val="21"/>
          <w:i w:val="1"/>
          <w:iCs w:val="1"/>
          <w:color w:val="auto"/>
        </w:rPr>
      </w:pPr>
    </w:p>
    <w:p>
      <w:pPr>
        <w:ind w:left="620" w:hanging="307"/>
        <w:spacing w:after="0"/>
        <w:tabs>
          <w:tab w:leader="none" w:pos="620"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Net income of $147 million; adjusted net income, a non-GAAP measure, of $140 million</w:t>
      </w:r>
    </w:p>
    <w:p>
      <w:pPr>
        <w:spacing w:after="0" w:line="344" w:lineRule="exact"/>
        <w:rPr>
          <w:sz w:val="20"/>
          <w:szCs w:val="20"/>
          <w:color w:val="auto"/>
        </w:rPr>
      </w:pPr>
    </w:p>
    <w:p>
      <w:pPr>
        <w:jc w:val="both"/>
        <w:ind w:firstLine="17"/>
        <w:spacing w:after="0" w:line="253" w:lineRule="auto"/>
        <w:rPr>
          <w:sz w:val="20"/>
          <w:szCs w:val="20"/>
          <w:color w:val="auto"/>
        </w:rPr>
      </w:pPr>
      <w:r>
        <w:rPr>
          <w:rFonts w:ascii="Times New Roman" w:cs="Times New Roman" w:eastAsia="Times New Roman" w:hAnsi="Times New Roman"/>
          <w:sz w:val="21"/>
          <w:szCs w:val="21"/>
          <w:color w:val="auto"/>
        </w:rPr>
        <w:t>SANDY SPRINGS, GA. (October 28, 2025) — Asbury Automotive Group, Inc. (NYSE: ABG) (the “Company”), one of the largest automotive retail and service companies in the U.S., reported third quarter 2025 net income of $147 million ($7.52 per diluted share), an increase of 16% from $126 million ($6.37 per diluted share) in third quarter 2024. The Company reported third quarter 2025 adjusted net income, a non-GAAP measure, of $140 million ($7.17 per diluted share), an increase of 11% from $126 million ($6.35 per diluted share) in third quarter 2024.</w:t>
      </w:r>
    </w:p>
    <w:p>
      <w:pPr>
        <w:spacing w:after="0" w:line="200" w:lineRule="exact"/>
        <w:rPr>
          <w:sz w:val="20"/>
          <w:szCs w:val="20"/>
          <w:color w:val="auto"/>
        </w:rPr>
      </w:pPr>
    </w:p>
    <w:p>
      <w:pPr>
        <w:jc w:val="both"/>
        <w:ind w:firstLine="17"/>
        <w:spacing w:after="0" w:line="252" w:lineRule="auto"/>
        <w:rPr>
          <w:sz w:val="20"/>
          <w:szCs w:val="20"/>
          <w:color w:val="auto"/>
        </w:rPr>
      </w:pPr>
      <w:r>
        <w:rPr>
          <w:rFonts w:ascii="Times New Roman" w:cs="Times New Roman" w:eastAsia="Times New Roman" w:hAnsi="Times New Roman"/>
          <w:sz w:val="21"/>
          <w:szCs w:val="21"/>
          <w:color w:val="auto"/>
        </w:rPr>
        <w:t>“This was an important quarter in managing our growth strategy for Asbury, marked by the expansion of Tekion to all our stores in the Baltimore-DC market and integrating the Chambers group,” said David Hult, Asbury’s President and Chief Executive Officer. “Our results reflect the resiliency of the team. We intend to maintain our balanced capital allocation approach paired with optimizing our store portfolio while continuing to deliver strong service through these transformative points in our journey.”</w:t>
      </w:r>
    </w:p>
    <w:p>
      <w:pPr>
        <w:spacing w:after="0" w:line="213" w:lineRule="exact"/>
        <w:rPr>
          <w:sz w:val="20"/>
          <w:szCs w:val="20"/>
          <w:color w:val="auto"/>
        </w:rPr>
      </w:pPr>
    </w:p>
    <w:p>
      <w:pPr>
        <w:jc w:val="both"/>
        <w:ind w:firstLine="17"/>
        <w:spacing w:after="0" w:line="296" w:lineRule="auto"/>
        <w:rPr>
          <w:sz w:val="20"/>
          <w:szCs w:val="20"/>
          <w:color w:val="auto"/>
        </w:rPr>
      </w:pPr>
      <w:r>
        <w:rPr>
          <w:rFonts w:ascii="Times New Roman" w:cs="Times New Roman" w:eastAsia="Times New Roman" w:hAnsi="Times New Roman"/>
          <w:sz w:val="20"/>
          <w:szCs w:val="20"/>
          <w:color w:val="auto"/>
        </w:rPr>
        <w:t>The financial measures discussed below include both GAAP and adjusted (non-GAAP) financial measures. Please see “Non-GAAP Financial Disclosure and Reconciliation, Same Store Data and Other Data” and the reconciliations for non-GAAP metrics used herein.</w:t>
      </w:r>
    </w:p>
    <w:p>
      <w:pPr>
        <w:spacing w:after="0" w:line="156" w:lineRule="exact"/>
        <w:rPr>
          <w:sz w:val="20"/>
          <w:szCs w:val="20"/>
          <w:color w:val="auto"/>
        </w:rPr>
      </w:pPr>
    </w:p>
    <w:p>
      <w:pPr>
        <w:jc w:val="both"/>
        <w:ind w:firstLine="17"/>
        <w:spacing w:after="0" w:line="253" w:lineRule="auto"/>
        <w:rPr>
          <w:sz w:val="20"/>
          <w:szCs w:val="20"/>
          <w:color w:val="auto"/>
        </w:rPr>
      </w:pPr>
      <w:r>
        <w:rPr>
          <w:rFonts w:ascii="Times New Roman" w:cs="Times New Roman" w:eastAsia="Times New Roman" w:hAnsi="Times New Roman"/>
          <w:sz w:val="21"/>
          <w:szCs w:val="21"/>
          <w:color w:val="auto"/>
        </w:rPr>
        <w:t>Adjusted net income for third quarter 2025 excludes, net of tax, net gain on divestitures of $27 million ($1.37 per diluted share), $9 million ($0.45 per diluted share) related to a non-cash asset impairment related to a pending disposal, $7 million ($0.37 per diluted share) of professional fees related to the acquisition of the Herb Chambers Automotive Group, $2 million ($0.12 per diluted share) in income tax expense related to the deferred tax true-up for the acquisition of the Herb Chambers Automotive Group and $2 million ($0.09 per diluted share) related to Tekion implementation expenses.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348" w:lineRule="exact"/>
        <w:rPr>
          <w:sz w:val="20"/>
          <w:szCs w:val="20"/>
          <w:color w:val="auto"/>
        </w:rPr>
      </w:pPr>
    </w:p>
    <w:p>
      <w:pPr>
        <w:ind w:firstLine="17"/>
        <w:spacing w:after="0" w:line="270" w:lineRule="auto"/>
        <w:rPr>
          <w:sz w:val="20"/>
          <w:szCs w:val="20"/>
          <w:color w:val="auto"/>
        </w:rPr>
      </w:pPr>
      <w:r>
        <w:rPr>
          <w:rFonts w:ascii="Times New Roman" w:cs="Times New Roman" w:eastAsia="Times New Roman" w:hAnsi="Times New Roman"/>
          <w:sz w:val="21"/>
          <w:szCs w:val="21"/>
          <w:color w:val="auto"/>
        </w:rPr>
        <w:t>Adjusted net income for third quarter 2024 excludes, net of tax, net gain on divestitures of $3 million ($0.14 per diluted share), and losses related to hail damage of $2 million ($0.11 per diluted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Third Quarter 2025 Operational Summary</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Total Company vs. 3</w:t>
      </w:r>
      <w:r>
        <w:rPr>
          <w:rFonts w:ascii="Times New Roman" w:cs="Times New Roman" w:eastAsia="Times New Roman" w:hAnsi="Times New Roman"/>
          <w:sz w:val="11"/>
          <w:szCs w:val="11"/>
          <w:b w:val="1"/>
          <w:bCs w:val="1"/>
          <w:color w:val="auto"/>
        </w:rPr>
        <w:t>rd</w:t>
      </w:r>
      <w:r>
        <w:rPr>
          <w:rFonts w:ascii="Times New Roman" w:cs="Times New Roman" w:eastAsia="Times New Roman" w:hAnsi="Times New Roman"/>
          <w:sz w:val="21"/>
          <w:szCs w:val="21"/>
          <w:b w:val="1"/>
          <w:bCs w:val="1"/>
          <w:color w:val="auto"/>
        </w:rPr>
        <w:t xml:space="preserve"> Quarter 2024:</w:t>
      </w:r>
    </w:p>
    <w:p>
      <w:pPr>
        <w:spacing w:after="0" w:line="60"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$4.8 billion, increase of 13%</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$803 million, increase of 12%</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decreased 23 bps to 16.7%</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unit volume increase of 13%; new vehicle revenue increase of 17%; new vehicle gross profit increase of 7%</w:t>
      </w:r>
    </w:p>
    <w:p>
      <w:pPr>
        <w:spacing w:after="0" w:line="68" w:lineRule="exact"/>
        <w:rPr>
          <w:rFonts w:ascii="Times New Roman" w:cs="Times New Roman" w:eastAsia="Times New Roman" w:hAnsi="Times New Roman"/>
          <w:sz w:val="21"/>
          <w:szCs w:val="21"/>
          <w:color w:val="auto"/>
        </w:rPr>
      </w:pPr>
    </w:p>
    <w:p>
      <w:pPr>
        <w:ind w:left="620" w:right="540" w:hanging="307"/>
        <w:spacing w:after="0" w:line="269"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unit volume increase of 1%; used vehicle retail revenue increase of 7%; used vehicle retail gross profit increase of 10%</w:t>
      </w:r>
    </w:p>
    <w:p>
      <w:pPr>
        <w:spacing w:after="0" w:line="1"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Finance and insurance (F&amp;I) per vehicle retailed (PVR) of $2,182, increase of 2%</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Parts and service revenue increase of 11%; gross profit increase of 15%</w:t>
      </w:r>
    </w:p>
    <w:p>
      <w:pPr>
        <w:spacing w:after="0" w:line="55" w:lineRule="exact"/>
        <w:rPr>
          <w:rFonts w:ascii="Times New Roman" w:cs="Times New Roman" w:eastAsia="Times New Roman" w:hAnsi="Times New Roman"/>
          <w:sz w:val="21"/>
          <w:szCs w:val="21"/>
          <w:color w:val="auto"/>
        </w:rPr>
      </w:pPr>
    </w:p>
    <w:p>
      <w:pPr>
        <w:ind w:left="620" w:right="440" w:hanging="307"/>
        <w:spacing w:after="0" w:line="270"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Selling, General and Administrative expenses (SG&amp;A) as a percentage of gross profit of 65.7%, a 71 basis point expansion versus prior year</w:t>
      </w:r>
    </w:p>
    <w:p>
      <w:pPr>
        <w:spacing w:after="0" w:line="1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64.2%, a 21 basis point reduction vs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5.1%</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5.5%</w:t>
      </w:r>
    </w:p>
    <w:p>
      <w:pPr>
        <w:spacing w:after="0" w:line="2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Same Store vs. 3</w:t>
      </w:r>
      <w:r>
        <w:rPr>
          <w:rFonts w:ascii="Times New Roman" w:cs="Times New Roman" w:eastAsia="Times New Roman" w:hAnsi="Times New Roman"/>
          <w:sz w:val="11"/>
          <w:szCs w:val="11"/>
          <w:b w:val="1"/>
          <w:bCs w:val="1"/>
          <w:color w:val="auto"/>
        </w:rPr>
        <w:t>rd</w:t>
      </w:r>
      <w:r>
        <w:rPr>
          <w:rFonts w:ascii="Times New Roman" w:cs="Times New Roman" w:eastAsia="Times New Roman" w:hAnsi="Times New Roman"/>
          <w:sz w:val="21"/>
          <w:szCs w:val="21"/>
          <w:b w:val="1"/>
          <w:bCs w:val="1"/>
          <w:color w:val="auto"/>
        </w:rPr>
        <w:t xml:space="preserve"> Quarter 2024:</w:t>
      </w:r>
    </w:p>
    <w:p>
      <w:pPr>
        <w:spacing w:after="0" w:line="60"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of $4.3 billion, increase of 5%</w:t>
      </w:r>
    </w:p>
    <w:p>
      <w:pPr>
        <w:spacing w:after="0" w:line="68"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profit of $710 million, increase of 3%</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margin decreased 43 bps to 16.7%</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vehicle unit volume increase of 7%; new vehicle revenue increase of 8%; new vehicle gross profit decrease of 4%</w:t>
      </w:r>
    </w:p>
    <w:p>
      <w:pPr>
        <w:spacing w:after="0" w:line="55" w:lineRule="exact"/>
        <w:rPr>
          <w:rFonts w:ascii="Times New Roman" w:cs="Times New Roman" w:eastAsia="Times New Roman" w:hAnsi="Times New Roman"/>
          <w:sz w:val="21"/>
          <w:szCs w:val="21"/>
          <w:color w:val="auto"/>
        </w:rPr>
      </w:pPr>
    </w:p>
    <w:p>
      <w:pPr>
        <w:ind w:left="620" w:right="460" w:hanging="307"/>
        <w:spacing w:after="0" w:line="270" w:lineRule="auto"/>
        <w:tabs>
          <w:tab w:leader="none" w:pos="61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vehicle retail unit volume decrease of 4%; used vehicle retail revenue decrease of 1%; used vehicle retail gross profit decrease of 2%</w:t>
      </w:r>
    </w:p>
    <w:p>
      <w:pPr>
        <w:spacing w:after="0" w:line="1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F&amp;I PVR of $2,175, flat to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Parts and service revenue increase of 4%; gross profit increase of 7%</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SG&amp;A as a percentage of gross profit of 64.0%, a 58 basis point reduction versus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SG&amp;A as a percentage of gross profit of 63.6%, a 32 basis point reduction versus prior year</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margin of 5.3%</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operating margin of 5.6%</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Liquidity and Leverage</w:t>
      </w:r>
    </w:p>
    <w:p>
      <w:pPr>
        <w:spacing w:after="0" w:line="16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1"/>
          <w:szCs w:val="21"/>
          <w:color w:val="auto"/>
        </w:rPr>
        <w:t>As of September 30, 2025, the Company had cash and floorplan offset accounts of $130 million (which excludes $11 million of cash at Total Care Auto, Powered by Landcar) and availability under the used vehicle floorplan line and revolver of $557 million for a total of $687 million in liquidity. The Company’s transaction adjusted net leverage ratio, which is calculated as set forth in our credit facility, was 3.2x at quarter end.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Share Repurchases</w:t>
      </w:r>
    </w:p>
    <w:p>
      <w:pPr>
        <w:spacing w:after="0" w:line="16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1"/>
          <w:szCs w:val="21"/>
          <w:color w:val="auto"/>
        </w:rPr>
        <w:t>The Company repurchased approximately 220,500 shares for $50 million during the third quarter 2025. As of September 30, 2025, the Company had approximately $226 million remaining on its share repurchase authorization.</w:t>
      </w:r>
    </w:p>
    <w:p>
      <w:pPr>
        <w:spacing w:after="0" w:line="19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The shares may be purchased from time to time in the open market, in privately negotiated transactions or in other manners as permitted by federal securities laws and other legal and contractual requirements. 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Earnings Call</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Additional commentary regarding the third quarter results will be provided during the earnings conference call on Tuesday, October 28, 2025, at 10:00 a.m. ET.</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1"/>
          <w:szCs w:val="21"/>
          <w:color w:val="auto"/>
        </w:rPr>
        <w:t xml:space="preserve">The conference call will be simulcast live on the internet. The webcast, together with supplemental materials, and can be accessed by logging onto </w:t>
      </w:r>
      <w:r>
        <w:rPr>
          <w:rFonts w:ascii="Times New Roman" w:cs="Times New Roman" w:eastAsia="Times New Roman" w:hAnsi="Times New Roman"/>
          <w:sz w:val="21"/>
          <w:szCs w:val="21"/>
          <w:u w:val="single" w:color="auto"/>
          <w:color w:val="0000ED"/>
        </w:rPr>
        <w:t>https://investors.asburyauto.com</w:t>
      </w:r>
      <w:r>
        <w:rPr>
          <w:rFonts w:ascii="Times New Roman" w:cs="Times New Roman" w:eastAsia="Times New Roman" w:hAnsi="Times New Roman"/>
          <w:sz w:val="21"/>
          <w:szCs w:val="21"/>
          <w:color w:val="auto"/>
        </w:rPr>
        <w:t>. A replay and the accompanying materials will be available on this site for at least 30 days.</w:t>
      </w:r>
    </w:p>
    <w:p>
      <w:pPr>
        <w:spacing w:after="0" w:line="188" w:lineRule="exact"/>
        <w:rPr>
          <w:sz w:val="20"/>
          <w:szCs w:val="20"/>
          <w:color w:val="auto"/>
        </w:rPr>
      </w:pPr>
    </w:p>
    <w:p>
      <w:pPr>
        <w:ind w:right="660"/>
        <w:spacing w:after="0" w:line="270" w:lineRule="auto"/>
        <w:rPr>
          <w:sz w:val="20"/>
          <w:szCs w:val="20"/>
          <w:color w:val="auto"/>
        </w:rPr>
      </w:pPr>
      <w:r>
        <w:rPr>
          <w:rFonts w:ascii="Times New Roman" w:cs="Times New Roman" w:eastAsia="Times New Roman" w:hAnsi="Times New Roman"/>
          <w:sz w:val="21"/>
          <w:szCs w:val="21"/>
          <w:color w:val="auto"/>
        </w:rPr>
        <w:t>In addition, live audio will be accessible to the public. Participants may enter the conference call five to ten minutes prior to the scheduled start of the call by dialing:</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Domestic:</w:t>
            </w:r>
          </w:p>
        </w:tc>
        <w:tc>
          <w:tcPr>
            <w:tcW w:w="20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(877) 407-2988</w:t>
            </w:r>
          </w:p>
        </w:tc>
      </w:tr>
      <w:tr>
        <w:trPr>
          <w:trHeight w:val="277"/>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International:</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 (201) 389-0923</w:t>
            </w:r>
          </w:p>
        </w:tc>
      </w:tr>
      <w:tr>
        <w:trPr>
          <w:trHeight w:val="277"/>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Passcode:</w:t>
            </w:r>
          </w:p>
        </w:tc>
        <w:tc>
          <w:tcPr>
            <w:tcW w:w="2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13756502</w:t>
            </w: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Asbury Automotive Group, Inc.</w:t>
      </w:r>
    </w:p>
    <w:p>
      <w:pPr>
        <w:spacing w:after="0" w:line="1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Asbury Automotive Group, Inc. (NYSE: ABG), a Fortune 500 company headquartered in Sandy Springs, GA,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September 30, 2025, Asbury operated 175 new vehicle dealerships, consisting of 230 franchises and representing 36 domestic and foreign brands of vehicles. Asbury also operates Total Care Auto, Powered by Landcar, a leading provider of service contracts and other vehicle protection products, and 39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and the Company is listed in World’s Most Trustworthy Companies 2025 by Newsweek.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additional information, visit </w:t>
      </w:r>
      <w:r>
        <w:rPr>
          <w:rFonts w:ascii="Times New Roman" w:cs="Times New Roman" w:eastAsia="Times New Roman" w:hAnsi="Times New Roman"/>
          <w:sz w:val="21"/>
          <w:szCs w:val="21"/>
          <w:u w:val="single" w:color="auto"/>
          <w:color w:val="0000ED"/>
        </w:rPr>
        <w:t>www.asburyauto.com</w:t>
      </w:r>
      <w:r>
        <w:rPr>
          <w:rFonts w:ascii="Times New Roman" w:cs="Times New Roman" w:eastAsia="Times New Roman" w:hAnsi="Times New Roman"/>
          <w:sz w:val="21"/>
          <w:szCs w:val="21"/>
          <w:u w:val="single" w:color="auto"/>
          <w:color w:val="0000FF"/>
        </w:rPr>
        <w: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Statements</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projections regarding Asbury's financial position, liquidity, results of operations, cash flows, leverage, market position, the timing and amount of any stock repurchases, and dealership portfolio, revenue enhancement strategies, operational improvements, projections regarding the expected benefits of present and new technologies, the ability to implement those technologies, and the ability to transition to new technologies from existing systems; management’s plans, projections and objectives for future operations, scale and performance, integration plans and expected synergies from acquisitions, capital allocation strategy, and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 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associated with technology integration and implementation;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spacing w:after="0" w:line="2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Non-GAAP Financial Disclosure and Reconciliation, Same Store Data and Other Data</w:t>
      </w: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p>
    <w:p>
      <w:pPr>
        <w:spacing w:after="0" w:line="3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1"/>
          <w:szCs w:val="21"/>
          <w:color w:val="auto"/>
        </w:rPr>
        <w:t>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0"/>
          <w:szCs w:val="20"/>
          <w:color w:val="auto"/>
        </w:rPr>
        <w:t>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acquisition(s). For divestitures, including divestitures due to requirements in connection with an acquisition, the adjusted EBITDA associated with the divestiture(s) is excluded from Transaction adjusted EBITDA. We believe the Transaction Adjusted Metrics provide relevant information to assess our performance at our existing dealership locations for the last twelve-month periods being presented.</w:t>
      </w:r>
    </w:p>
    <w:p>
      <w:pPr>
        <w:spacing w:after="0" w:line="19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1"/>
          <w:szCs w:val="21"/>
          <w:color w:val="auto"/>
        </w:rPr>
        <w:t>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auto"/>
        </w:rPr>
        <w:t>Same store amounts consist of information from dealerships for identical months in each comparative period, commencing with the first month we owned the dealership. Additionally, amounts related to divested dealerships are excluded from each comparative period. Amounts presented herein have been calculated using non-rounded amounts for all periods presented and therefore certain amounts may not compute.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INCOME (In millions, except per share data)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8"/>
                <w:szCs w:val="18"/>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2,528.9</w:t>
            </w:r>
          </w:p>
        </w:tc>
        <w:tc>
          <w:tcPr>
            <w:tcW w:w="2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6,970.9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13"/>
        </w:trPr>
        <w:tc>
          <w:tcPr>
            <w:tcW w:w="4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Retail</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Wholesale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437.7</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Total used vehicle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 OF SALES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10,485.3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impairments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(35.7)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other expenses, net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EARNINGS PER SHARE:</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Restricted stock</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Performance share units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Disclosures-Consolidated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7"/>
                <w:szCs w:val="17"/>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200" w:type="dxa"/>
            <w:vAlign w:val="bottom"/>
          </w:tcPr>
          <w:p>
            <w:pPr>
              <w:spacing w:after="0"/>
              <w:rPr>
                <w:sz w:val="17"/>
                <w:szCs w:val="17"/>
                <w:color w:val="auto"/>
              </w:rPr>
            </w:pPr>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 Cha</w:t>
            </w:r>
          </w:p>
        </w:tc>
        <w:tc>
          <w:tcPr>
            <w:tcW w:w="0" w:type="dxa"/>
            <w:vAlign w:val="bottom"/>
          </w:tcPr>
          <w:p>
            <w:pPr>
              <w:spacing w:after="0"/>
              <w:rPr>
                <w:sz w:val="1"/>
                <w:szCs w:val="1"/>
                <w:color w:val="auto"/>
              </w:rPr>
            </w:pPr>
          </w:p>
        </w:tc>
      </w:tr>
      <w:tr>
        <w:trPr>
          <w:trHeight w:val="227"/>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SELECTED BALANCE SHEET DATA</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(37.2)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Inventory, net (a)</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340.1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198.1</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Floor plan notes payable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427.3</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524.6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Long-term debt (including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466.7</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375.9</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7,483.3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6,640.7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842.6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Excluding $20.0 million and $58.7 million of inventory classified as assets held for sale as of September 30, 2025 and December 31, 2024, respectively.</w:t>
      </w:r>
    </w:p>
    <w:p>
      <w:pPr>
        <w:spacing w:after="0" w:line="200" w:lineRule="exact"/>
        <w:rPr>
          <w:sz w:val="20"/>
          <w:szCs w:val="20"/>
          <w:color w:val="auto"/>
        </w:rPr>
      </w:pPr>
    </w:p>
    <w:p>
      <w:pPr>
        <w:spacing w:after="0" w:line="383" w:lineRule="exact"/>
        <w:rPr>
          <w:sz w:val="20"/>
          <w:szCs w:val="20"/>
          <w:color w:val="auto"/>
        </w:rPr>
      </w:pPr>
    </w:p>
    <w:tbl>
      <w:tblPr>
        <w:tblLayout w:type="fixed"/>
        <w:tblInd w:w="3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 2024</w:t>
            </w:r>
          </w:p>
        </w:tc>
      </w:tr>
      <w:tr>
        <w:trPr>
          <w:trHeight w:val="161"/>
        </w:trPr>
        <w:tc>
          <w:tcPr>
            <w:tcW w:w="5560" w:type="dxa"/>
            <w:vAlign w:val="bottom"/>
            <w:tcBorders>
              <w:top w:val="single" w:sz="8" w:color="CCEEFF"/>
              <w:left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Days Supply</w:t>
            </w:r>
          </w:p>
        </w:tc>
        <w:tc>
          <w:tcPr>
            <w:tcW w:w="16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39"/>
        </w:trPr>
        <w:tc>
          <w:tcPr>
            <w:tcW w:w="940" w:type="dxa"/>
            <w:vAlign w:val="bottom"/>
            <w:tcBorders>
              <w:left w:val="single" w:sz="8" w:color="CCEEFF"/>
            </w:tcBorders>
            <w:shd w:val="clear" w:color="auto" w:fill="000000"/>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r>
        <w:trPr>
          <w:trHeight w:val="220"/>
        </w:trPr>
        <w:tc>
          <w:tcPr>
            <w:tcW w:w="55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New vehicle inventory</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5560" w:type="dxa"/>
            <w:vAlign w:val="bottom"/>
            <w:tcBorders>
              <w:lef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Used vehicle inventory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supply of inventory is calculated based on new and used inventory, in units, at the end of each reporting period and a 30-day historical unit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340"/>
          </w:cols>
          <w:pgMar w:left="320" w:top="1440" w:right="2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20" w:type="dxa"/>
            <w:vAlign w:val="bottom"/>
            <w:gridSpan w:val="6"/>
          </w:tcPr>
          <w:p>
            <w:pPr>
              <w:spacing w:after="0"/>
              <w:rPr>
                <w:sz w:val="20"/>
                <w:szCs w:val="20"/>
                <w:color w:val="auto"/>
              </w:rPr>
            </w:pPr>
            <w:r>
              <w:rPr>
                <w:rFonts w:ascii="Times New Roman" w:cs="Times New Roman" w:eastAsia="Times New Roman" w:hAnsi="Times New Roman"/>
                <w:sz w:val="17"/>
                <w:szCs w:val="17"/>
                <w:i w:val="1"/>
                <w:iCs w:val="1"/>
                <w:color w:val="auto"/>
              </w:rPr>
              <w:t>Brand Mix - New Vehicle Revenue by Brand</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3"/>
                <w:szCs w:val="13"/>
                <w:color w:val="auto"/>
              </w:rPr>
            </w:pPr>
          </w:p>
        </w:tc>
        <w:tc>
          <w:tcPr>
            <w:tcW w:w="864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Luxury</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 w:type="dxa"/>
            <w:vAlign w:val="bottom"/>
            <w:tcBorders>
              <w:right w:val="single" w:sz="8" w:color="CCEEFF"/>
            </w:tcBorders>
          </w:tcPr>
          <w:p>
            <w:pPr>
              <w:spacing w:after="0"/>
              <w:rPr>
                <w:sz w:val="3"/>
                <w:szCs w:val="3"/>
                <w:color w:val="auto"/>
              </w:rPr>
            </w:pPr>
          </w:p>
        </w:tc>
        <w:tc>
          <w:tcPr>
            <w:tcW w:w="58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Lexus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Mercedes-Benz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BMW</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Audi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Land Rover</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Porsche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7"/>
                <w:szCs w:val="17"/>
                <w:color w:val="auto"/>
              </w:rPr>
              <w:t>Other luxury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3"/>
        </w:trPr>
        <w:tc>
          <w:tcPr>
            <w:tcW w:w="80" w:type="dxa"/>
            <w:vAlign w:val="bottom"/>
            <w:tcBorders>
              <w:right w:val="single" w:sz="8" w:color="CCEEFF"/>
            </w:tcBorders>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8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luxury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64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Imports</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Toyota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Honda</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Hyundai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Kia</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imports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Total imports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00"/>
        </w:trPr>
        <w:tc>
          <w:tcPr>
            <w:tcW w:w="80" w:type="dxa"/>
            <w:vAlign w:val="bottom"/>
            <w:tcBorders>
              <w:right w:val="single" w:sz="8" w:color="CCEEFF"/>
            </w:tcBorders>
          </w:tcPr>
          <w:p>
            <w:pPr>
              <w:spacing w:after="0"/>
              <w:rPr>
                <w:sz w:val="17"/>
                <w:szCs w:val="17"/>
                <w:color w:val="auto"/>
              </w:rPr>
            </w:pPr>
          </w:p>
        </w:tc>
        <w:tc>
          <w:tcPr>
            <w:tcW w:w="864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Domestic</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7"/>
                <w:szCs w:val="17"/>
                <w:color w:val="auto"/>
              </w:rPr>
              <w:t>Ford</w:t>
            </w:r>
          </w:p>
        </w:tc>
        <w:tc>
          <w:tcPr>
            <w:tcW w:w="7960" w:type="dxa"/>
            <w:vAlign w:val="bottom"/>
            <w:tcBorders>
              <w:top w:val="single" w:sz="8" w:color="CCEEFF"/>
            </w:tcBorders>
            <w:gridSpan w:val="3"/>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Chrysler, Dodge, Jeep, Ram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7"/>
                <w:szCs w:val="17"/>
                <w:color w:val="auto"/>
              </w:rPr>
              <w:t>Chevrolet, Buick, GMC</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3"/>
        </w:trPr>
        <w:tc>
          <w:tcPr>
            <w:tcW w:w="80" w:type="dxa"/>
            <w:vAlign w:val="bottom"/>
            <w:tcBorders>
              <w:right w:val="single" w:sz="8" w:color="CCEEFF"/>
            </w:tcBorders>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8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domestic</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Total New Vehicle Revenue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3"/>
                <w:szCs w:val="13"/>
                <w:color w:val="auto"/>
              </w:rPr>
            </w:pPr>
          </w:p>
        </w:tc>
        <w:tc>
          <w:tcPr>
            <w:tcW w:w="8640" w:type="dxa"/>
            <w:vAlign w:val="bottom"/>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Revenue mix</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 w:type="dxa"/>
            <w:vAlign w:val="bottom"/>
            <w:tcBorders>
              <w:right w:val="single" w:sz="8" w:color="CCEEFF"/>
            </w:tcBorders>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Used vehicle wholesale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38"/>
        </w:trPr>
        <w:tc>
          <w:tcPr>
            <w:tcW w:w="80" w:type="dxa"/>
            <w:vAlign w:val="bottom"/>
            <w:tcBorders>
              <w:right w:val="single" w:sz="8" w:color="CCEEFF"/>
            </w:tcBorders>
          </w:tcPr>
          <w:p>
            <w:pPr>
              <w:spacing w:after="0"/>
              <w:rPr>
                <w:sz w:val="20"/>
                <w:szCs w:val="20"/>
                <w:color w:val="auto"/>
              </w:rPr>
            </w:pPr>
          </w:p>
        </w:tc>
        <w:tc>
          <w:tcPr>
            <w:tcW w:w="86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40" w:type="dxa"/>
            <w:vAlign w:val="bottom"/>
            <w:tcBorders>
              <w:top w:val="single" w:sz="8" w:color="CCEEFF"/>
              <w:bottom w:val="single" w:sz="8" w:color="CCEEFF"/>
            </w:tcBorders>
            <w:gridSpan w:val="5"/>
            <w:vMerge w:val="restart"/>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Gross profit mix</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 w:type="dxa"/>
            <w:vAlign w:val="bottom"/>
          </w:tcPr>
          <w:p>
            <w:pPr>
              <w:spacing w:after="0"/>
              <w:rPr>
                <w:sz w:val="11"/>
                <w:szCs w:val="11"/>
                <w:color w:val="auto"/>
              </w:rPr>
            </w:pPr>
          </w:p>
        </w:tc>
        <w:tc>
          <w:tcPr>
            <w:tcW w:w="864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wholesale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46.9 %</w:t>
            </w:r>
          </w:p>
        </w:tc>
        <w:tc>
          <w:tcPr>
            <w:tcW w:w="0" w:type="dxa"/>
            <w:vAlign w:val="bottom"/>
          </w:tcPr>
          <w:p>
            <w:pPr>
              <w:spacing w:after="0"/>
              <w:rPr>
                <w:sz w:val="1"/>
                <w:szCs w:val="1"/>
                <w:color w:val="auto"/>
              </w:rPr>
            </w:pPr>
          </w:p>
        </w:tc>
      </w:tr>
      <w:tr>
        <w:trPr>
          <w:trHeight w:val="220"/>
        </w:trPr>
        <w:tc>
          <w:tcPr>
            <w:tcW w:w="80" w:type="dxa"/>
            <w:vAlign w:val="bottom"/>
            <w:tcBorders>
              <w:right w:val="single" w:sz="8" w:color="CCEEFF"/>
            </w:tcBorders>
          </w:tcPr>
          <w:p>
            <w:pPr>
              <w:spacing w:after="0"/>
              <w:rPr>
                <w:sz w:val="19"/>
                <w:szCs w:val="19"/>
                <w:color w:val="auto"/>
              </w:rPr>
            </w:pPr>
          </w:p>
        </w:tc>
        <w:tc>
          <w:tcPr>
            <w:tcW w:w="8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20" w:top="1440" w:right="379" w:bottom="1440" w:gutter="0" w:footer="0" w:header="0"/>
          <w:type w:val="continuous"/>
        </w:sectPr>
      </w:pPr>
    </w:p>
    <w:bookmarkStart w:id="12" w:name="page13"/>
    <w:bookmarkEnd w:id="12"/>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HIGHLIGHTS-CONSOLIDATED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r>
        <w:rPr>
          <w:rFonts w:ascii="Times New Roman" w:cs="Times New Roman" w:eastAsia="Times New Roman" w:hAnsi="Times New Roman"/>
          <w:sz w:val="15"/>
          <w:szCs w:val="15"/>
          <w:color w:val="auto"/>
        </w:rPr>
        <w:t>)</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2"/>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gridSpan w:val="2"/>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7"/>
                <w:szCs w:val="17"/>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49"/>
        </w:trPr>
        <w:tc>
          <w:tcPr>
            <w:tcW w:w="3940" w:type="dxa"/>
            <w:vAlign w:val="bottom"/>
            <w:tcBorders>
              <w:top w:val="single" w:sz="8" w:color="CCEEFF"/>
              <w:left w:val="single" w:sz="8" w:color="CCEEFF"/>
            </w:tcBorders>
            <w:gridSpan w:val="8"/>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2,528.9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2,163.5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6,970.9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6,392.6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07"/>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3,507.0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3"/>
        </w:trPr>
        <w:tc>
          <w:tcPr>
            <w:tcW w:w="580" w:type="dxa"/>
            <w:vAlign w:val="bottom"/>
          </w:tcPr>
          <w:p>
            <w:pPr>
              <w:spacing w:after="0"/>
              <w:rPr>
                <w:sz w:val="18"/>
                <w:szCs w:val="18"/>
                <w:color w:val="auto"/>
              </w:rPr>
            </w:pPr>
          </w:p>
        </w:tc>
        <w:tc>
          <w:tcPr>
            <w:tcW w:w="33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1,294.7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3,959.6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593.1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1,764.3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3940" w:type="dxa"/>
            <w:vAlign w:val="bottom"/>
            <w:tcBorders>
              <w:bottom w:val="single" w:sz="8" w:color="CCEEFF"/>
            </w:tcBorders>
            <w:gridSpan w:val="8"/>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185.4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567.5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4,236.7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13,322.5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12,684.1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177"/>
        </w:trPr>
        <w:tc>
          <w:tcPr>
            <w:tcW w:w="3940" w:type="dxa"/>
            <w:vAlign w:val="bottom"/>
            <w:gridSpan w:val="8"/>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820" w:type="dxa"/>
            <w:vAlign w:val="bottom"/>
            <w:tcBorders>
              <w:top w:val="single" w:sz="8" w:color="auto"/>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New vehicle</w:t>
            </w:r>
          </w:p>
        </w:tc>
        <w:tc>
          <w:tcPr>
            <w:tcW w:w="3120" w:type="dxa"/>
            <w:vAlign w:val="bottom"/>
            <w:gridSpan w:val="5"/>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468.3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4"/>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vehicle: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3940" w:type="dxa"/>
            <w:vAlign w:val="bottom"/>
            <w:tcBorders>
              <w:bottom w:val="single" w:sz="8" w:color="CCEEFF"/>
            </w:tcBorders>
            <w:gridSpan w:val="8"/>
          </w:tcPr>
          <w:p>
            <w:pPr>
              <w:ind w:left="340"/>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13"/>
        </w:trPr>
        <w:tc>
          <w:tcPr>
            <w:tcW w:w="580" w:type="dxa"/>
            <w:vAlign w:val="bottom"/>
            <w:tcBorders>
              <w:left w:val="single" w:sz="8" w:color="CCEEFF"/>
            </w:tcBorders>
            <w:shd w:val="clear" w:color="auto" w:fill="CCEEFF"/>
          </w:tcPr>
          <w:p>
            <w:pPr>
              <w:spacing w:after="0"/>
              <w:rPr>
                <w:sz w:val="18"/>
                <w:szCs w:val="18"/>
                <w:color w:val="auto"/>
              </w:rPr>
            </w:pPr>
          </w:p>
        </w:tc>
        <w:tc>
          <w:tcPr>
            <w:tcW w:w="336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used vehicle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 net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171.2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527.0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802.5</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718.0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2,278.6</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2,198.8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168"/>
        </w:trPr>
        <w:tc>
          <w:tcPr>
            <w:tcW w:w="3940" w:type="dxa"/>
            <w:vAlign w:val="bottom"/>
            <w:tcBorders>
              <w:left w:val="single" w:sz="8" w:color="CCEEFF"/>
            </w:tcBorders>
            <w:gridSpan w:val="8"/>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Unit sales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04"/>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28,930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26,248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25,080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22,500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69,661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66,650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12,072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11,156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35,412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33,065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13"/>
        </w:trPr>
        <w:tc>
          <w:tcPr>
            <w:tcW w:w="3940" w:type="dxa"/>
            <w:vAlign w:val="bottom"/>
            <w:gridSpan w:val="8"/>
          </w:tcPr>
          <w:p>
            <w:pPr>
              <w:ind w:left="44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42,607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134,003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125,963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37,347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115,370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to new ratio</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7"/>
        </w:trPr>
        <w:tc>
          <w:tcPr>
            <w:tcW w:w="1400" w:type="dxa"/>
            <w:vAlign w:val="bottom"/>
            <w:tcBorders>
              <w:left w:val="single" w:sz="8" w:color="CCEEFF"/>
              <w:bottom w:val="single" w:sz="8" w:color="auto"/>
            </w:tcBorders>
            <w:gridSpan w:val="6"/>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w w:val="95"/>
              </w:rPr>
              <w:t>Average selling price</w:t>
            </w:r>
          </w:p>
        </w:tc>
        <w:tc>
          <w:tcPr>
            <w:tcW w:w="254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52,609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50,778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52,020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50,750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30,398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177"/>
        </w:trPr>
        <w:tc>
          <w:tcPr>
            <w:tcW w:w="3940" w:type="dxa"/>
            <w:vAlign w:val="bottom"/>
            <w:gridSpan w:val="8"/>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Average gross profit per unit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920" w:type="dxa"/>
            <w:vAlign w:val="bottom"/>
            <w:tcBorders>
              <w:top w:val="single" w:sz="8" w:color="auto"/>
              <w:left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vehicle:</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Luxury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6,471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6,829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6,982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3940" w:type="dxa"/>
            <w:vAlign w:val="bottom"/>
            <w:tcBorders>
              <w:left w:val="single" w:sz="8" w:color="CCEEFF"/>
            </w:tcBorders>
            <w:gridSpan w:val="8"/>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Import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2,638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940" w:type="dxa"/>
            <w:vAlign w:val="bottom"/>
            <w:gridSpan w:val="8"/>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1,501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and insurance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2,141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Front end yield (1)</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68"/>
        </w:trPr>
        <w:tc>
          <w:tcPr>
            <w:tcW w:w="3940" w:type="dxa"/>
            <w:vAlign w:val="bottom"/>
            <w:tcBorders>
              <w:left w:val="single" w:sz="8" w:color="CCEEFF"/>
            </w:tcBorders>
            <w:gridSpan w:val="8"/>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9"/>
        </w:trPr>
        <w:tc>
          <w:tcPr>
            <w:tcW w:w="58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Total 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 bps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Used vehicle retail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 bps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56.8 %</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218 bps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profit margin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 bps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bps</w:t>
            </w:r>
          </w:p>
        </w:tc>
      </w:tr>
      <w:tr>
        <w:trPr>
          <w:trHeight w:val="177"/>
        </w:trPr>
        <w:tc>
          <w:tcPr>
            <w:tcW w:w="1320" w:type="dxa"/>
            <w:vAlign w:val="bottom"/>
            <w:tcBorders>
              <w:bottom w:val="single" w:sz="8" w:color="auto"/>
            </w:tcBorders>
            <w:gridSpan w:val="5"/>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w w:val="95"/>
              </w:rPr>
              <w:t>Operating expenses</w:t>
            </w:r>
          </w:p>
        </w:tc>
        <w:tc>
          <w:tcPr>
            <w:tcW w:w="262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1,411.6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515.3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1,457.0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as a % of gross profit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 bps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SG&amp;A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64.4 %</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 bps)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 bps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bps</w:t>
            </w:r>
          </w:p>
        </w:tc>
      </w:tr>
      <w:tr>
        <w:trPr>
          <w:trHeight w:val="220"/>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(218) bps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 bps</w:t>
            </w:r>
          </w:p>
        </w:tc>
      </w:tr>
      <w:tr>
        <w:trPr>
          <w:trHeight w:val="220"/>
        </w:trPr>
        <w:tc>
          <w:tcPr>
            <w:tcW w:w="394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 bps)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bps)</w:t>
            </w:r>
          </w:p>
        </w:tc>
      </w:tr>
      <w:tr>
        <w:trPr>
          <w:trHeight w:val="223"/>
        </w:trPr>
        <w:tc>
          <w:tcPr>
            <w:tcW w:w="39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as a % of 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33.0 %</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 bps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603"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603" w:gutter="0" w:footer="0" w:header="0"/>
          <w:type w:val="continuous"/>
        </w:sectPr>
      </w:pPr>
    </w:p>
    <w:bookmarkStart w:id="13" w:name="page14"/>
    <w:bookmarkEnd w:id="13"/>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STORE OPERATING HIGHLIGHTS-CONSOLIDATED (In millions)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8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99"/>
              </w:rPr>
              <w:t>Revenue</w:t>
            </w:r>
          </w:p>
        </w:tc>
        <w:tc>
          <w:tcPr>
            <w:tcW w:w="312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2,224.0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2,051.0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6,503.4</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6,042.6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Retail</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1,098.6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3,336.0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Wholesale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440.8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Total used vehicle</w:t>
            </w:r>
          </w:p>
        </w:tc>
        <w:tc>
          <w:tcPr>
            <w:tcW w:w="100" w:type="dxa"/>
            <w:vAlign w:val="bottom"/>
          </w:tcPr>
          <w:p>
            <w:pPr>
              <w:spacing w:after="0"/>
              <w:rPr>
                <w:sz w:val="18"/>
                <w:szCs w:val="18"/>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1,241.8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3,776.8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566.6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1,675.4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179.6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541.6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546.6</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20" w:type="dxa"/>
            <w:vAlign w:val="bottom"/>
            <w:shd w:val="clear" w:color="auto" w:fill="CCEEFF"/>
          </w:tcPr>
          <w:p>
            <w:pPr>
              <w:spacing w:after="0"/>
              <w:rPr>
                <w:sz w:val="18"/>
                <w:szCs w:val="18"/>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4,260.4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4,039.0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12,492.4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12,041.3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170"/>
        </w:trPr>
        <w:tc>
          <w:tcPr>
            <w:tcW w:w="20" w:type="dxa"/>
            <w:vAlign w:val="bottom"/>
          </w:tcPr>
          <w:p>
            <w:pPr>
              <w:spacing w:after="0"/>
              <w:rPr>
                <w:sz w:val="14"/>
                <w:szCs w:val="14"/>
                <w:color w:val="auto"/>
              </w:rPr>
            </w:pPr>
          </w:p>
        </w:tc>
        <w:tc>
          <w:tcPr>
            <w:tcW w:w="3760" w:type="dxa"/>
            <w:vAlign w:val="bottom"/>
            <w:gridSpan w:val="8"/>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2880" w:type="dxa"/>
            <w:vAlign w:val="bottom"/>
            <w:gridSpan w:val="5"/>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vehicle: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Retail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8"/>
          </w:tcPr>
          <w:p>
            <w:pPr>
              <w:ind w:left="320"/>
              <w:spacing w:after="0"/>
              <w:rPr>
                <w:sz w:val="20"/>
                <w:szCs w:val="20"/>
                <w:color w:val="auto"/>
              </w:rPr>
            </w:pPr>
            <w:r>
              <w:rPr>
                <w:rFonts w:ascii="Times New Roman" w:cs="Times New Roman" w:eastAsia="Times New Roman" w:hAnsi="Times New Roman"/>
                <w:sz w:val="17"/>
                <w:szCs w:val="17"/>
                <w:color w:val="auto"/>
              </w:rPr>
              <w:t>Wholesale</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3"/>
        </w:trPr>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used vehicle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501.5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506.0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689.8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2,140.4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2,101.9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99"/>
              </w:rPr>
              <w:t>Unit sales</w:t>
            </w:r>
          </w:p>
        </w:tc>
        <w:tc>
          <w:tcPr>
            <w:tcW w:w="3040" w:type="dxa"/>
            <w:vAlign w:val="bottom"/>
            <w:tcBorders>
              <w:bottom w:val="single" w:sz="8" w:color="CCEEFF"/>
            </w:tcBorders>
            <w:gridSpan w:val="6"/>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Luxury</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8,514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24,870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Import</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21,092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66,728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62,353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10,681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33,710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31,504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13"/>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00" w:type="dxa"/>
            <w:vAlign w:val="bottom"/>
          </w:tcPr>
          <w:p>
            <w:pPr>
              <w:spacing w:after="0"/>
              <w:rPr>
                <w:sz w:val="18"/>
                <w:szCs w:val="18"/>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40,287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125,989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118,727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35,597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103,567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109,132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to new ratio</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0"/>
        </w:trPr>
        <w:tc>
          <w:tcPr>
            <w:tcW w:w="20" w:type="dxa"/>
            <w:vAlign w:val="bottom"/>
            <w:shd w:val="clear" w:color="auto" w:fill="CCEEFF"/>
          </w:tcPr>
          <w:p>
            <w:pPr>
              <w:spacing w:after="0"/>
              <w:rPr>
                <w:sz w:val="17"/>
                <w:szCs w:val="17"/>
                <w:color w:val="auto"/>
              </w:rPr>
            </w:pPr>
          </w:p>
        </w:tc>
        <w:tc>
          <w:tcPr>
            <w:tcW w:w="376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Average selling price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15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New vehicle</w:t>
            </w:r>
          </w:p>
        </w:tc>
        <w:tc>
          <w:tcPr>
            <w:tcW w:w="22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51,574</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50,911</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51,619</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50,895</w:t>
            </w: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30,861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30,569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190"/>
        </w:trPr>
        <w:tc>
          <w:tcPr>
            <w:tcW w:w="20" w:type="dxa"/>
            <w:vAlign w:val="bottom"/>
          </w:tcPr>
          <w:p>
            <w:pPr>
              <w:spacing w:after="0"/>
              <w:rPr>
                <w:sz w:val="16"/>
                <w:szCs w:val="16"/>
                <w:color w:val="auto"/>
              </w:rPr>
            </w:pPr>
          </w:p>
        </w:tc>
        <w:tc>
          <w:tcPr>
            <w:tcW w:w="2120" w:type="dxa"/>
            <w:vAlign w:val="bottom"/>
            <w:tcBorders>
              <w:bottom w:val="single" w:sz="8" w:color="auto"/>
            </w:tcBorders>
            <w:gridSpan w:val="7"/>
          </w:tcPr>
          <w:p>
            <w:pPr>
              <w:spacing w:after="0" w:line="181" w:lineRule="exact"/>
              <w:rPr>
                <w:sz w:val="20"/>
                <w:szCs w:val="20"/>
                <w:color w:val="auto"/>
              </w:rPr>
            </w:pPr>
            <w:r>
              <w:rPr>
                <w:rFonts w:ascii="Times New Roman" w:cs="Times New Roman" w:eastAsia="Times New Roman" w:hAnsi="Times New Roman"/>
                <w:sz w:val="17"/>
                <w:szCs w:val="17"/>
                <w:b w:val="1"/>
                <w:bCs w:val="1"/>
                <w:color w:val="auto"/>
                <w:w w:val="99"/>
              </w:rPr>
              <w:t>Average gross profit per unit</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vehicle: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Luxury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6,648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6,919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7,004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Import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20" w:type="dxa"/>
            <w:vAlign w:val="bottom"/>
          </w:tcPr>
          <w:p>
            <w:pPr>
              <w:spacing w:after="0"/>
              <w:rPr>
                <w:sz w:val="19"/>
                <w:szCs w:val="19"/>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and insurance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2,179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NM</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Front end yield (1)</w:t>
            </w:r>
          </w:p>
        </w:tc>
        <w:tc>
          <w:tcPr>
            <w:tcW w:w="1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4,782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8"/>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Gross margin</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Total new vehicle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(79) bps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bps</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Used vehicle retail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 bps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bps</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Parts and service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57.1 %</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172 bps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bps</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profit margin</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(43) bps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bps</w:t>
            </w:r>
          </w:p>
        </w:tc>
      </w:tr>
      <w:tr>
        <w:trPr>
          <w:trHeight w:val="181"/>
        </w:trPr>
        <w:tc>
          <w:tcPr>
            <w:tcW w:w="20" w:type="dxa"/>
            <w:vAlign w:val="bottom"/>
          </w:tcPr>
          <w:p>
            <w:pPr>
              <w:spacing w:after="0"/>
              <w:rPr>
                <w:sz w:val="15"/>
                <w:szCs w:val="15"/>
                <w:color w:val="auto"/>
              </w:rPr>
            </w:pPr>
          </w:p>
        </w:tc>
        <w:tc>
          <w:tcPr>
            <w:tcW w:w="376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Operating expenses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1,339.2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Adjusted selling, 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451.5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1,360.5</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20" w:type="dxa"/>
            <w:vAlign w:val="bottom"/>
            <w:shd w:val="clear" w:color="auto" w:fill="CCEEFF"/>
          </w:tcPr>
          <w:p>
            <w:pPr>
              <w:spacing w:after="0"/>
              <w:rPr>
                <w:sz w:val="19"/>
                <w:szCs w:val="19"/>
                <w:color w:val="auto"/>
              </w:rPr>
            </w:pPr>
          </w:p>
        </w:tc>
        <w:tc>
          <w:tcPr>
            <w:tcW w:w="3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SG&amp;A as a % of gross profit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64.5 %</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(58) bps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bps</w:t>
            </w:r>
          </w:p>
        </w:tc>
      </w:tr>
      <w:tr>
        <w:trPr>
          <w:trHeight w:val="223"/>
        </w:trPr>
        <w:tc>
          <w:tcPr>
            <w:tcW w:w="20" w:type="dxa"/>
            <w:vAlign w:val="bottom"/>
          </w:tcPr>
          <w:p>
            <w:pPr>
              <w:spacing w:after="0"/>
              <w:rPr>
                <w:sz w:val="19"/>
                <w:szCs w:val="19"/>
                <w:color w:val="auto"/>
              </w:rPr>
            </w:pPr>
          </w:p>
        </w:tc>
        <w:tc>
          <w:tcPr>
            <w:tcW w:w="3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Adjusted SG&amp;A as a % of gross profit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64.0 %</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(32 bps)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bps</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Front end yield is calculated as gross profit from new vehicles, used retail vehicles and finance and insurance (net), divided by combined new and used retail unit sales.</w:t>
      </w:r>
    </w:p>
    <w:p>
      <w:pPr>
        <w:sectPr>
          <w:pgSz w:w="11900" w:h="16838" w:orient="portrait"/>
          <w:cols w:equalWidth="0" w:num="1">
            <w:col w:w="11240"/>
          </w:cols>
          <w:pgMar w:left="320" w:top="1440" w:right="339" w:bottom="1044"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1044" w:gutter="0" w:footer="0" w:header="0"/>
          <w:type w:val="continuous"/>
        </w:sectPr>
      </w:pPr>
    </w:p>
    <w:bookmarkStart w:id="14" w:name="page15"/>
    <w:bookmarkEnd w:id="14"/>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REPORTING (Unaudited)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7"/>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680" w:type="dxa"/>
            <w:vAlign w:val="bottom"/>
          </w:tcPr>
          <w:p>
            <w:pPr>
              <w:spacing w:after="0"/>
              <w:rPr>
                <w:sz w:val="17"/>
                <w:szCs w:val="17"/>
                <w:color w:val="auto"/>
              </w:rPr>
            </w:pPr>
          </w:p>
        </w:tc>
      </w:tr>
      <w:tr>
        <w:trPr>
          <w:trHeight w:val="210"/>
        </w:trPr>
        <w:tc>
          <w:tcPr>
            <w:tcW w:w="4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left="795"/>
              <w:spacing w:after="0"/>
              <w:rPr>
                <w:sz w:val="20"/>
                <w:szCs w:val="20"/>
                <w:color w:val="auto"/>
              </w:rPr>
            </w:pPr>
            <w:r>
              <w:rPr>
                <w:rFonts w:ascii="Times New Roman" w:cs="Times New Roman" w:eastAsia="Times New Roman" w:hAnsi="Times New Roman"/>
                <w:sz w:val="16"/>
                <w:szCs w:val="16"/>
                <w:b w:val="1"/>
                <w:bCs w:val="1"/>
                <w:color w:val="auto"/>
                <w:w w:val="97"/>
              </w:rPr>
              <w:t>September 30, 2024</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01"/>
        </w:trPr>
        <w:tc>
          <w:tcPr>
            <w:tcW w:w="4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14"/>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4,236.7</w:t>
            </w: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13"/>
        </w:trPr>
        <w:tc>
          <w:tcPr>
            <w:tcW w:w="4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4,294.3</w:t>
            </w:r>
          </w:p>
        </w:tc>
      </w:tr>
      <w:tr>
        <w:trPr>
          <w:trHeight w:val="20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revenue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4,800.9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4,236.7</w:t>
            </w:r>
          </w:p>
        </w:tc>
      </w:tr>
      <w:tr>
        <w:trPr>
          <w:trHeight w:val="225"/>
        </w:trPr>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Personnel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 and related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selling, general and administrative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segment items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213.9</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233.5</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w:t>
            </w:r>
          </w:p>
        </w:tc>
      </w:tr>
      <w:tr>
        <w:trPr>
          <w:trHeight w:val="225"/>
        </w:trPr>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segment operating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intersegment revenue eliminations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intersegment cost of sales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168"/>
        </w:trPr>
        <w:tc>
          <w:tcPr>
            <w:tcW w:w="43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Deferral of SG&amp;A expense (related to capitalized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3"/>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intersegment eliminations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20"/>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8"/>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3400" w:type="dxa"/>
            <w:vAlign w:val="bottom"/>
            <w:tcBorders>
              <w:bottom w:val="single" w:sz="8" w:color="auto"/>
            </w:tcBorders>
            <w:gridSpan w:val="8"/>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9"/>
              </w:rPr>
              <w:t>For the Nine Months Ended September 30, 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6"/>
              </w:rPr>
              <w:t>For the Nine Months Ended September 30, 2024</w:t>
            </w:r>
          </w:p>
        </w:tc>
      </w:tr>
      <w:tr>
        <w:trPr>
          <w:trHeight w:val="215"/>
        </w:trPr>
        <w:tc>
          <w:tcPr>
            <w:tcW w:w="4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Dealerships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TCA</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Dealerships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TCA</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12,684.1</w:t>
            </w: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w:t>
            </w:r>
          </w:p>
        </w:tc>
      </w:tr>
      <w:tr>
        <w:trPr>
          <w:trHeight w:val="213"/>
        </w:trPr>
        <w:tc>
          <w:tcPr>
            <w:tcW w:w="4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12,624.6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12,851.1</w:t>
            </w:r>
          </w:p>
        </w:tc>
      </w:tr>
      <w:tr>
        <w:trPr>
          <w:trHeight w:val="20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revenue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revenue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12,684.1</w:t>
            </w:r>
          </w:p>
        </w:tc>
      </w:tr>
      <w:tr>
        <w:trPr>
          <w:trHeight w:val="225"/>
        </w:trPr>
        <w:tc>
          <w:tcPr>
            <w:tcW w:w="4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New vehicle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Used vehicle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Parts and service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and insurance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Personnel costs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 and related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selling, general and administrative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segment items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661.5</w:t>
            </w:r>
          </w:p>
        </w:tc>
      </w:tr>
      <w:tr>
        <w:trPr>
          <w:trHeight w:val="225"/>
        </w:trPr>
        <w:tc>
          <w:tcPr>
            <w:tcW w:w="4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segment operating income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Intersegment eliminations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0"/>
        </w:trPr>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intersegment revenue eliminations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w:t>
            </w:r>
          </w:p>
        </w:tc>
      </w:tr>
      <w:tr>
        <w:trPr>
          <w:trHeight w:val="22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intersegment cost of sales eliminations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r>
      <w:tr>
        <w:trPr>
          <w:trHeight w:val="168"/>
        </w:trPr>
        <w:tc>
          <w:tcPr>
            <w:tcW w:w="43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Deferral of SG&amp;A expense (related to capitalized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3"/>
        </w:trPr>
        <w:tc>
          <w:tcPr>
            <w:tcW w:w="4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contract costs offset by amortization)</w:t>
            </w: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3"/>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intersegment eliminations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impairments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22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r>
      <w:tr>
        <w:trPr>
          <w:trHeight w:val="220"/>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8"/>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operating income is calculated as GAAP operating income, excluding the effects of asset impairments and including floor plan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ASBURY AUTOMOTIVE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reconciliations for our non-GAAP metrics: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5"/>
                <w:szCs w:val="15"/>
                <w:color w:val="auto"/>
              </w:rPr>
            </w:pPr>
          </w:p>
        </w:tc>
        <w:tc>
          <w:tcPr>
            <w:tcW w:w="22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r>
      <w:tr>
        <w:trPr>
          <w:trHeight w:val="23"/>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60" w:type="dxa"/>
            <w:vAlign w:val="bottom"/>
            <w:tcBorders>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5"/>
              </w:rPr>
              <w:t>June 30, 2025</w:t>
            </w: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Adjusted leverage ratio:</w:t>
            </w:r>
          </w:p>
        </w:tc>
        <w:tc>
          <w:tcPr>
            <w:tcW w:w="4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3,045.0</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and floor plan offset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TCA cash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Availability under our used vehicle floor plan facility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w:t>
            </w:r>
          </w:p>
        </w:tc>
      </w:tr>
      <w:tr>
        <w:trPr>
          <w:trHeight w:val="213"/>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Adjusted long-term net debt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3,467.1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68"/>
        </w:trPr>
        <w:tc>
          <w:tcPr>
            <w:tcW w:w="20" w:type="dxa"/>
            <w:vAlign w:val="bottom"/>
          </w:tcPr>
          <w:p>
            <w:pPr>
              <w:spacing w:after="0"/>
              <w:rPr>
                <w:sz w:val="14"/>
                <w:szCs w:val="14"/>
                <w:color w:val="auto"/>
              </w:rPr>
            </w:pPr>
          </w:p>
        </w:tc>
        <w:tc>
          <w:tcPr>
            <w:tcW w:w="5880" w:type="dxa"/>
            <w:vAlign w:val="bottom"/>
            <w:gridSpan w:val="2"/>
          </w:tcPr>
          <w:p>
            <w:pPr>
              <w:spacing w:after="0" w:line="168" w:lineRule="exact"/>
              <w:rPr>
                <w:sz w:val="20"/>
                <w:szCs w:val="20"/>
                <w:color w:val="auto"/>
              </w:rPr>
            </w:pPr>
            <w:r>
              <w:rPr>
                <w:rFonts w:ascii="Times New Roman" w:cs="Times New Roman" w:eastAsia="Times New Roman" w:hAnsi="Times New Roman"/>
                <w:sz w:val="17"/>
                <w:szCs w:val="17"/>
                <w:color w:val="auto"/>
              </w:rPr>
              <w:t>Calculation of earnings before interest, taxes, depreciation and amortization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("EBITDA"):</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r>
      <w:tr>
        <w:trPr>
          <w:trHeight w:val="258"/>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Swap and other 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r>
      <w:tr>
        <w:trPr>
          <w:trHeight w:val="213"/>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Earnings before interest, taxes, depreciation and amortization ("EBITDA")</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w:t>
            </w:r>
          </w:p>
        </w:tc>
        <w:tc>
          <w:tcPr>
            <w:tcW w:w="16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Non-core items - expense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Proceeds from franchise termination</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Asset impairments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Hail damage</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Hurricane Milton losses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 recovery</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Professional fees associated with acquisition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Tekion implementation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non-core items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58"/>
        </w:trPr>
        <w:tc>
          <w:tcPr>
            <w:tcW w:w="2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982.9</w:t>
            </w: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Impact of dealership acquisitions and divestitures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2"/>
          </w:tcPr>
          <w:p>
            <w:pPr>
              <w:ind w:left="720"/>
              <w:spacing w:after="0"/>
              <w:rPr>
                <w:sz w:val="20"/>
                <w:szCs w:val="20"/>
                <w:color w:val="auto"/>
              </w:rPr>
            </w:pPr>
            <w:r>
              <w:rPr>
                <w:rFonts w:ascii="Times New Roman" w:cs="Times New Roman" w:eastAsia="Times New Roman" w:hAnsi="Times New Roman"/>
                <w:sz w:val="17"/>
                <w:szCs w:val="17"/>
                <w:color w:val="auto"/>
              </w:rPr>
              <w:t>Transaction adjusted EBITDA</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976.0</w:t>
            </w:r>
          </w:p>
        </w:tc>
      </w:tr>
      <w:tr>
        <w:trPr>
          <w:trHeight w:val="238"/>
        </w:trPr>
        <w:tc>
          <w:tcPr>
            <w:tcW w:w="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Transaction adjusted net leverage ratio</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080"/>
          </w:cols>
          <w:pgMar w:left="320" w:top="1440" w:right="4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w w:val="97"/>
              </w:rPr>
              <w:t>Three Months Ended September 30, 2025</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Gain on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vMerge w:val="restart"/>
          </w:tcPr>
          <w:p>
            <w:pPr>
              <w:jc w:val="center"/>
              <w:ind w:left="27"/>
              <w:spacing w:after="0"/>
              <w:rPr>
                <w:sz w:val="20"/>
                <w:szCs w:val="20"/>
                <w:color w:val="auto"/>
              </w:rPr>
            </w:pPr>
            <w:r>
              <w:rPr>
                <w:rFonts w:ascii="Times New Roman" w:cs="Times New Roman" w:eastAsia="Times New Roman" w:hAnsi="Times New Roman"/>
                <w:sz w:val="15"/>
                <w:szCs w:val="15"/>
                <w:b w:val="1"/>
                <w:bCs w:val="1"/>
                <w:color w:val="auto"/>
                <w:w w:val="97"/>
              </w:rPr>
              <w:t>Professional fees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Tekion</w:t>
            </w:r>
          </w:p>
        </w:tc>
        <w:tc>
          <w:tcPr>
            <w:tcW w:w="160" w:type="dxa"/>
            <w:vAlign w:val="bottom"/>
          </w:tcPr>
          <w:p>
            <w:pPr>
              <w:spacing w:after="0"/>
              <w:rPr>
                <w:sz w:val="12"/>
                <w:szCs w:val="12"/>
                <w:color w:val="auto"/>
              </w:rPr>
            </w:pPr>
          </w:p>
        </w:tc>
        <w:tc>
          <w:tcPr>
            <w:tcW w:w="920" w:type="dxa"/>
            <w:vAlign w:val="bottom"/>
            <w:gridSpan w:val="2"/>
          </w:tcPr>
          <w:p>
            <w:pPr>
              <w:jc w:val="center"/>
              <w:ind w:right="47"/>
              <w:spacing w:after="0" w:line="139" w:lineRule="exact"/>
              <w:rPr>
                <w:sz w:val="20"/>
                <w:szCs w:val="20"/>
                <w:color w:val="auto"/>
              </w:rPr>
            </w:pPr>
            <w:r>
              <w:rPr>
                <w:rFonts w:ascii="Times New Roman" w:cs="Times New Roman" w:eastAsia="Times New Roman" w:hAnsi="Times New Roman"/>
                <w:sz w:val="15"/>
                <w:szCs w:val="15"/>
                <w:b w:val="1"/>
                <w:bCs w:val="1"/>
                <w:color w:val="auto"/>
                <w:w w:val="96"/>
              </w:rPr>
              <w:t>Acquisition-</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7"/>
              <w:spacing w:after="0" w:line="142" w:lineRule="exact"/>
              <w:rPr>
                <w:sz w:val="20"/>
                <w:szCs w:val="20"/>
                <w:color w:val="auto"/>
              </w:rPr>
            </w:pPr>
            <w:r>
              <w:rPr>
                <w:rFonts w:ascii="Times New Roman" w:cs="Times New Roman" w:eastAsia="Times New Roman" w:hAnsi="Times New Roman"/>
                <w:sz w:val="15"/>
                <w:szCs w:val="15"/>
                <w:b w:val="1"/>
                <w:bCs w:val="1"/>
                <w:color w:val="auto"/>
                <w:w w:val="97"/>
              </w:rPr>
              <w:t>related</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GAAP</w:t>
            </w:r>
          </w:p>
        </w:tc>
        <w:tc>
          <w:tcPr>
            <w:tcW w:w="200" w:type="dxa"/>
            <w:vAlign w:val="bottom"/>
          </w:tcPr>
          <w:p>
            <w:pPr>
              <w:spacing w:after="0"/>
              <w:rPr>
                <w:sz w:val="13"/>
                <w:szCs w:val="13"/>
                <w:color w:val="auto"/>
              </w:rPr>
            </w:pPr>
          </w:p>
        </w:tc>
        <w:tc>
          <w:tcPr>
            <w:tcW w:w="1020" w:type="dxa"/>
            <w:vAlign w:val="bottom"/>
          </w:tcPr>
          <w:p>
            <w:pPr>
              <w:jc w:val="right"/>
              <w:ind w:right="227"/>
              <w:spacing w:after="0" w:line="155" w:lineRule="exact"/>
              <w:rPr>
                <w:sz w:val="20"/>
                <w:szCs w:val="20"/>
                <w:color w:val="auto"/>
              </w:rPr>
            </w:pPr>
            <w:r>
              <w:rPr>
                <w:rFonts w:ascii="Times New Roman" w:cs="Times New Roman" w:eastAsia="Times New Roman" w:hAnsi="Times New Roman"/>
                <w:sz w:val="15"/>
                <w:szCs w:val="15"/>
                <w:b w:val="1"/>
                <w:bCs w:val="1"/>
                <w:color w:val="auto"/>
              </w:rPr>
              <w:t>dealership</w:t>
            </w:r>
          </w:p>
        </w:tc>
        <w:tc>
          <w:tcPr>
            <w:tcW w:w="160" w:type="dxa"/>
            <w:vAlign w:val="bottom"/>
          </w:tcPr>
          <w:p>
            <w:pPr>
              <w:spacing w:after="0"/>
              <w:rPr>
                <w:sz w:val="13"/>
                <w:szCs w:val="13"/>
                <w:color w:val="auto"/>
              </w:rPr>
            </w:pPr>
          </w:p>
        </w:tc>
        <w:tc>
          <w:tcPr>
            <w:tcW w:w="980" w:type="dxa"/>
            <w:vAlign w:val="bottom"/>
          </w:tcPr>
          <w:p>
            <w:pPr>
              <w:jc w:val="right"/>
              <w:ind w:right="287"/>
              <w:spacing w:after="0" w:line="155" w:lineRule="exact"/>
              <w:rPr>
                <w:sz w:val="20"/>
                <w:szCs w:val="20"/>
                <w:color w:val="auto"/>
              </w:rPr>
            </w:pPr>
            <w:r>
              <w:rPr>
                <w:rFonts w:ascii="Times New Roman" w:cs="Times New Roman" w:eastAsia="Times New Roman" w:hAnsi="Times New Roman"/>
                <w:sz w:val="15"/>
                <w:szCs w:val="15"/>
                <w:b w:val="1"/>
                <w:bCs w:val="1"/>
                <w:color w:val="auto"/>
              </w:rPr>
              <w:t>Asset</w:t>
            </w:r>
          </w:p>
        </w:tc>
        <w:tc>
          <w:tcPr>
            <w:tcW w:w="1580" w:type="dxa"/>
            <w:vAlign w:val="bottom"/>
            <w:gridSpan w:val="2"/>
          </w:tcPr>
          <w:p>
            <w:pPr>
              <w:jc w:val="center"/>
              <w:ind w:left="27"/>
              <w:spacing w:after="0" w:line="155" w:lineRule="exact"/>
              <w:rPr>
                <w:sz w:val="20"/>
                <w:szCs w:val="20"/>
                <w:color w:val="auto"/>
              </w:rPr>
            </w:pPr>
            <w:r>
              <w:rPr>
                <w:rFonts w:ascii="Times New Roman" w:cs="Times New Roman" w:eastAsia="Times New Roman" w:hAnsi="Times New Roman"/>
                <w:sz w:val="15"/>
                <w:szCs w:val="15"/>
                <w:b w:val="1"/>
                <w:bCs w:val="1"/>
                <w:color w:val="auto"/>
                <w:w w:val="98"/>
              </w:rPr>
              <w:t>associated with</w:t>
            </w:r>
          </w:p>
        </w:tc>
        <w:tc>
          <w:tcPr>
            <w:tcW w:w="180" w:type="dxa"/>
            <w:vAlign w:val="bottom"/>
          </w:tcPr>
          <w:p>
            <w:pPr>
              <w:spacing w:after="0"/>
              <w:rPr>
                <w:sz w:val="13"/>
                <w:szCs w:val="13"/>
                <w:color w:val="auto"/>
              </w:rPr>
            </w:pPr>
          </w:p>
        </w:tc>
        <w:tc>
          <w:tcPr>
            <w:tcW w:w="1320" w:type="dxa"/>
            <w:vAlign w:val="bottom"/>
            <w:gridSpan w:val="2"/>
          </w:tcPr>
          <w:p>
            <w:pPr>
              <w:jc w:val="right"/>
              <w:ind w:right="187"/>
              <w:spacing w:after="0" w:line="155" w:lineRule="exact"/>
              <w:rPr>
                <w:sz w:val="20"/>
                <w:szCs w:val="20"/>
                <w:color w:val="auto"/>
              </w:rPr>
            </w:pPr>
            <w:r>
              <w:rPr>
                <w:rFonts w:ascii="Times New Roman" w:cs="Times New Roman" w:eastAsia="Times New Roman" w:hAnsi="Times New Roman"/>
                <w:sz w:val="15"/>
                <w:szCs w:val="15"/>
                <w:b w:val="1"/>
                <w:bCs w:val="1"/>
                <w:color w:val="auto"/>
              </w:rPr>
              <w:t>implementation</w:t>
            </w:r>
          </w:p>
        </w:tc>
        <w:tc>
          <w:tcPr>
            <w:tcW w:w="160" w:type="dxa"/>
            <w:vAlign w:val="bottom"/>
          </w:tcPr>
          <w:p>
            <w:pPr>
              <w:spacing w:after="0"/>
              <w:rPr>
                <w:sz w:val="13"/>
                <w:szCs w:val="13"/>
                <w:color w:val="auto"/>
              </w:rPr>
            </w:pPr>
          </w:p>
        </w:tc>
        <w:tc>
          <w:tcPr>
            <w:tcW w:w="920" w:type="dxa"/>
            <w:vAlign w:val="bottom"/>
            <w:gridSpan w:val="2"/>
          </w:tcPr>
          <w:p>
            <w:pPr>
              <w:jc w:val="center"/>
              <w:ind w:right="47"/>
              <w:spacing w:after="0" w:line="155" w:lineRule="exact"/>
              <w:rPr>
                <w:sz w:val="20"/>
                <w:szCs w:val="20"/>
                <w:color w:val="auto"/>
              </w:rPr>
            </w:pPr>
            <w:r>
              <w:rPr>
                <w:rFonts w:ascii="Times New Roman" w:cs="Times New Roman" w:eastAsia="Times New Roman" w:hAnsi="Times New Roman"/>
                <w:sz w:val="15"/>
                <w:szCs w:val="15"/>
                <w:b w:val="1"/>
                <w:bCs w:val="1"/>
                <w:color w:val="auto"/>
                <w:w w:val="96"/>
              </w:rPr>
              <w:t>deferred tax</w:t>
            </w:r>
          </w:p>
        </w:tc>
        <w:tc>
          <w:tcPr>
            <w:tcW w:w="8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rPr>
              <w:t>Income tax</w:t>
            </w:r>
          </w:p>
        </w:tc>
        <w:tc>
          <w:tcPr>
            <w:tcW w:w="160" w:type="dxa"/>
            <w:vAlign w:val="bottom"/>
          </w:tcPr>
          <w:p>
            <w:pPr>
              <w:spacing w:after="0"/>
              <w:rPr>
                <w:sz w:val="13"/>
                <w:szCs w:val="13"/>
                <w:color w:val="auto"/>
              </w:rPr>
            </w:pPr>
          </w:p>
        </w:tc>
        <w:tc>
          <w:tcPr>
            <w:tcW w:w="820" w:type="dxa"/>
            <w:vAlign w:val="bottom"/>
          </w:tcPr>
          <w:p>
            <w:pPr>
              <w:jc w:val="right"/>
              <w:ind w:right="27"/>
              <w:spacing w:after="0" w:line="155" w:lineRule="exact"/>
              <w:rPr>
                <w:sz w:val="20"/>
                <w:szCs w:val="20"/>
                <w:color w:val="auto"/>
              </w:rPr>
            </w:pPr>
            <w:r>
              <w:rPr>
                <w:rFonts w:ascii="Times New Roman" w:cs="Times New Roman" w:eastAsia="Times New Roman" w:hAnsi="Times New Roman"/>
                <w:sz w:val="15"/>
                <w:szCs w:val="15"/>
                <w:b w:val="1"/>
                <w:bCs w:val="1"/>
                <w:color w:val="auto"/>
                <w:w w:val="94"/>
              </w:rPr>
              <w:t>Non-GAAP</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impairments</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7"/>
              <w:spacing w:after="0"/>
              <w:rPr>
                <w:sz w:val="20"/>
                <w:szCs w:val="20"/>
                <w:color w:val="auto"/>
              </w:rPr>
            </w:pPr>
            <w:r>
              <w:rPr>
                <w:rFonts w:ascii="Times New Roman" w:cs="Times New Roman" w:eastAsia="Times New Roman" w:hAnsi="Times New Roman"/>
                <w:sz w:val="15"/>
                <w:szCs w:val="15"/>
                <w:b w:val="1"/>
                <w:bCs w:val="1"/>
                <w:color w:val="auto"/>
                <w:w w:val="97"/>
              </w:rPr>
              <w:t>acquisition</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w w:val="95"/>
              </w:rPr>
              <w:t>true-up</w:t>
            </w:r>
          </w:p>
        </w:tc>
        <w:tc>
          <w:tcPr>
            <w:tcW w:w="840" w:type="dxa"/>
            <w:vAlign w:val="bottom"/>
            <w:tcBorders>
              <w:bottom w:val="single" w:sz="8" w:color="auto"/>
            </w:tcBorders>
            <w:gridSpan w:val="2"/>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effect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87"/>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80" w:type="dxa"/>
            <w:vAlign w:val="bottom"/>
            <w:gridSpan w:val="5"/>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Selling, general and</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515.3</w:t>
            </w: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w:t>
            </w:r>
          </w:p>
        </w:tc>
        <w:tc>
          <w:tcPr>
            <w:tcW w:w="200" w:type="dxa"/>
            <w:vAlign w:val="bottom"/>
          </w:tcPr>
          <w:p>
            <w:pPr>
              <w:spacing w:after="0"/>
              <w:rPr>
                <w:sz w:val="16"/>
                <w:szCs w:val="16"/>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9.6</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266.1</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w:t>
            </w:r>
          </w:p>
        </w:tc>
        <w:tc>
          <w:tcPr>
            <w:tcW w:w="54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140.2</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Weighted average common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outstanding - diluted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0.12</w:t>
            </w:r>
          </w:p>
        </w:tc>
        <w:tc>
          <w:tcPr>
            <w:tcW w:w="54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7.17</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65.7 %</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64.2 %</w:t>
            </w:r>
          </w:p>
        </w:tc>
        <w:tc>
          <w:tcPr>
            <w:tcW w:w="0" w:type="dxa"/>
            <w:vAlign w:val="bottom"/>
          </w:tcPr>
          <w:p>
            <w:pPr>
              <w:spacing w:after="0"/>
              <w:rPr>
                <w:sz w:val="1"/>
                <w:szCs w:val="1"/>
                <w:color w:val="auto"/>
              </w:rPr>
            </w:pPr>
          </w:p>
        </w:tc>
      </w:tr>
      <w:tr>
        <w:trPr>
          <w:trHeight w:val="142"/>
        </w:trPr>
        <w:tc>
          <w:tcPr>
            <w:tcW w:w="1900" w:type="dxa"/>
            <w:vAlign w:val="bottom"/>
          </w:tcPr>
          <w:p>
            <w:pPr>
              <w:ind w:left="20"/>
              <w:spacing w:after="0" w:line="142" w:lineRule="exact"/>
              <w:rPr>
                <w:sz w:val="20"/>
                <w:szCs w:val="20"/>
                <w:color w:val="auto"/>
              </w:rPr>
            </w:pPr>
            <w:r>
              <w:rPr>
                <w:rFonts w:ascii="Times New Roman" w:cs="Times New Roman" w:eastAsia="Times New Roman" w:hAnsi="Times New Roman"/>
                <w:sz w:val="15"/>
                <w:szCs w:val="15"/>
                <w:color w:val="auto"/>
                <w:w w:val="99"/>
              </w:rPr>
              <w:t>Income from operations as a %</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 revenue</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5.1 %</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249"/>
        </w:trPr>
        <w:tc>
          <w:tcPr>
            <w:tcW w:w="1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453.8</w:t>
            </w:r>
          </w:p>
        </w:tc>
        <w:tc>
          <w:tcPr>
            <w:tcW w:w="200" w:type="dxa"/>
            <w:vAlign w:val="bottom"/>
          </w:tcPr>
          <w:p>
            <w:pPr>
              <w:spacing w:after="0"/>
              <w:rPr>
                <w:sz w:val="16"/>
                <w:szCs w:val="16"/>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451.5</w:t>
            </w: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5"/>
                <w:szCs w:val="15"/>
                <w:color w:val="auto"/>
              </w:rPr>
              <w:t>SG&amp;A as a % of gross profit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(Same Store)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64.0 %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63.6 %</w:t>
            </w:r>
          </w:p>
        </w:tc>
        <w:tc>
          <w:tcPr>
            <w:tcW w:w="0" w:type="dxa"/>
            <w:vAlign w:val="bottom"/>
          </w:tcPr>
          <w:p>
            <w:pPr>
              <w:spacing w:after="0"/>
              <w:rPr>
                <w:sz w:val="1"/>
                <w:szCs w:val="1"/>
                <w:color w:val="auto"/>
              </w:rPr>
            </w:pPr>
          </w:p>
        </w:tc>
      </w:tr>
      <w:tr>
        <w:trPr>
          <w:trHeight w:val="901"/>
        </w:trPr>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7"/>
              </w:rPr>
              <w:t>Three Months Ended September 30, 2024</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5"/>
                <w:szCs w:val="15"/>
                <w:b w:val="1"/>
                <w:bCs w:val="1"/>
                <w:color w:val="auto"/>
                <w:w w:val="98"/>
              </w:rPr>
              <w:t>Gain on dealership</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right"/>
              <w:ind w:right="47"/>
              <w:spacing w:after="0" w:line="139" w:lineRule="exact"/>
              <w:rPr>
                <w:sz w:val="20"/>
                <w:szCs w:val="20"/>
                <w:color w:val="auto"/>
              </w:rPr>
            </w:pPr>
            <w:r>
              <w:rPr>
                <w:rFonts w:ascii="Times New Roman" w:cs="Times New Roman" w:eastAsia="Times New Roman" w:hAnsi="Times New Roman"/>
                <w:sz w:val="15"/>
                <w:szCs w:val="15"/>
                <w:b w:val="1"/>
                <w:bCs w:val="1"/>
                <w:color w:val="auto"/>
              </w:rPr>
              <w:t>Income tax</w:t>
            </w:r>
          </w:p>
        </w:tc>
        <w:tc>
          <w:tcPr>
            <w:tcW w:w="300" w:type="dxa"/>
            <w:vAlign w:val="bottom"/>
          </w:tcPr>
          <w:p>
            <w:pPr>
              <w:spacing w:after="0"/>
              <w:rPr>
                <w:sz w:val="12"/>
                <w:szCs w:val="12"/>
                <w:color w:val="auto"/>
              </w:rPr>
            </w:pPr>
          </w:p>
        </w:tc>
        <w:tc>
          <w:tcPr>
            <w:tcW w:w="980" w:type="dxa"/>
            <w:vAlign w:val="bottom"/>
            <w:gridSpan w:val="2"/>
          </w:tcPr>
          <w:p>
            <w:pPr>
              <w:jc w:val="right"/>
              <w:ind w:right="147"/>
              <w:spacing w:after="0" w:line="139" w:lineRule="exact"/>
              <w:rPr>
                <w:sz w:val="20"/>
                <w:szCs w:val="20"/>
                <w:color w:val="auto"/>
              </w:rPr>
            </w:pPr>
            <w:r>
              <w:rPr>
                <w:rFonts w:ascii="Times New Roman" w:cs="Times New Roman" w:eastAsia="Times New Roman" w:hAnsi="Times New Roman"/>
                <w:sz w:val="15"/>
                <w:szCs w:val="15"/>
                <w:b w:val="1"/>
                <w:bCs w:val="1"/>
                <w:color w:val="auto"/>
                <w:w w:val="99"/>
              </w:rPr>
              <w:t>Non-GAAP</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GAAP</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divestitures, net</w:t>
            </w:r>
          </w:p>
        </w:tc>
        <w:tc>
          <w:tcPr>
            <w:tcW w:w="16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Asset impairments</w:t>
            </w:r>
          </w:p>
        </w:tc>
        <w:tc>
          <w:tcPr>
            <w:tcW w:w="16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5"/>
                <w:szCs w:val="15"/>
                <w:b w:val="1"/>
                <w:bCs w:val="1"/>
                <w:color w:val="auto"/>
              </w:rPr>
              <w:t>Hail damage</w:t>
            </w:r>
          </w:p>
        </w:tc>
        <w:tc>
          <w:tcPr>
            <w:tcW w:w="102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effect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gridSpan w:val="4"/>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(SG&amp;A)  $</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466.5</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462.5</w:t>
            </w: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232.7</w:t>
            </w:r>
          </w:p>
        </w:tc>
        <w:tc>
          <w:tcPr>
            <w:tcW w:w="160" w:type="dxa"/>
            <w:vAlign w:val="bottom"/>
          </w:tcPr>
          <w:p>
            <w:pPr>
              <w:spacing w:after="0"/>
              <w:rPr>
                <w:sz w:val="16"/>
                <w:szCs w:val="16"/>
                <w:color w:val="auto"/>
              </w:rPr>
            </w:pPr>
          </w:p>
        </w:tc>
        <w:tc>
          <w:tcPr>
            <w:tcW w:w="98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4.0</w:t>
            </w: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236.7</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18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125.8</w:t>
            </w:r>
          </w:p>
        </w:tc>
        <w:tc>
          <w:tcPr>
            <w:tcW w:w="0" w:type="dxa"/>
            <w:vAlign w:val="bottom"/>
          </w:tcPr>
          <w:p>
            <w:pPr>
              <w:spacing w:after="0"/>
              <w:rPr>
                <w:sz w:val="1"/>
                <w:szCs w:val="1"/>
                <w:color w:val="auto"/>
              </w:rPr>
            </w:pPr>
          </w:p>
        </w:tc>
      </w:tr>
      <w:tr>
        <w:trPr>
          <w:trHeight w:val="245"/>
        </w:trPr>
        <w:tc>
          <w:tcPr>
            <w:tcW w:w="270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9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Weighted average common share outstanding</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diluted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(0.14)</w:t>
            </w:r>
          </w:p>
        </w:tc>
        <w:tc>
          <w:tcPr>
            <w:tcW w:w="118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0.11</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65.0 %</w:t>
            </w: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64.4 %</w:t>
            </w:r>
          </w:p>
        </w:tc>
        <w:tc>
          <w:tcPr>
            <w:tcW w:w="0" w:type="dxa"/>
            <w:vAlign w:val="bottom"/>
          </w:tcPr>
          <w:p>
            <w:pPr>
              <w:spacing w:after="0"/>
              <w:rPr>
                <w:sz w:val="1"/>
                <w:szCs w:val="1"/>
                <w:color w:val="auto"/>
              </w:rPr>
            </w:pPr>
          </w:p>
        </w:tc>
      </w:tr>
      <w:tr>
        <w:trPr>
          <w:trHeight w:val="19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Income from operations as a % of revenue</w:t>
            </w:r>
          </w:p>
        </w:tc>
        <w:tc>
          <w:tcPr>
            <w:tcW w:w="2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47"/>
        </w:trPr>
        <w:tc>
          <w:tcPr>
            <w:tcW w:w="1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445.2</w:t>
            </w:r>
          </w:p>
        </w:tc>
        <w:tc>
          <w:tcPr>
            <w:tcW w:w="160" w:type="dxa"/>
            <w:vAlign w:val="bottom"/>
          </w:tcPr>
          <w:p>
            <w:pPr>
              <w:spacing w:after="0"/>
              <w:rPr>
                <w:sz w:val="16"/>
                <w:szCs w:val="16"/>
                <w:color w:val="auto"/>
              </w:rPr>
            </w:pPr>
          </w:p>
        </w:tc>
        <w:tc>
          <w:tcPr>
            <w:tcW w:w="98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92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441.2</w:t>
            </w:r>
          </w:p>
        </w:tc>
        <w:tc>
          <w:tcPr>
            <w:tcW w:w="0" w:type="dxa"/>
            <w:vAlign w:val="bottom"/>
          </w:tcPr>
          <w:p>
            <w:pPr>
              <w:spacing w:after="0"/>
              <w:rPr>
                <w:sz w:val="1"/>
                <w:szCs w:val="1"/>
                <w:color w:val="auto"/>
              </w:rPr>
            </w:pPr>
          </w:p>
        </w:tc>
      </w:tr>
      <w:tr>
        <w:trPr>
          <w:trHeight w:val="196"/>
        </w:trPr>
        <w:tc>
          <w:tcPr>
            <w:tcW w:w="2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 (Same Store)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64.5 %</w:t>
            </w: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5"/>
          </w:tcPr>
          <w:p>
            <w:pPr>
              <w:jc w:val="center"/>
              <w:ind w:right="487"/>
              <w:spacing w:after="0"/>
              <w:rPr>
                <w:sz w:val="20"/>
                <w:szCs w:val="20"/>
                <w:color w:val="auto"/>
              </w:rPr>
            </w:pPr>
            <w:r>
              <w:rPr>
                <w:rFonts w:ascii="Times New Roman" w:cs="Times New Roman" w:eastAsia="Times New Roman" w:hAnsi="Times New Roman"/>
                <w:sz w:val="15"/>
                <w:szCs w:val="15"/>
                <w:b w:val="1"/>
                <w:bCs w:val="1"/>
                <w:color w:val="auto"/>
                <w:w w:val="97"/>
              </w:rPr>
              <w:t>Nine Months Ended September 30, 2025</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Gain on</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Professional fees</w:t>
            </w:r>
          </w:p>
        </w:tc>
        <w:tc>
          <w:tcPr>
            <w:tcW w:w="220" w:type="dxa"/>
            <w:vAlign w:val="bottom"/>
          </w:tcPr>
          <w:p>
            <w:pPr>
              <w:spacing w:after="0"/>
              <w:rPr>
                <w:sz w:val="12"/>
                <w:szCs w:val="12"/>
                <w:color w:val="auto"/>
              </w:rPr>
            </w:pPr>
          </w:p>
        </w:tc>
        <w:tc>
          <w:tcPr>
            <w:tcW w:w="12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3"/>
              </w:rPr>
              <w:t>Tekion</w:t>
            </w:r>
          </w:p>
        </w:tc>
        <w:tc>
          <w:tcPr>
            <w:tcW w:w="160" w:type="dxa"/>
            <w:vAlign w:val="bottom"/>
          </w:tcPr>
          <w:p>
            <w:pPr>
              <w:spacing w:after="0"/>
              <w:rPr>
                <w:sz w:val="12"/>
                <w:szCs w:val="12"/>
                <w:color w:val="auto"/>
              </w:rPr>
            </w:pPr>
          </w:p>
        </w:tc>
        <w:tc>
          <w:tcPr>
            <w:tcW w:w="92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b w:val="1"/>
                <w:bCs w:val="1"/>
                <w:color w:val="auto"/>
              </w:rPr>
              <w:t>Acquisition-</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47"/>
              <w:spacing w:after="0" w:line="142" w:lineRule="exact"/>
              <w:rPr>
                <w:sz w:val="20"/>
                <w:szCs w:val="20"/>
                <w:color w:val="auto"/>
              </w:rPr>
            </w:pPr>
            <w:r>
              <w:rPr>
                <w:rFonts w:ascii="Times New Roman" w:cs="Times New Roman" w:eastAsia="Times New Roman" w:hAnsi="Times New Roman"/>
                <w:sz w:val="15"/>
                <w:szCs w:val="15"/>
                <w:b w:val="1"/>
                <w:bCs w:val="1"/>
                <w:color w:val="auto"/>
              </w:rPr>
              <w:t>related</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94"/>
              </w:rPr>
              <w:t>GAAP</w:t>
            </w:r>
          </w:p>
        </w:tc>
        <w:tc>
          <w:tcPr>
            <w:tcW w:w="220" w:type="dxa"/>
            <w:vAlign w:val="bottom"/>
          </w:tcPr>
          <w:p>
            <w:pPr>
              <w:spacing w:after="0"/>
              <w:rPr>
                <w:sz w:val="13"/>
                <w:szCs w:val="13"/>
                <w:color w:val="auto"/>
              </w:rPr>
            </w:pPr>
          </w:p>
        </w:tc>
        <w:tc>
          <w:tcPr>
            <w:tcW w:w="920" w:type="dxa"/>
            <w:vAlign w:val="bottom"/>
            <w:gridSpan w:val="2"/>
          </w:tcPr>
          <w:p>
            <w:pPr>
              <w:jc w:val="right"/>
              <w:ind w:right="167"/>
              <w:spacing w:after="0" w:line="155" w:lineRule="exact"/>
              <w:rPr>
                <w:sz w:val="20"/>
                <w:szCs w:val="20"/>
                <w:color w:val="auto"/>
              </w:rPr>
            </w:pPr>
            <w:r>
              <w:rPr>
                <w:rFonts w:ascii="Times New Roman" w:cs="Times New Roman" w:eastAsia="Times New Roman" w:hAnsi="Times New Roman"/>
                <w:sz w:val="15"/>
                <w:szCs w:val="15"/>
                <w:b w:val="1"/>
                <w:bCs w:val="1"/>
                <w:color w:val="auto"/>
                <w:w w:val="98"/>
              </w:rPr>
              <w:t>dealership</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rPr>
              <w:t>Asset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67"/>
              <w:spacing w:after="0" w:line="155" w:lineRule="exact"/>
              <w:rPr>
                <w:sz w:val="20"/>
                <w:szCs w:val="20"/>
                <w:color w:val="auto"/>
              </w:rPr>
            </w:pPr>
            <w:r>
              <w:rPr>
                <w:rFonts w:ascii="Times New Roman" w:cs="Times New Roman" w:eastAsia="Times New Roman" w:hAnsi="Times New Roman"/>
                <w:sz w:val="15"/>
                <w:szCs w:val="15"/>
                <w:b w:val="1"/>
                <w:bCs w:val="1"/>
                <w:color w:val="auto"/>
                <w:w w:val="99"/>
              </w:rPr>
              <w:t>Insurance</w:t>
            </w:r>
          </w:p>
        </w:tc>
        <w:tc>
          <w:tcPr>
            <w:tcW w:w="180" w:type="dxa"/>
            <w:vAlign w:val="bottom"/>
          </w:tcPr>
          <w:p>
            <w:pPr>
              <w:spacing w:after="0"/>
              <w:rPr>
                <w:sz w:val="13"/>
                <w:szCs w:val="13"/>
                <w:color w:val="auto"/>
              </w:rPr>
            </w:pPr>
          </w:p>
        </w:tc>
        <w:tc>
          <w:tcPr>
            <w:tcW w:w="1160" w:type="dxa"/>
            <w:vAlign w:val="bottom"/>
          </w:tcPr>
          <w:p>
            <w:pPr>
              <w:jc w:val="center"/>
              <w:ind w:right="47"/>
              <w:spacing w:after="0" w:line="155" w:lineRule="exact"/>
              <w:rPr>
                <w:sz w:val="20"/>
                <w:szCs w:val="20"/>
                <w:color w:val="auto"/>
              </w:rPr>
            </w:pPr>
            <w:r>
              <w:rPr>
                <w:rFonts w:ascii="Times New Roman" w:cs="Times New Roman" w:eastAsia="Times New Roman" w:hAnsi="Times New Roman"/>
                <w:sz w:val="15"/>
                <w:szCs w:val="15"/>
                <w:b w:val="1"/>
                <w:bCs w:val="1"/>
                <w:color w:val="auto"/>
                <w:w w:val="98"/>
              </w:rPr>
              <w:t>associated with</w:t>
            </w:r>
          </w:p>
        </w:tc>
        <w:tc>
          <w:tcPr>
            <w:tcW w:w="220" w:type="dxa"/>
            <w:vAlign w:val="bottom"/>
          </w:tcPr>
          <w:p>
            <w:pPr>
              <w:spacing w:after="0"/>
              <w:rPr>
                <w:sz w:val="13"/>
                <w:szCs w:val="13"/>
                <w:color w:val="auto"/>
              </w:rPr>
            </w:pPr>
          </w:p>
        </w:tc>
        <w:tc>
          <w:tcPr>
            <w:tcW w:w="122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b w:val="1"/>
                <w:bCs w:val="1"/>
                <w:color w:val="auto"/>
                <w:w w:val="97"/>
              </w:rPr>
              <w:t>implementation</w:t>
            </w:r>
          </w:p>
        </w:tc>
        <w:tc>
          <w:tcPr>
            <w:tcW w:w="160" w:type="dxa"/>
            <w:vAlign w:val="bottom"/>
          </w:tcPr>
          <w:p>
            <w:pPr>
              <w:spacing w:after="0"/>
              <w:rPr>
                <w:sz w:val="13"/>
                <w:szCs w:val="13"/>
                <w:color w:val="auto"/>
              </w:rPr>
            </w:pPr>
          </w:p>
        </w:tc>
        <w:tc>
          <w:tcPr>
            <w:tcW w:w="92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deferred tax</w:t>
            </w:r>
          </w:p>
        </w:tc>
        <w:tc>
          <w:tcPr>
            <w:tcW w:w="740" w:type="dxa"/>
            <w:vAlign w:val="bottom"/>
            <w:gridSpan w:val="2"/>
          </w:tcPr>
          <w:p>
            <w:pPr>
              <w:jc w:val="right"/>
              <w:ind w:right="27"/>
              <w:spacing w:after="0" w:line="155" w:lineRule="exact"/>
              <w:rPr>
                <w:sz w:val="20"/>
                <w:szCs w:val="20"/>
                <w:color w:val="auto"/>
              </w:rPr>
            </w:pPr>
            <w:r>
              <w:rPr>
                <w:rFonts w:ascii="Times New Roman" w:cs="Times New Roman" w:eastAsia="Times New Roman" w:hAnsi="Times New Roman"/>
                <w:sz w:val="15"/>
                <w:szCs w:val="15"/>
                <w:b w:val="1"/>
                <w:bCs w:val="1"/>
                <w:color w:val="auto"/>
              </w:rPr>
              <w:t>Income</w:t>
            </w:r>
          </w:p>
        </w:tc>
        <w:tc>
          <w:tcPr>
            <w:tcW w:w="980" w:type="dxa"/>
            <w:vAlign w:val="bottom"/>
            <w:gridSpan w:val="2"/>
          </w:tcPr>
          <w:p>
            <w:pPr>
              <w:jc w:val="right"/>
              <w:ind w:right="7"/>
              <w:spacing w:after="0" w:line="155" w:lineRule="exact"/>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16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impairments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recovery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acquisition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6"/>
              </w:rPr>
              <w:t>expenses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true-up</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tax effect</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5"/>
          </w:tcPr>
          <w:p>
            <w:pPr>
              <w:jc w:val="center"/>
              <w:ind w:right="487"/>
              <w:spacing w:after="0"/>
              <w:rPr>
                <w:sz w:val="20"/>
                <w:szCs w:val="20"/>
                <w:color w:val="auto"/>
              </w:rPr>
            </w:pPr>
            <w:r>
              <w:rPr>
                <w:rFonts w:ascii="Times New Roman" w:cs="Times New Roman" w:eastAsia="Times New Roman" w:hAnsi="Times New Roman"/>
                <w:sz w:val="15"/>
                <w:szCs w:val="15"/>
                <w:b w:val="1"/>
                <w:bCs w:val="1"/>
                <w:color w:val="auto"/>
                <w:w w:val="97"/>
              </w:rPr>
              <w:t>(In millions, except per share data)</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Selling, general and</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administrative (SG&amp;A)</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97"/>
              </w:rPr>
              <w:t>1,458.9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1,457.0</w:t>
            </w:r>
          </w:p>
        </w:tc>
        <w:tc>
          <w:tcPr>
            <w:tcW w:w="0" w:type="dxa"/>
            <w:vAlign w:val="bottom"/>
          </w:tcPr>
          <w:p>
            <w:pPr>
              <w:spacing w:after="0"/>
              <w:rPr>
                <w:sz w:val="1"/>
                <w:szCs w:val="1"/>
                <w:color w:val="auto"/>
              </w:rPr>
            </w:pPr>
          </w:p>
        </w:tc>
      </w:tr>
      <w:tr>
        <w:trPr>
          <w:trHeight w:val="192"/>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734.3</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98"/>
              </w:rPr>
              <w:t>26.0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762.2</w:t>
            </w: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432.0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(45.8)</w:t>
            </w:r>
          </w:p>
        </w:tc>
        <w:tc>
          <w:tcPr>
            <w:tcW w:w="7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98"/>
              </w:rPr>
              <w:t>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2.3</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420.8</w:t>
            </w: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Weighted average</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5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common share</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 diluted</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19.6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21.99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(1.75)</w:t>
            </w:r>
          </w:p>
        </w:tc>
        <w:tc>
          <w:tcPr>
            <w:tcW w:w="7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98"/>
              </w:rPr>
              <w:t>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0.12</w:t>
            </w:r>
          </w:p>
        </w:tc>
        <w:tc>
          <w:tcPr>
            <w:tcW w:w="4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21.42</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SG&amp;A as a % of gross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64.0 %</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63.9 %</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line="142" w:lineRule="exact"/>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 a % of revenue</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0" w:type="dxa"/>
            <w:vAlign w:val="bottom"/>
          </w:tcPr>
          <w:p>
            <w:pPr>
              <w:spacing w:after="0"/>
              <w:rPr>
                <w:sz w:val="1"/>
                <w:szCs w:val="1"/>
                <w:color w:val="auto"/>
              </w:rPr>
            </w:pPr>
          </w:p>
        </w:tc>
      </w:tr>
      <w:tr>
        <w:trPr>
          <w:trHeight w:val="249"/>
        </w:trPr>
        <w:tc>
          <w:tcPr>
            <w:tcW w:w="1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97"/>
              </w:rPr>
              <w:t>1,352.8</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1,360.5</w:t>
            </w: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5"/>
                <w:szCs w:val="15"/>
                <w:color w:val="auto"/>
              </w:rPr>
              <w:t>SG&amp;A as a % of gross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profit (Same Store)</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63.2 %</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63.6 %</w:t>
            </w:r>
          </w:p>
        </w:tc>
        <w:tc>
          <w:tcPr>
            <w:tcW w:w="0" w:type="dxa"/>
            <w:vAlign w:val="bottom"/>
          </w:tcPr>
          <w:p>
            <w:pPr>
              <w:spacing w:after="0"/>
              <w:rPr>
                <w:sz w:val="1"/>
                <w:szCs w:val="1"/>
                <w:color w:val="auto"/>
              </w:rPr>
            </w:pPr>
          </w:p>
        </w:tc>
      </w:tr>
      <w:tr>
        <w:trPr>
          <w:trHeight w:val="707"/>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Nine Months Ended September 30, 2024</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3"/>
          </w:tcPr>
          <w:p>
            <w:pPr>
              <w:jc w:val="right"/>
              <w:ind w:right="27"/>
              <w:spacing w:after="0" w:line="139" w:lineRule="exact"/>
              <w:rPr>
                <w:sz w:val="20"/>
                <w:szCs w:val="20"/>
                <w:color w:val="auto"/>
              </w:rPr>
            </w:pPr>
            <w:r>
              <w:rPr>
                <w:rFonts w:ascii="Times New Roman" w:cs="Times New Roman" w:eastAsia="Times New Roman" w:hAnsi="Times New Roman"/>
                <w:sz w:val="15"/>
                <w:szCs w:val="15"/>
                <w:b w:val="1"/>
                <w:bCs w:val="1"/>
                <w:color w:val="auto"/>
              </w:rPr>
              <w:t>Gain on dealership</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67"/>
              <w:spacing w:after="0" w:line="139" w:lineRule="exact"/>
              <w:rPr>
                <w:sz w:val="20"/>
                <w:szCs w:val="20"/>
                <w:color w:val="auto"/>
              </w:rPr>
            </w:pPr>
            <w:r>
              <w:rPr>
                <w:rFonts w:ascii="Times New Roman" w:cs="Times New Roman" w:eastAsia="Times New Roman" w:hAnsi="Times New Roman"/>
                <w:sz w:val="15"/>
                <w:szCs w:val="15"/>
                <w:b w:val="1"/>
                <w:bCs w:val="1"/>
                <w:color w:val="auto"/>
              </w:rPr>
              <w:t>Income tax</w:t>
            </w:r>
          </w:p>
        </w:tc>
        <w:tc>
          <w:tcPr>
            <w:tcW w:w="260" w:type="dxa"/>
            <w:vAlign w:val="bottom"/>
          </w:tcPr>
          <w:p>
            <w:pPr>
              <w:spacing w:after="0"/>
              <w:rPr>
                <w:sz w:val="12"/>
                <w:szCs w:val="12"/>
                <w:color w:val="auto"/>
              </w:rPr>
            </w:pPr>
          </w:p>
        </w:tc>
        <w:tc>
          <w:tcPr>
            <w:tcW w:w="980" w:type="dxa"/>
            <w:vAlign w:val="bottom"/>
            <w:gridSpan w:val="2"/>
          </w:tcPr>
          <w:p>
            <w:pPr>
              <w:jc w:val="right"/>
              <w:ind w:right="127"/>
              <w:spacing w:after="0" w:line="139" w:lineRule="exact"/>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GAAP</w:t>
            </w:r>
          </w:p>
        </w:tc>
        <w:tc>
          <w:tcPr>
            <w:tcW w:w="134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divestitures, net</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Asset impairments</w:t>
            </w:r>
          </w:p>
        </w:tc>
        <w:tc>
          <w:tcPr>
            <w:tcW w:w="138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Hail damage</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effect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3"/>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w w:val="97"/>
              </w:rPr>
              <w:t>(In millions, except per share data)</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7"/>
              </w:rPr>
              <w:t>Selling, general and administrative (SG&amp;A)</w:t>
            </w:r>
          </w:p>
        </w:tc>
        <w:tc>
          <w:tcPr>
            <w:tcW w:w="920" w:type="dxa"/>
            <w:vAlign w:val="bottom"/>
            <w:gridSpan w:val="2"/>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1,411.6</w:t>
            </w: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(7.1)</w:t>
            </w:r>
          </w:p>
        </w:tc>
        <w:tc>
          <w:tcPr>
            <w:tcW w:w="5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1,404.6</w:t>
            </w:r>
          </w:p>
        </w:tc>
        <w:tc>
          <w:tcPr>
            <w:tcW w:w="0" w:type="dxa"/>
            <w:vAlign w:val="bottom"/>
          </w:tcPr>
          <w:p>
            <w:pPr>
              <w:spacing w:after="0"/>
              <w:rPr>
                <w:sz w:val="1"/>
                <w:szCs w:val="1"/>
                <w:color w:val="auto"/>
              </w:rPr>
            </w:pPr>
          </w:p>
        </w:tc>
      </w:tr>
      <w:tr>
        <w:trPr>
          <w:trHeight w:val="192"/>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rPr>
              <w:t>596.0</w:t>
            </w:r>
          </w:p>
        </w:tc>
        <w:tc>
          <w:tcPr>
            <w:tcW w:w="3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16"/>
                <w:szCs w:val="16"/>
                <w:color w:val="auto"/>
              </w:rPr>
            </w:pPr>
          </w:p>
        </w:tc>
        <w:tc>
          <w:tcPr>
            <w:tcW w:w="8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1220" w:type="dxa"/>
            <w:vAlign w:val="bottom"/>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7.1</w:t>
            </w:r>
          </w:p>
        </w:tc>
        <w:tc>
          <w:tcPr>
            <w:tcW w:w="56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738.4</w:t>
            </w: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301.5</w:t>
            </w: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(8.6)</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1220" w:type="dxa"/>
            <w:vAlign w:val="bottom"/>
            <w:shd w:val="clear" w:color="auto" w:fill="CCEEFF"/>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7.1</w:t>
            </w:r>
          </w:p>
        </w:tc>
        <w:tc>
          <w:tcPr>
            <w:tcW w:w="5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402.0</w:t>
            </w:r>
          </w:p>
        </w:tc>
        <w:tc>
          <w:tcPr>
            <w:tcW w:w="0" w:type="dxa"/>
            <w:vAlign w:val="bottom"/>
          </w:tcPr>
          <w:p>
            <w:pPr>
              <w:spacing w:after="0"/>
              <w:rPr>
                <w:sz w:val="1"/>
                <w:szCs w:val="1"/>
                <w:color w:val="auto"/>
              </w:rPr>
            </w:pPr>
          </w:p>
        </w:tc>
      </w:tr>
      <w:tr>
        <w:trPr>
          <w:trHeight w:val="258"/>
        </w:trPr>
        <w:tc>
          <w:tcPr>
            <w:tcW w:w="240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4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color w:val="auto"/>
              </w:rPr>
              <w:t>Weighted average common share</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 diluted</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20.1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EPS</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14.99</w:t>
            </w: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(0.32)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220" w:type="dxa"/>
            <w:vAlign w:val="bottom"/>
            <w:shd w:val="clear" w:color="auto" w:fill="CCEEFF"/>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91"/>
              </w:rPr>
              <w:t>0.26</w:t>
            </w:r>
          </w:p>
        </w:tc>
        <w:tc>
          <w:tcPr>
            <w:tcW w:w="5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6"/>
              </w:rPr>
              <w:t>SG&amp;A as a % of gross profit</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64.2 %</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63.9 %</w:t>
            </w:r>
          </w:p>
        </w:tc>
        <w:tc>
          <w:tcPr>
            <w:tcW w:w="0" w:type="dxa"/>
            <w:vAlign w:val="bottom"/>
          </w:tcPr>
          <w:p>
            <w:pPr>
              <w:spacing w:after="0"/>
              <w:rPr>
                <w:sz w:val="1"/>
                <w:szCs w:val="1"/>
                <w:color w:val="auto"/>
              </w:rPr>
            </w:pPr>
          </w:p>
        </w:tc>
      </w:tr>
      <w:tr>
        <w:trPr>
          <w:trHeight w:val="192"/>
        </w:trPr>
        <w:tc>
          <w:tcPr>
            <w:tcW w:w="26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Income from operations as a % of revenue</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4.7 %</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SG&amp;A (Same Store)</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1,339.2</w:t>
            </w:r>
          </w:p>
        </w:tc>
        <w:tc>
          <w:tcPr>
            <w:tcW w:w="3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spacing w:after="0"/>
              <w:rPr>
                <w:sz w:val="16"/>
                <w:szCs w:val="16"/>
                <w:color w:val="auto"/>
              </w:rPr>
            </w:pPr>
          </w:p>
        </w:tc>
        <w:tc>
          <w:tcPr>
            <w:tcW w:w="8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(7.1)</w:t>
            </w:r>
          </w:p>
        </w:tc>
        <w:tc>
          <w:tcPr>
            <w:tcW w:w="56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1,332.2</w:t>
            </w:r>
          </w:p>
        </w:tc>
        <w:tc>
          <w:tcPr>
            <w:tcW w:w="0" w:type="dxa"/>
            <w:vAlign w:val="bottom"/>
          </w:tcPr>
          <w:p>
            <w:pPr>
              <w:spacing w:after="0"/>
              <w:rPr>
                <w:sz w:val="1"/>
                <w:szCs w:val="1"/>
                <w:color w:val="auto"/>
              </w:rPr>
            </w:pPr>
          </w:p>
        </w:tc>
      </w:tr>
      <w:tr>
        <w:trPr>
          <w:trHeight w:val="196"/>
        </w:trPr>
        <w:tc>
          <w:tcPr>
            <w:tcW w:w="2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SG&amp;A as a % of gross profit (Same Store)</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63.7 %</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Adjusted cash flow from operations:</w:t>
            </w:r>
          </w:p>
        </w:tc>
        <w:tc>
          <w:tcPr>
            <w:tcW w:w="58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623.3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427.0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Change in Floor Plan Notes Payable—Non-Trade, net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40" w:type="dxa"/>
            <w:vAlign w:val="bottom"/>
            <w:gridSpan w:val="2"/>
          </w:tcPr>
          <w:p>
            <w:pPr>
              <w:ind w:left="300"/>
              <w:spacing w:after="0" w:line="168" w:lineRule="exact"/>
              <w:rPr>
                <w:sz w:val="20"/>
                <w:szCs w:val="20"/>
                <w:color w:val="auto"/>
              </w:rPr>
            </w:pPr>
            <w:r>
              <w:rPr>
                <w:rFonts w:ascii="Times New Roman" w:cs="Times New Roman" w:eastAsia="Times New Roman" w:hAnsi="Times New Roman"/>
                <w:sz w:val="17"/>
                <w:szCs w:val="17"/>
                <w:color w:val="auto"/>
              </w:rPr>
              <w:t>Change in Floor Plan Notes Payable—Non-Trade associated with floor plan offset, used vehicle borrowing base</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changes adjusted for acquisition and divestitures</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175.9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Change in Floor Plan Notes Payable—Trade associated with floor plan offset, adjusted for acquisition and divestitures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Adjusted cash flow provided by operating activities</w:t>
            </w: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542.6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487.2</w:t>
            </w: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jc w:val="right"/>
              <w:ind w:right="2840"/>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856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2025-10-28T05:50:31Z</dcterms:created>
  <dcterms:modified xsi:type="dcterms:W3CDTF">2025-10-28T05:50:31Z</dcterms:modified>
</cp:coreProperties>
</file>