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620"/>
        <w:spacing w:after="0"/>
        <w:rPr>
          <w:sz w:val="20"/>
          <w:szCs w:val="20"/>
          <w:color w:val="auto"/>
        </w:rPr>
      </w:pPr>
      <w:r>
        <w:rPr>
          <w:rFonts w:ascii="Arial" w:cs="Arial" w:eastAsia="Arial" w:hAnsi="Arial"/>
          <w:sz w:val="25"/>
          <w:szCs w:val="25"/>
          <w:b w:val="1"/>
          <w:bCs w:val="1"/>
          <w:color w:val="auto"/>
        </w:rPr>
        <w:t>UNITED STATES</w:t>
      </w:r>
    </w:p>
    <w:p>
      <w:pPr>
        <w:ind w:left="2940"/>
        <w:spacing w:after="0" w:line="202" w:lineRule="auto"/>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080"/>
        <w:spacing w:after="0"/>
        <w:rPr>
          <w:sz w:val="20"/>
          <w:szCs w:val="20"/>
          <w:color w:val="auto"/>
        </w:rPr>
      </w:pPr>
      <w:r>
        <w:rPr>
          <w:rFonts w:ascii="Arial" w:cs="Arial" w:eastAsia="Arial" w:hAnsi="Arial"/>
          <w:sz w:val="25"/>
          <w:szCs w:val="25"/>
          <w:b w:val="1"/>
          <w:bCs w:val="1"/>
          <w:color w:val="auto"/>
        </w:rPr>
        <w:t>WASHINGTON, DC 20549</w:t>
      </w:r>
    </w:p>
    <w:p>
      <w:pPr>
        <w:spacing w:after="0" w:line="51" w:lineRule="exact"/>
        <w:rPr>
          <w:sz w:val="24"/>
          <w:szCs w:val="24"/>
          <w:color w:val="auto"/>
        </w:rPr>
      </w:pPr>
    </w:p>
    <w:p>
      <w:pPr>
        <w:jc w:val="center"/>
        <w:ind w:right="-1080"/>
        <w:spacing w:after="0"/>
        <w:rPr>
          <w:sz w:val="20"/>
          <w:szCs w:val="20"/>
          <w:color w:val="auto"/>
        </w:rPr>
      </w:pPr>
      <w:r>
        <w:rPr>
          <w:rFonts w:ascii="Arial" w:cs="Arial" w:eastAsia="Arial" w:hAnsi="Arial"/>
          <w:sz w:val="25"/>
          <w:szCs w:val="25"/>
          <w:b w:val="1"/>
          <w:bCs w:val="1"/>
          <w:color w:val="auto"/>
        </w:rPr>
        <w:t>SCHEDULE 14A</w:t>
      </w:r>
    </w:p>
    <w:p>
      <w:pPr>
        <w:spacing w:after="0" w:line="83" w:lineRule="exact"/>
        <w:rPr>
          <w:sz w:val="24"/>
          <w:szCs w:val="24"/>
          <w:color w:val="auto"/>
        </w:rPr>
      </w:pPr>
    </w:p>
    <w:p>
      <w:pPr>
        <w:jc w:val="center"/>
        <w:ind w:right="-1080"/>
        <w:spacing w:after="0"/>
        <w:rPr>
          <w:sz w:val="20"/>
          <w:szCs w:val="20"/>
          <w:color w:val="auto"/>
        </w:rPr>
      </w:pPr>
      <w:r>
        <w:rPr>
          <w:rFonts w:ascii="Arial" w:cs="Arial" w:eastAsia="Arial" w:hAnsi="Arial"/>
          <w:sz w:val="18"/>
          <w:szCs w:val="18"/>
          <w:b w:val="1"/>
          <w:bCs w:val="1"/>
          <w:color w:val="auto"/>
        </w:rPr>
        <w:t>Proxy Statement Pursuant to Section 14(a) of the</w:t>
      </w:r>
    </w:p>
    <w:p>
      <w:pPr>
        <w:jc w:val="center"/>
        <w:ind w:right="-1080"/>
        <w:spacing w:after="0" w:line="203" w:lineRule="auto"/>
        <w:rPr>
          <w:sz w:val="20"/>
          <w:szCs w:val="20"/>
          <w:color w:val="auto"/>
        </w:rPr>
      </w:pPr>
      <w:r>
        <w:rPr>
          <w:rFonts w:ascii="Arial" w:cs="Arial" w:eastAsia="Arial" w:hAnsi="Arial"/>
          <w:sz w:val="18"/>
          <w:szCs w:val="18"/>
          <w:b w:val="1"/>
          <w:bCs w:val="1"/>
          <w:color w:val="auto"/>
        </w:rPr>
        <w:t>Securities Exchange Act of 1934</w:t>
      </w:r>
    </w:p>
    <w:p>
      <w:pPr>
        <w:jc w:val="center"/>
        <w:ind w:right="-1080"/>
        <w:spacing w:after="0"/>
        <w:tabs>
          <w:tab w:leader="none" w:pos="240" w:val="left"/>
        </w:tabs>
        <w:rPr>
          <w:sz w:val="20"/>
          <w:szCs w:val="20"/>
          <w:color w:val="auto"/>
        </w:rPr>
      </w:pPr>
      <w:r>
        <w:rPr>
          <w:rFonts w:ascii="Arial" w:cs="Arial" w:eastAsia="Arial" w:hAnsi="Arial"/>
          <w:sz w:val="18"/>
          <w:szCs w:val="18"/>
          <w:b w:val="1"/>
          <w:bCs w:val="1"/>
          <w:color w:val="auto"/>
        </w:rPr>
        <w:t>(Amendment No.</w:t>
        <w:tab/>
        <w:t>)</w:t>
      </w:r>
    </w:p>
    <w:p>
      <w:pPr>
        <w:ind w:left="560" w:hanging="514"/>
        <w:spacing w:after="0" w:line="234" w:lineRule="auto"/>
        <w:tabs>
          <w:tab w:leader="none" w:pos="560" w:val="left"/>
        </w:tabs>
        <w:numPr>
          <w:ilvl w:val="0"/>
          <w:numId w:val="1"/>
        </w:numPr>
        <w:rPr>
          <w:rFonts w:ascii="MS PGothic" w:cs="MS PGothic" w:eastAsia="MS PGothic" w:hAnsi="MS PGothic"/>
          <w:sz w:val="36"/>
          <w:szCs w:val="36"/>
          <w:color w:val="auto"/>
          <w:vertAlign w:val="superscript"/>
        </w:rPr>
      </w:pPr>
      <w:r>
        <w:rPr>
          <w:rFonts w:ascii="Arial" w:cs="Arial" w:eastAsia="Arial" w:hAnsi="Arial"/>
          <w:sz w:val="18"/>
          <w:szCs w:val="18"/>
          <w:color w:val="auto"/>
        </w:rPr>
        <w:t>Filed by the Registrant</w:t>
      </w:r>
    </w:p>
    <w:p>
      <w:pPr>
        <w:spacing w:after="0" w:line="59" w:lineRule="exact"/>
        <w:rPr>
          <w:sz w:val="24"/>
          <w:szCs w:val="24"/>
          <w:color w:val="auto"/>
        </w:rPr>
      </w:pPr>
    </w:p>
    <w:p>
      <w:pPr>
        <w:ind w:left="560" w:hanging="514"/>
        <w:spacing w:after="0"/>
        <w:tabs>
          <w:tab w:leader="none" w:pos="560" w:val="left"/>
        </w:tabs>
        <w:numPr>
          <w:ilvl w:val="0"/>
          <w:numId w:val="2"/>
        </w:numPr>
        <w:rPr>
          <w:rFonts w:ascii="MS PGothic" w:cs="MS PGothic" w:eastAsia="MS PGothic" w:hAnsi="MS PGothic"/>
          <w:sz w:val="36"/>
          <w:szCs w:val="36"/>
          <w:color w:val="auto"/>
          <w:vertAlign w:val="superscript"/>
        </w:rPr>
      </w:pPr>
      <w:r>
        <w:rPr>
          <w:rFonts w:ascii="Arial" w:cs="Arial" w:eastAsia="Arial" w:hAnsi="Arial"/>
          <w:sz w:val="18"/>
          <w:szCs w:val="18"/>
          <w:color w:val="auto"/>
        </w:rPr>
        <w:t>Filed by a Party other than the Registrant</w:t>
      </w:r>
    </w:p>
    <w:p>
      <w:pPr>
        <w:spacing w:after="0" w:line="103"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ind w:left="560" w:hanging="514"/>
        <w:spacing w:after="0" w:line="198" w:lineRule="auto"/>
        <w:tabs>
          <w:tab w:leader="none" w:pos="560" w:val="left"/>
        </w:tabs>
        <w:numPr>
          <w:ilvl w:val="0"/>
          <w:numId w:val="3"/>
        </w:numPr>
        <w:rPr>
          <w:rFonts w:ascii="MS PGothic" w:cs="MS PGothic" w:eastAsia="MS PGothic" w:hAnsi="MS PGothic"/>
          <w:sz w:val="36"/>
          <w:szCs w:val="36"/>
          <w:color w:val="auto"/>
          <w:vertAlign w:val="superscript"/>
        </w:rPr>
      </w:pPr>
      <w:r>
        <w:rPr>
          <w:rFonts w:ascii="Arial" w:cs="Arial" w:eastAsia="Arial" w:hAnsi="Arial"/>
          <w:sz w:val="18"/>
          <w:szCs w:val="18"/>
          <w:color w:val="auto"/>
        </w:rPr>
        <w:t>Preliminary Proxy Statement</w:t>
      </w:r>
    </w:p>
    <w:p>
      <w:pPr>
        <w:spacing w:after="0" w:line="117" w:lineRule="exact"/>
        <w:rPr>
          <w:rFonts w:ascii="MS PGothic" w:cs="MS PGothic" w:eastAsia="MS PGothic" w:hAnsi="MS PGothic"/>
          <w:sz w:val="36"/>
          <w:szCs w:val="36"/>
          <w:color w:val="auto"/>
          <w:vertAlign w:val="superscript"/>
        </w:rPr>
      </w:pPr>
    </w:p>
    <w:p>
      <w:pPr>
        <w:ind w:left="560" w:hanging="514"/>
        <w:spacing w:after="0" w:line="183" w:lineRule="auto"/>
        <w:tabs>
          <w:tab w:leader="none" w:pos="560" w:val="left"/>
        </w:tabs>
        <w:numPr>
          <w:ilvl w:val="0"/>
          <w:numId w:val="3"/>
        </w:numPr>
        <w:rPr>
          <w:rFonts w:ascii="MS PGothic" w:cs="MS PGothic" w:eastAsia="MS PGothic" w:hAnsi="MS PGothic"/>
          <w:sz w:val="30"/>
          <w:szCs w:val="30"/>
          <w:color w:val="auto"/>
          <w:vertAlign w:val="superscript"/>
        </w:rPr>
      </w:pPr>
      <w:r>
        <w:rPr>
          <w:rFonts w:ascii="Arial" w:cs="Arial" w:eastAsia="Arial" w:hAnsi="Arial"/>
          <w:sz w:val="16"/>
          <w:szCs w:val="16"/>
          <w:b w:val="1"/>
          <w:bCs w:val="1"/>
          <w:color w:val="auto"/>
        </w:rPr>
        <w:t>Confidential, for Use of the Commission Only (as permitted by Rule 14a-6(e)(2))</w:t>
      </w:r>
    </w:p>
    <w:p>
      <w:pPr>
        <w:ind w:left="560" w:hanging="514"/>
        <w:spacing w:after="0" w:line="219" w:lineRule="auto"/>
        <w:tabs>
          <w:tab w:leader="none" w:pos="560" w:val="left"/>
        </w:tabs>
        <w:numPr>
          <w:ilvl w:val="0"/>
          <w:numId w:val="4"/>
        </w:numPr>
        <w:rPr>
          <w:rFonts w:ascii="MS PGothic" w:cs="MS PGothic" w:eastAsia="MS PGothic" w:hAnsi="MS PGothic"/>
          <w:sz w:val="36"/>
          <w:szCs w:val="36"/>
          <w:color w:val="auto"/>
          <w:vertAlign w:val="superscript"/>
        </w:rPr>
      </w:pPr>
      <w:r>
        <w:rPr>
          <w:rFonts w:ascii="Arial" w:cs="Arial" w:eastAsia="Arial" w:hAnsi="Arial"/>
          <w:sz w:val="18"/>
          <w:szCs w:val="18"/>
          <w:color w:val="auto"/>
        </w:rPr>
        <w:t>Definitive Proxy Statement</w:t>
      </w:r>
    </w:p>
    <w:p>
      <w:pPr>
        <w:ind w:left="560" w:hanging="514"/>
        <w:spacing w:after="0" w:line="225" w:lineRule="auto"/>
        <w:tabs>
          <w:tab w:leader="none" w:pos="560" w:val="left"/>
        </w:tabs>
        <w:numPr>
          <w:ilvl w:val="0"/>
          <w:numId w:val="5"/>
        </w:numPr>
        <w:rPr>
          <w:rFonts w:ascii="MS PGothic" w:cs="MS PGothic" w:eastAsia="MS PGothic" w:hAnsi="MS PGothic"/>
          <w:sz w:val="36"/>
          <w:szCs w:val="36"/>
          <w:color w:val="auto"/>
          <w:vertAlign w:val="superscript"/>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36"/>
          <w:szCs w:val="36"/>
          <w:color w:val="auto"/>
          <w:vertAlign w:val="superscript"/>
        </w:rPr>
      </w:pPr>
    </w:p>
    <w:p>
      <w:pPr>
        <w:ind w:left="560" w:hanging="514"/>
        <w:spacing w:after="0" w:line="189" w:lineRule="auto"/>
        <w:tabs>
          <w:tab w:leader="none" w:pos="560" w:val="left"/>
        </w:tabs>
        <w:numPr>
          <w:ilvl w:val="0"/>
          <w:numId w:val="5"/>
        </w:numPr>
        <w:rPr>
          <w:rFonts w:ascii="MS PGothic" w:cs="MS PGothic" w:eastAsia="MS PGothic" w:hAnsi="MS PGothic"/>
          <w:sz w:val="28"/>
          <w:szCs w:val="28"/>
          <w:color w:val="auto"/>
          <w:vertAlign w:val="superscript"/>
        </w:rPr>
      </w:pPr>
      <w:r>
        <w:rPr>
          <w:rFonts w:ascii="Arial" w:cs="Arial" w:eastAsia="Arial" w:hAnsi="Arial"/>
          <w:sz w:val="15"/>
          <w:szCs w:val="15"/>
          <w:color w:val="auto"/>
        </w:rPr>
        <w:t>Soliciting Material Pursuant to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2872740</wp:posOffset>
            </wp:positionH>
            <wp:positionV relativeFrom="paragraph">
              <wp:posOffset>306070</wp:posOffset>
            </wp:positionV>
            <wp:extent cx="1380490" cy="3943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80490" cy="3943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5" w:lineRule="exact"/>
        <w:rPr>
          <w:sz w:val="24"/>
          <w:szCs w:val="24"/>
          <w:color w:val="auto"/>
        </w:rPr>
      </w:pPr>
    </w:p>
    <w:p>
      <w:pPr>
        <w:jc w:val="center"/>
        <w:ind w:right="-1080"/>
        <w:spacing w:after="0"/>
        <w:rPr>
          <w:sz w:val="20"/>
          <w:szCs w:val="20"/>
          <w:color w:val="auto"/>
        </w:rPr>
      </w:pPr>
      <w:r>
        <w:rPr>
          <w:rFonts w:ascii="Arial" w:cs="Arial" w:eastAsia="Arial" w:hAnsi="Arial"/>
          <w:sz w:val="36"/>
          <w:szCs w:val="36"/>
          <w:b w:val="1"/>
          <w:bCs w:val="1"/>
          <w:color w:val="auto"/>
        </w:rPr>
        <w:t>Asbury Automotive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26670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8" w:lineRule="exact"/>
        <w:rPr>
          <w:sz w:val="24"/>
          <w:szCs w:val="24"/>
          <w:color w:val="auto"/>
        </w:rPr>
      </w:pPr>
    </w:p>
    <w:p>
      <w:pPr>
        <w:ind w:left="3700"/>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8" w:lineRule="exact"/>
        <w:rPr>
          <w:sz w:val="24"/>
          <w:szCs w:val="24"/>
          <w:color w:val="auto"/>
        </w:rPr>
      </w:pPr>
    </w:p>
    <w:p>
      <w:pPr>
        <w:ind w:left="274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32" w:lineRule="exact"/>
        <w:rPr>
          <w:sz w:val="24"/>
          <w:szCs w:val="24"/>
          <w:color w:val="auto"/>
        </w:rPr>
      </w:pPr>
    </w:p>
    <w:p>
      <w:pPr>
        <w:ind w:left="560" w:hanging="554"/>
        <w:spacing w:after="0"/>
        <w:tabs>
          <w:tab w:leader="none" w:pos="560"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7" w:lineRule="exact"/>
        <w:rPr>
          <w:sz w:val="24"/>
          <w:szCs w:val="24"/>
          <w:color w:val="auto"/>
        </w:rPr>
      </w:pPr>
    </w:p>
    <w:p>
      <w:pPr>
        <w:ind w:left="560" w:hanging="554"/>
        <w:spacing w:after="0"/>
        <w:tabs>
          <w:tab w:leader="none" w:pos="560" w:val="left"/>
        </w:tabs>
        <w:numPr>
          <w:ilvl w:val="0"/>
          <w:numId w:val="7"/>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42" w:lineRule="exact"/>
        <w:rPr>
          <w:rFonts w:ascii="MS PGothic" w:cs="MS PGothic" w:eastAsia="MS PGothic" w:hAnsi="MS PGothic"/>
          <w:sz w:val="18"/>
          <w:szCs w:val="18"/>
          <w:color w:val="auto"/>
        </w:rPr>
      </w:pPr>
    </w:p>
    <w:p>
      <w:pPr>
        <w:ind w:left="560" w:hanging="554"/>
        <w:spacing w:after="0"/>
        <w:tabs>
          <w:tab w:leader="none" w:pos="560" w:val="left"/>
        </w:tabs>
        <w:numPr>
          <w:ilvl w:val="0"/>
          <w:numId w:val="7"/>
        </w:numPr>
        <w:rPr>
          <w:rFonts w:ascii="MS PGothic" w:cs="MS PGothic" w:eastAsia="MS PGothic" w:hAnsi="MS PGothic"/>
          <w:sz w:val="17"/>
          <w:szCs w:val="17"/>
          <w:color w:val="auto"/>
        </w:rPr>
      </w:pPr>
      <w:r>
        <w:rPr>
          <w:rFonts w:ascii="Arial" w:cs="Arial" w:eastAsia="Arial" w:hAnsi="Arial"/>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wp:posOffset>
            </wp:positionH>
            <wp:positionV relativeFrom="paragraph">
              <wp:posOffset>1722755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947" w:right="1440" w:bottom="1440" w:gutter="0" w:footer="0" w:header="0"/>
        </w:sectPr>
      </w:pPr>
    </w:p>
    <w:bookmarkStart w:id="1" w:name="page2"/>
    <w:bookmarkEnd w:id="1"/>
    <w:p>
      <w:pPr>
        <w:spacing w:after="0" w:line="2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1380490" cy="411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380490" cy="41148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Asbury Automotive Group, Inc.</w:t>
      </w:r>
    </w:p>
    <w:p>
      <w:pPr>
        <w:spacing w:after="0" w:line="203" w:lineRule="auto"/>
        <w:rPr>
          <w:sz w:val="20"/>
          <w:szCs w:val="20"/>
          <w:color w:val="auto"/>
        </w:rPr>
      </w:pPr>
      <w:r>
        <w:rPr>
          <w:rFonts w:ascii="Arial" w:cs="Arial" w:eastAsia="Arial" w:hAnsi="Arial"/>
          <w:sz w:val="18"/>
          <w:szCs w:val="18"/>
          <w:b w:val="1"/>
          <w:bCs w:val="1"/>
          <w:color w:val="auto"/>
        </w:rPr>
        <w:t>2905 Premiere Parkway NW, Suite 300</w:t>
      </w:r>
    </w:p>
    <w:p>
      <w:pPr>
        <w:spacing w:after="0" w:line="235" w:lineRule="auto"/>
        <w:rPr>
          <w:sz w:val="20"/>
          <w:szCs w:val="20"/>
          <w:color w:val="auto"/>
        </w:rPr>
      </w:pPr>
      <w:r>
        <w:rPr>
          <w:rFonts w:ascii="Arial" w:cs="Arial" w:eastAsia="Arial" w:hAnsi="Arial"/>
          <w:sz w:val="18"/>
          <w:szCs w:val="18"/>
          <w:b w:val="1"/>
          <w:bCs w:val="1"/>
          <w:color w:val="auto"/>
        </w:rPr>
        <w:t>Duluth, Georgia 30097</w:t>
      </w:r>
    </w:p>
    <w:p>
      <w:pPr>
        <w:spacing w:after="0"/>
        <w:rPr>
          <w:sz w:val="20"/>
          <w:szCs w:val="20"/>
          <w:color w:val="auto"/>
        </w:rPr>
      </w:pPr>
      <w:r>
        <w:rPr>
          <w:rFonts w:ascii="Arial" w:cs="Arial" w:eastAsia="Arial" w:hAnsi="Arial"/>
          <w:sz w:val="18"/>
          <w:szCs w:val="18"/>
          <w:b w:val="1"/>
          <w:bCs w:val="1"/>
          <w:color w:val="auto"/>
        </w:rPr>
        <w:t>(770) 418-8200</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April 2, 2025</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Stockholders,</w:t>
      </w:r>
    </w:p>
    <w:p>
      <w:pPr>
        <w:spacing w:after="0" w:line="117"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On behalf of the Board of Directors and management of Asbury Automotive Group, Inc., we cordially invite you to attend our 2025 Annual Meeting of Stockholders.</w:t>
      </w:r>
    </w:p>
    <w:p>
      <w:pPr>
        <w:spacing w:after="0" w:line="4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you know, an important aspect of the annual meeting process is the vote by stockholders on corporate business. The matters to be voted on are described in the notice of meeting and the proxy statement. We value your vote and urge you to exercise your rights as a stockholder to vote. Whether or not you plan to attend the meeting, please read the enclosed proxy statement and complete, sign and date the enclosed proxy card and return it as promptly as possible in the accompanying postage paid envelope or vote by telephone or the Internet. This will ensure that your shares are represented at the meeting.</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1019810" cy="5575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1981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David W. Hult</w:t>
      </w:r>
    </w:p>
    <w:p>
      <w:pPr>
        <w:spacing w:after="0"/>
        <w:rPr>
          <w:sz w:val="20"/>
          <w:szCs w:val="20"/>
          <w:color w:val="auto"/>
        </w:rPr>
      </w:pPr>
      <w:r>
        <w:rPr>
          <w:rFonts w:ascii="Arial" w:cs="Arial" w:eastAsia="Arial" w:hAnsi="Arial"/>
          <w:sz w:val="18"/>
          <w:szCs w:val="18"/>
          <w:color w:val="auto"/>
        </w:rPr>
        <w:t>President, Chief Executive Officer and Director</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YOUR VOTE IS IMPORTANT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1376680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2" w:name="page3"/>
    <w:bookmarkEnd w:id="2"/>
    <w:p>
      <w:pPr>
        <w:spacing w:after="0" w:line="15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1380490" cy="4114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380490" cy="41148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Asbury Automotive Group, Inc.</w:t>
      </w:r>
    </w:p>
    <w:p>
      <w:pPr>
        <w:spacing w:after="0" w:line="203" w:lineRule="auto"/>
        <w:rPr>
          <w:sz w:val="20"/>
          <w:szCs w:val="20"/>
          <w:color w:val="auto"/>
        </w:rPr>
      </w:pPr>
      <w:r>
        <w:rPr>
          <w:rFonts w:ascii="Arial" w:cs="Arial" w:eastAsia="Arial" w:hAnsi="Arial"/>
          <w:sz w:val="18"/>
          <w:szCs w:val="18"/>
          <w:b w:val="1"/>
          <w:bCs w:val="1"/>
          <w:color w:val="auto"/>
        </w:rPr>
        <w:t>2905 Premiere Parkway NW, Suite 300</w:t>
      </w:r>
    </w:p>
    <w:p>
      <w:pPr>
        <w:spacing w:after="0"/>
        <w:rPr>
          <w:sz w:val="20"/>
          <w:szCs w:val="20"/>
          <w:color w:val="auto"/>
        </w:rPr>
      </w:pPr>
      <w:r>
        <w:rPr>
          <w:rFonts w:ascii="Arial" w:cs="Arial" w:eastAsia="Arial" w:hAnsi="Arial"/>
          <w:sz w:val="18"/>
          <w:szCs w:val="18"/>
          <w:b w:val="1"/>
          <w:bCs w:val="1"/>
          <w:color w:val="auto"/>
        </w:rPr>
        <w:t>Duluth, Georgia 30097</w:t>
      </w:r>
    </w:p>
    <w:p>
      <w:pPr>
        <w:spacing w:after="0" w:line="207" w:lineRule="exact"/>
        <w:rPr>
          <w:sz w:val="20"/>
          <w:szCs w:val="20"/>
          <w:color w:val="auto"/>
        </w:rPr>
      </w:pPr>
    </w:p>
    <w:p>
      <w:pPr>
        <w:jc w:val="center"/>
        <w:spacing w:after="0" w:line="272" w:lineRule="auto"/>
        <w:rPr>
          <w:sz w:val="20"/>
          <w:szCs w:val="20"/>
          <w:color w:val="auto"/>
        </w:rPr>
      </w:pPr>
      <w:r>
        <w:rPr>
          <w:rFonts w:ascii="Arial" w:cs="Arial" w:eastAsia="Arial" w:hAnsi="Arial"/>
          <w:sz w:val="18"/>
          <w:szCs w:val="18"/>
          <w:b w:val="1"/>
          <w:bCs w:val="1"/>
          <w:color w:val="auto"/>
        </w:rPr>
        <w:t>NOTICE OF THE 2025 ANNUAL MEETING OF STOCKHOLDERS AND IMPORTANT NOTICE REGARDING THE AVAILABILITY OF PROXY MATERIALS FOR THE ANNUAL MEETING OF STOCKHOLDERS TO BE HELD ON</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MAY 13, 2025</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To Our Stockholders:</w:t>
      </w:r>
    </w:p>
    <w:p>
      <w:pPr>
        <w:spacing w:after="0" w:line="144"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The 2025 Annual Meeting of Stockholders of Asbury Automotive Group, Inc. (the “2025 Annual Meeting”) will be held at our corporate headquarters located at 2905 Premiere Parkway NW, Duluth, Georgia 30097 on May 13, 2025, at 8:00 a.m., Eastern Time, for the purpose of considering and acting upon the following proposals:</w:t>
      </w:r>
    </w:p>
    <w:p>
      <w:pPr>
        <w:ind w:left="2020" w:right="860" w:hanging="1254"/>
        <w:spacing w:after="0" w:line="248" w:lineRule="auto"/>
        <w:tabs>
          <w:tab w:leader="none" w:pos="2000" w:val="left"/>
        </w:tabs>
        <w:rPr>
          <w:sz w:val="20"/>
          <w:szCs w:val="20"/>
          <w:color w:val="auto"/>
        </w:rPr>
      </w:pPr>
      <w:r>
        <w:rPr>
          <w:rFonts w:ascii="Arial" w:cs="Arial" w:eastAsia="Arial" w:hAnsi="Arial"/>
          <w:sz w:val="18"/>
          <w:szCs w:val="18"/>
          <w:b w:val="1"/>
          <w:bCs w:val="1"/>
          <w:color w:val="auto"/>
        </w:rPr>
        <w:t>Proposal 1:</w:t>
      </w:r>
      <w:r>
        <w:rPr>
          <w:sz w:val="20"/>
          <w:szCs w:val="20"/>
          <w:color w:val="auto"/>
        </w:rPr>
        <w:tab/>
      </w:r>
      <w:r>
        <w:rPr>
          <w:rFonts w:ascii="Arial" w:cs="Arial" w:eastAsia="Arial" w:hAnsi="Arial"/>
          <w:sz w:val="18"/>
          <w:szCs w:val="18"/>
          <w:color w:val="auto"/>
        </w:rPr>
        <w:t>election of ten director nominees to hold office until the 2026 Annual Meeting of Stockholders or until their successors are duly elected and qualified;</w:t>
      </w:r>
    </w:p>
    <w:p>
      <w:pPr>
        <w:ind w:left="760"/>
        <w:spacing w:after="0"/>
        <w:tabs>
          <w:tab w:leader="none" w:pos="2000" w:val="left"/>
        </w:tabs>
        <w:rPr>
          <w:sz w:val="20"/>
          <w:szCs w:val="20"/>
          <w:color w:val="auto"/>
        </w:rPr>
      </w:pPr>
      <w:r>
        <w:rPr>
          <w:rFonts w:ascii="Arial" w:cs="Arial" w:eastAsia="Arial" w:hAnsi="Arial"/>
          <w:sz w:val="18"/>
          <w:szCs w:val="18"/>
          <w:b w:val="1"/>
          <w:bCs w:val="1"/>
          <w:color w:val="auto"/>
        </w:rPr>
        <w:t>Proposal 2:</w:t>
      </w:r>
      <w:r>
        <w:rPr>
          <w:sz w:val="20"/>
          <w:szCs w:val="20"/>
          <w:color w:val="auto"/>
        </w:rPr>
        <w:tab/>
      </w:r>
      <w:r>
        <w:rPr>
          <w:rFonts w:ascii="Arial" w:cs="Arial" w:eastAsia="Arial" w:hAnsi="Arial"/>
          <w:sz w:val="17"/>
          <w:szCs w:val="17"/>
          <w:color w:val="auto"/>
        </w:rPr>
        <w:t>approval, on an advisory basis, of the compensation of our named executive officers;</w:t>
      </w:r>
    </w:p>
    <w:p>
      <w:pPr>
        <w:spacing w:after="0" w:line="31" w:lineRule="exact"/>
        <w:rPr>
          <w:sz w:val="20"/>
          <w:szCs w:val="20"/>
          <w:color w:val="auto"/>
        </w:rPr>
      </w:pPr>
    </w:p>
    <w:p>
      <w:pPr>
        <w:ind w:left="2020" w:right="320" w:hanging="1254"/>
        <w:spacing w:after="0" w:line="237" w:lineRule="auto"/>
        <w:tabs>
          <w:tab w:leader="none" w:pos="2000" w:val="left"/>
        </w:tabs>
        <w:rPr>
          <w:sz w:val="20"/>
          <w:szCs w:val="20"/>
          <w:color w:val="auto"/>
        </w:rPr>
      </w:pPr>
      <w:r>
        <w:rPr>
          <w:rFonts w:ascii="Arial" w:cs="Arial" w:eastAsia="Arial" w:hAnsi="Arial"/>
          <w:sz w:val="18"/>
          <w:szCs w:val="18"/>
          <w:b w:val="1"/>
          <w:bCs w:val="1"/>
          <w:color w:val="auto"/>
        </w:rPr>
        <w:t>Proposal 3:</w:t>
      </w:r>
      <w:r>
        <w:rPr>
          <w:sz w:val="20"/>
          <w:szCs w:val="20"/>
          <w:color w:val="auto"/>
        </w:rPr>
        <w:tab/>
      </w:r>
      <w:r>
        <w:rPr>
          <w:rFonts w:ascii="Arial" w:cs="Arial" w:eastAsia="Arial" w:hAnsi="Arial"/>
          <w:sz w:val="18"/>
          <w:szCs w:val="18"/>
          <w:color w:val="auto"/>
        </w:rPr>
        <w:t>ratification of the appointment of Ernst &amp; Young LLP as our independent registered public accounting firm for the year ending December 31, 2025;</w:t>
      </w:r>
    </w:p>
    <w:p>
      <w:pPr>
        <w:spacing w:after="0" w:line="2" w:lineRule="exact"/>
        <w:rPr>
          <w:sz w:val="20"/>
          <w:szCs w:val="20"/>
          <w:color w:val="auto"/>
        </w:rPr>
      </w:pPr>
    </w:p>
    <w:p>
      <w:pPr>
        <w:ind w:left="760"/>
        <w:spacing w:after="0"/>
        <w:tabs>
          <w:tab w:leader="none" w:pos="2000" w:val="left"/>
        </w:tabs>
        <w:rPr>
          <w:sz w:val="20"/>
          <w:szCs w:val="20"/>
          <w:color w:val="auto"/>
        </w:rPr>
      </w:pPr>
      <w:r>
        <w:rPr>
          <w:rFonts w:ascii="Arial" w:cs="Arial" w:eastAsia="Arial" w:hAnsi="Arial"/>
          <w:sz w:val="18"/>
          <w:szCs w:val="18"/>
          <w:b w:val="1"/>
          <w:bCs w:val="1"/>
          <w:color w:val="auto"/>
        </w:rPr>
        <w:t>Proposal 4:</w:t>
      </w:r>
      <w:r>
        <w:rPr>
          <w:sz w:val="20"/>
          <w:szCs w:val="20"/>
          <w:color w:val="auto"/>
        </w:rPr>
        <w:tab/>
      </w:r>
      <w:r>
        <w:rPr>
          <w:rFonts w:ascii="Arial" w:cs="Arial" w:eastAsia="Arial" w:hAnsi="Arial"/>
          <w:sz w:val="17"/>
          <w:szCs w:val="17"/>
          <w:color w:val="auto"/>
        </w:rPr>
        <w:t>stockholder proposal regarding simple majority vote; and</w:t>
      </w:r>
    </w:p>
    <w:p>
      <w:pPr>
        <w:spacing w:after="0" w:line="31" w:lineRule="exact"/>
        <w:rPr>
          <w:sz w:val="20"/>
          <w:szCs w:val="20"/>
          <w:color w:val="auto"/>
        </w:rPr>
      </w:pPr>
    </w:p>
    <w:p>
      <w:pPr>
        <w:ind w:left="2020" w:right="100" w:hanging="1254"/>
        <w:spacing w:after="0" w:line="237" w:lineRule="auto"/>
        <w:tabs>
          <w:tab w:leader="none" w:pos="2000" w:val="left"/>
        </w:tabs>
        <w:rPr>
          <w:sz w:val="20"/>
          <w:szCs w:val="20"/>
          <w:color w:val="auto"/>
        </w:rPr>
      </w:pPr>
      <w:r>
        <w:rPr>
          <w:rFonts w:ascii="Arial" w:cs="Arial" w:eastAsia="Arial" w:hAnsi="Arial"/>
          <w:sz w:val="18"/>
          <w:szCs w:val="18"/>
          <w:b w:val="1"/>
          <w:bCs w:val="1"/>
          <w:color w:val="auto"/>
        </w:rPr>
        <w:t>Proposal 5:</w:t>
      </w:r>
      <w:r>
        <w:rPr>
          <w:sz w:val="20"/>
          <w:szCs w:val="20"/>
          <w:color w:val="auto"/>
        </w:rPr>
        <w:tab/>
      </w:r>
      <w:r>
        <w:rPr>
          <w:rFonts w:ascii="Arial" w:cs="Arial" w:eastAsia="Arial" w:hAnsi="Arial"/>
          <w:sz w:val="18"/>
          <w:szCs w:val="18"/>
          <w:color w:val="auto"/>
        </w:rPr>
        <w:t>any other matters that may properly come before the 2025 Annual Meeting or any adjournments or postponements of the 2025 Annual Meeting.</w:t>
      </w:r>
    </w:p>
    <w:p>
      <w:pPr>
        <w:spacing w:after="0" w:line="181"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Only stockholders of record, as of 5:00 p.m., Eastern Time, on March 26, 2025 are entitled to notice of, to attend, and to vote at, the 2025 Annual Meeting and any adjournments or postponements of the 2025 Annual Meeting. A list of these stockholders will be available for inspection by stockholders during normal business hours during the ten day period immediately prior to the 2025 Annual Meeting at our corporate headquarters located at 2905 Premiere Parkway NW, Suite 300, Duluth, Georgia 30097.</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Your vote is important. Please vote as promptly as possible using any of the following methods:</w:t>
      </w:r>
    </w:p>
    <w:p>
      <w:pPr>
        <w:spacing w:after="0" w:line="50" w:lineRule="exact"/>
        <w:rPr>
          <w:sz w:val="20"/>
          <w:szCs w:val="20"/>
          <w:color w:val="auto"/>
        </w:rPr>
      </w:pPr>
    </w:p>
    <w:p>
      <w:pPr>
        <w:ind w:left="1920" w:right="380" w:hanging="1159"/>
        <w:spacing w:after="0"/>
        <w:tabs>
          <w:tab w:leader="none" w:pos="1900" w:val="left"/>
        </w:tabs>
        <w:rPr>
          <w:sz w:val="20"/>
          <w:szCs w:val="20"/>
          <w:color w:val="auto"/>
        </w:rPr>
      </w:pPr>
      <w:r>
        <w:rPr>
          <w:rFonts w:ascii="Arial" w:cs="Arial" w:eastAsia="Arial" w:hAnsi="Arial"/>
          <w:sz w:val="18"/>
          <w:szCs w:val="18"/>
          <w:b w:val="1"/>
          <w:bCs w:val="1"/>
          <w:color w:val="auto"/>
        </w:rPr>
        <w:t>Internet:</w:t>
      </w:r>
      <w:r>
        <w:rPr>
          <w:sz w:val="20"/>
          <w:szCs w:val="20"/>
          <w:color w:val="auto"/>
        </w:rPr>
        <w:tab/>
      </w:r>
      <w:r>
        <w:rPr>
          <w:rFonts w:ascii="Arial" w:cs="Arial" w:eastAsia="Arial" w:hAnsi="Arial"/>
          <w:sz w:val="18"/>
          <w:szCs w:val="18"/>
          <w:color w:val="auto"/>
        </w:rPr>
        <w:t xml:space="preserve">Visit </w:t>
      </w:r>
      <w:r>
        <w:rPr>
          <w:rFonts w:ascii="Arial" w:cs="Arial" w:eastAsia="Arial" w:hAnsi="Arial"/>
          <w:sz w:val="18"/>
          <w:szCs w:val="18"/>
          <w:i w:val="1"/>
          <w:iCs w:val="1"/>
          <w:u w:val="single" w:color="auto"/>
          <w:color w:val="auto"/>
        </w:rPr>
        <w:t>www.ProxyVote.com</w:t>
      </w:r>
      <w:r>
        <w:rPr>
          <w:rFonts w:ascii="Arial" w:cs="Arial" w:eastAsia="Arial" w:hAnsi="Arial"/>
          <w:sz w:val="18"/>
          <w:szCs w:val="18"/>
          <w:color w:val="auto"/>
        </w:rPr>
        <w:t>. You will need the control number included in your proxy card, voter instruction form or notice.</w:t>
      </w:r>
    </w:p>
    <w:p>
      <w:pPr>
        <w:spacing w:after="0" w:line="5" w:lineRule="exact"/>
        <w:rPr>
          <w:sz w:val="20"/>
          <w:szCs w:val="20"/>
          <w:color w:val="auto"/>
        </w:rPr>
      </w:pPr>
    </w:p>
    <w:p>
      <w:pPr>
        <w:ind w:left="1920" w:right="100" w:hanging="1159"/>
        <w:spacing w:after="0"/>
        <w:tabs>
          <w:tab w:leader="none" w:pos="1900" w:val="left"/>
        </w:tabs>
        <w:rPr>
          <w:sz w:val="20"/>
          <w:szCs w:val="20"/>
          <w:color w:val="auto"/>
        </w:rPr>
      </w:pPr>
      <w:r>
        <w:rPr>
          <w:rFonts w:ascii="Arial" w:cs="Arial" w:eastAsia="Arial" w:hAnsi="Arial"/>
          <w:sz w:val="18"/>
          <w:szCs w:val="18"/>
          <w:b w:val="1"/>
          <w:bCs w:val="1"/>
          <w:color w:val="auto"/>
        </w:rPr>
        <w:t>Phone:</w:t>
      </w:r>
      <w:r>
        <w:rPr>
          <w:sz w:val="20"/>
          <w:szCs w:val="20"/>
          <w:color w:val="auto"/>
        </w:rPr>
        <w:tab/>
      </w:r>
      <w:r>
        <w:rPr>
          <w:rFonts w:ascii="Arial" w:cs="Arial" w:eastAsia="Arial" w:hAnsi="Arial"/>
          <w:sz w:val="18"/>
          <w:szCs w:val="18"/>
          <w:color w:val="auto"/>
        </w:rPr>
        <w:t>Call 1-800-690-6903 or the number on your voter instruction form. You will need the control number included in your proxy card, voter instruction form or notice.</w:t>
      </w:r>
    </w:p>
    <w:p>
      <w:pPr>
        <w:spacing w:after="0" w:line="5" w:lineRule="exact"/>
        <w:rPr>
          <w:sz w:val="20"/>
          <w:szCs w:val="20"/>
          <w:color w:val="auto"/>
        </w:rPr>
      </w:pPr>
    </w:p>
    <w:p>
      <w:pPr>
        <w:ind w:left="1920" w:right="460" w:hanging="1159"/>
        <w:spacing w:after="0"/>
        <w:tabs>
          <w:tab w:leader="none" w:pos="1900" w:val="left"/>
        </w:tabs>
        <w:rPr>
          <w:sz w:val="20"/>
          <w:szCs w:val="20"/>
          <w:color w:val="auto"/>
        </w:rPr>
      </w:pPr>
      <w:r>
        <w:rPr>
          <w:rFonts w:ascii="Arial" w:cs="Arial" w:eastAsia="Arial" w:hAnsi="Arial"/>
          <w:sz w:val="18"/>
          <w:szCs w:val="18"/>
          <w:b w:val="1"/>
          <w:bCs w:val="1"/>
          <w:color w:val="auto"/>
        </w:rPr>
        <w:t>Mail:</w:t>
      </w:r>
      <w:r>
        <w:rPr>
          <w:sz w:val="20"/>
          <w:szCs w:val="20"/>
          <w:color w:val="auto"/>
        </w:rPr>
        <w:tab/>
      </w:r>
      <w:r>
        <w:rPr>
          <w:rFonts w:ascii="Arial" w:cs="Arial" w:eastAsia="Arial" w:hAnsi="Arial"/>
          <w:sz w:val="18"/>
          <w:szCs w:val="18"/>
          <w:color w:val="auto"/>
        </w:rPr>
        <w:t>Send your completed and signed proxy card or voter instruction form to the address on your proxy card or voter instruction form.</w:t>
      </w:r>
    </w:p>
    <w:p>
      <w:pPr>
        <w:spacing w:after="0" w:line="5" w:lineRule="exact"/>
        <w:rPr>
          <w:sz w:val="20"/>
          <w:szCs w:val="20"/>
          <w:color w:val="auto"/>
        </w:rPr>
      </w:pPr>
    </w:p>
    <w:p>
      <w:pPr>
        <w:ind w:left="1920" w:right="20" w:hanging="1173"/>
        <w:spacing w:after="0" w:line="221" w:lineRule="auto"/>
        <w:tabs>
          <w:tab w:leader="none" w:pos="1900" w:val="left"/>
        </w:tabs>
        <w:rPr>
          <w:sz w:val="20"/>
          <w:szCs w:val="20"/>
          <w:color w:val="auto"/>
        </w:rPr>
      </w:pPr>
      <w:r>
        <w:rPr>
          <w:rFonts w:ascii="Arial" w:cs="Arial" w:eastAsia="Arial" w:hAnsi="Arial"/>
          <w:sz w:val="18"/>
          <w:szCs w:val="18"/>
          <w:b w:val="1"/>
          <w:bCs w:val="1"/>
          <w:color w:val="auto"/>
        </w:rPr>
        <w:t>In Person:</w:t>
      </w:r>
      <w:r>
        <w:rPr>
          <w:sz w:val="20"/>
          <w:szCs w:val="20"/>
          <w:color w:val="auto"/>
        </w:rPr>
        <w:tab/>
      </w:r>
      <w:r>
        <w:rPr>
          <w:rFonts w:ascii="Arial" w:cs="Arial" w:eastAsia="Arial" w:hAnsi="Arial"/>
          <w:sz w:val="18"/>
          <w:szCs w:val="18"/>
          <w:color w:val="auto"/>
        </w:rPr>
        <w:t>Stockholders of record who attend the 2025 Annual Meeting and wish to vote in person will be given a ballot at the meeting. All other stockholders (those whose shares are held in the name of your bank, broker or other nominee) will</w:t>
      </w:r>
    </w:p>
    <w:p>
      <w:pPr>
        <w:spacing w:after="0" w:line="1" w:lineRule="exact"/>
        <w:rPr>
          <w:sz w:val="20"/>
          <w:szCs w:val="20"/>
          <w:color w:val="auto"/>
        </w:rPr>
      </w:pPr>
    </w:p>
    <w:p>
      <w:pPr>
        <w:ind w:left="1920" w:right="80"/>
        <w:spacing w:after="0" w:line="229" w:lineRule="auto"/>
        <w:rPr>
          <w:sz w:val="20"/>
          <w:szCs w:val="20"/>
          <w:color w:val="auto"/>
        </w:rPr>
      </w:pPr>
      <w:r>
        <w:rPr>
          <w:rFonts w:ascii="Arial" w:cs="Arial" w:eastAsia="Arial" w:hAnsi="Arial"/>
          <w:sz w:val="18"/>
          <w:szCs w:val="18"/>
          <w:color w:val="auto"/>
        </w:rPr>
        <w:t>need to obtain a proxy from the institution that holds your shares indicating that you were the beneficial owner of our common stock as of the Record Date for the 2025 Annual Meeting.</w:t>
      </w:r>
    </w:p>
    <w:p>
      <w:pPr>
        <w:spacing w:after="0" w:line="181" w:lineRule="exact"/>
        <w:rPr>
          <w:sz w:val="20"/>
          <w:szCs w:val="20"/>
          <w:color w:val="auto"/>
        </w:rPr>
      </w:pPr>
    </w:p>
    <w:p>
      <w:pPr>
        <w:ind w:right="280"/>
        <w:spacing w:after="0" w:line="396" w:lineRule="auto"/>
        <w:rPr>
          <w:sz w:val="20"/>
          <w:szCs w:val="20"/>
          <w:color w:val="auto"/>
        </w:rPr>
      </w:pPr>
      <w:r>
        <w:rPr>
          <w:rFonts w:ascii="Arial" w:cs="Arial" w:eastAsia="Arial" w:hAnsi="Arial"/>
          <w:sz w:val="18"/>
          <w:szCs w:val="18"/>
          <w:b w:val="1"/>
          <w:bCs w:val="1"/>
          <w:color w:val="auto"/>
        </w:rPr>
        <w:t xml:space="preserve">This proxy statement and the Company’s 2024 Annual Report on Form 10-K are available on the Internet at </w:t>
      </w:r>
      <w:r>
        <w:rPr>
          <w:rFonts w:ascii="Arial" w:cs="Arial" w:eastAsia="Arial" w:hAnsi="Arial"/>
          <w:sz w:val="18"/>
          <w:szCs w:val="18"/>
          <w:b w:val="1"/>
          <w:bCs w:val="1"/>
          <w:i w:val="1"/>
          <w:iCs w:val="1"/>
          <w:u w:val="single" w:color="auto"/>
          <w:color w:val="auto"/>
        </w:rPr>
        <w:t>www.proxyvote.com</w:t>
      </w:r>
      <w:r>
        <w:rPr>
          <w:rFonts w:ascii="Arial" w:cs="Arial" w:eastAsia="Arial" w:hAnsi="Arial"/>
          <w:sz w:val="18"/>
          <w:szCs w:val="18"/>
          <w:b w:val="1"/>
          <w:bCs w:val="1"/>
          <w:color w:val="auto"/>
        </w:rPr>
        <w:t xml:space="preserve">. </w:t>
      </w: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822960" cy="5397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22960" cy="53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color w:val="auto"/>
        </w:rPr>
        <w:t>Dean Calloway</w:t>
      </w:r>
    </w:p>
    <w:p>
      <w:pPr>
        <w:spacing w:after="0"/>
        <w:rPr>
          <w:sz w:val="20"/>
          <w:szCs w:val="20"/>
          <w:color w:val="auto"/>
        </w:rPr>
      </w:pPr>
      <w:r>
        <w:rPr>
          <w:rFonts w:ascii="Arial" w:cs="Arial" w:eastAsia="Arial" w:hAnsi="Arial"/>
          <w:sz w:val="18"/>
          <w:szCs w:val="18"/>
          <w:color w:val="auto"/>
        </w:rPr>
        <w:t>Senior Vice President, General Counsel &amp;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456565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69"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TABLE OF CONTENTS</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INFORMATION ABOUT THE MEETING</w:t>
      </w:r>
    </w:p>
    <w:p>
      <w:pPr>
        <w:spacing w:after="0" w:line="167" w:lineRule="exact"/>
        <w:rPr>
          <w:sz w:val="20"/>
          <w:szCs w:val="20"/>
          <w:color w:val="auto"/>
        </w:rPr>
      </w:pPr>
    </w:p>
    <w:p>
      <w:pPr>
        <w:ind w:left="20" w:right="600"/>
        <w:spacing w:after="0" w:line="249" w:lineRule="auto"/>
        <w:rPr>
          <w:sz w:val="20"/>
          <w:szCs w:val="20"/>
          <w:color w:val="auto"/>
        </w:rPr>
      </w:pPr>
      <w:r>
        <w:rPr>
          <w:rFonts w:ascii="Arial" w:cs="Arial" w:eastAsia="Arial" w:hAnsi="Arial"/>
          <w:sz w:val="18"/>
          <w:szCs w:val="18"/>
          <w:b w:val="1"/>
          <w:bCs w:val="1"/>
          <w:color w:val="auto"/>
        </w:rPr>
        <w:t>SECURITIES OWNED BY MANAGEMENT &amp; CERTAIN BENEFICIAL OWNERS</w:t>
      </w:r>
    </w:p>
    <w:p>
      <w:pPr>
        <w:spacing w:after="0" w:line="3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Equity Ownership Guidelines</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Policy Regarding Hedging or Pledging of Asbury Stock</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Insider Trading Policy</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Delinquent Section 16(a) Reports</w:t>
      </w:r>
    </w:p>
    <w:p>
      <w:pPr>
        <w:spacing w:after="0" w:line="17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D91E18"/>
        </w:rPr>
        <w:t>PROPOSAL 1 - ELECTION OF DIRECTORS</w:t>
      </w:r>
    </w:p>
    <w:p>
      <w:pPr>
        <w:spacing w:after="0" w:line="185" w:lineRule="exact"/>
        <w:rPr>
          <w:sz w:val="20"/>
          <w:szCs w:val="20"/>
          <w:color w:val="auto"/>
        </w:rPr>
      </w:pPr>
    </w:p>
    <w:p>
      <w:pPr>
        <w:ind w:left="140" w:right="2140" w:hanging="107"/>
        <w:spacing w:after="0" w:line="268" w:lineRule="auto"/>
        <w:rPr>
          <w:sz w:val="20"/>
          <w:szCs w:val="20"/>
          <w:color w:val="auto"/>
        </w:rPr>
      </w:pPr>
      <w:r>
        <w:rPr>
          <w:rFonts w:ascii="Arial" w:cs="Arial" w:eastAsia="Arial" w:hAnsi="Arial"/>
          <w:sz w:val="18"/>
          <w:szCs w:val="18"/>
          <w:b w:val="1"/>
          <w:bCs w:val="1"/>
          <w:color w:val="auto"/>
        </w:rPr>
        <w:t xml:space="preserve">GOVERNANCE OF THE COMPANY </w:t>
      </w:r>
      <w:r>
        <w:rPr>
          <w:rFonts w:ascii="Arial" w:cs="Arial" w:eastAsia="Arial" w:hAnsi="Arial"/>
          <w:sz w:val="18"/>
          <w:szCs w:val="18"/>
          <w:color w:val="auto"/>
        </w:rPr>
        <w:t>Board Leadership Structure Independence of Directors Committees of the Board</w:t>
      </w:r>
    </w:p>
    <w:p>
      <w:pPr>
        <w:spacing w:after="0" w:line="3" w:lineRule="exact"/>
        <w:rPr>
          <w:sz w:val="20"/>
          <w:szCs w:val="20"/>
          <w:color w:val="auto"/>
        </w:rPr>
      </w:pPr>
    </w:p>
    <w:p>
      <w:pPr>
        <w:ind w:left="140" w:right="760"/>
        <w:spacing w:after="0" w:line="234" w:lineRule="auto"/>
        <w:rPr>
          <w:sz w:val="20"/>
          <w:szCs w:val="20"/>
          <w:color w:val="auto"/>
        </w:rPr>
      </w:pPr>
      <w:r>
        <w:rPr>
          <w:rFonts w:ascii="Arial" w:cs="Arial" w:eastAsia="Arial" w:hAnsi="Arial"/>
          <w:sz w:val="18"/>
          <w:szCs w:val="18"/>
          <w:color w:val="auto"/>
        </w:rPr>
        <w:t>Code of Business Conduct and Ethics and Corporate Governance Guidelines</w:t>
      </w:r>
    </w:p>
    <w:p>
      <w:pPr>
        <w:spacing w:after="0" w:line="46" w:lineRule="exact"/>
        <w:rPr>
          <w:sz w:val="20"/>
          <w:szCs w:val="20"/>
          <w:color w:val="auto"/>
        </w:rPr>
      </w:pPr>
    </w:p>
    <w:p>
      <w:pPr>
        <w:ind w:left="140" w:right="2380"/>
        <w:spacing w:after="0" w:line="273" w:lineRule="auto"/>
        <w:rPr>
          <w:sz w:val="20"/>
          <w:szCs w:val="20"/>
          <w:color w:val="auto"/>
        </w:rPr>
      </w:pPr>
      <w:r>
        <w:rPr>
          <w:rFonts w:ascii="Arial" w:cs="Arial" w:eastAsia="Arial" w:hAnsi="Arial"/>
          <w:sz w:val="18"/>
          <w:szCs w:val="18"/>
          <w:color w:val="auto"/>
        </w:rPr>
        <w:t>The Board’s Risk Oversight Role Corporate Responsibility Nomination of Directors Service Limitations Communications with the Board Related Person Transactions</w:t>
      </w:r>
    </w:p>
    <w:p>
      <w:pPr>
        <w:spacing w:after="0" w:line="12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DIRECTOR COMPENSATION</w:t>
      </w:r>
    </w:p>
    <w:p>
      <w:pPr>
        <w:spacing w:after="0" w:line="4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Director Fees</w:t>
      </w:r>
    </w:p>
    <w:p>
      <w:pPr>
        <w:spacing w:after="0" w:line="1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Meetings Attendance</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2024 Director Compensation Table</w:t>
      </w:r>
    </w:p>
    <w:p>
      <w:pPr>
        <w:spacing w:after="0" w:line="17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EXECUTIVE OFFICERS</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COMPENSATION DISCUSSION &amp; ANALYSIS</w:t>
      </w:r>
    </w:p>
    <w:p>
      <w:pPr>
        <w:spacing w:after="0" w:line="4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Overview</w:t>
      </w:r>
    </w:p>
    <w:p>
      <w:pPr>
        <w:spacing w:after="0" w:line="1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Incentive Compensation Programs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Compensation Philosophy and Guidelines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Elements of Compensation</w:t>
      </w:r>
    </w:p>
    <w:p>
      <w:pPr>
        <w:ind w:left="140"/>
        <w:spacing w:after="0"/>
        <w:rPr>
          <w:sz w:val="20"/>
          <w:szCs w:val="20"/>
          <w:color w:val="auto"/>
        </w:rPr>
      </w:pPr>
      <w:r>
        <w:rPr>
          <w:rFonts w:ascii="Arial" w:cs="Arial" w:eastAsia="Arial" w:hAnsi="Arial"/>
          <w:sz w:val="18"/>
          <w:szCs w:val="18"/>
          <w:color w:val="auto"/>
        </w:rPr>
        <w:t>Total Compensation Program Supporting Attainment of</w:t>
      </w:r>
    </w:p>
    <w:p>
      <w:pPr>
        <w:ind w:left="140"/>
        <w:spacing w:after="0"/>
        <w:rPr>
          <w:sz w:val="20"/>
          <w:szCs w:val="20"/>
          <w:color w:val="auto"/>
        </w:rPr>
      </w:pPr>
      <w:r>
        <w:rPr>
          <w:rFonts w:ascii="Arial" w:cs="Arial" w:eastAsia="Arial" w:hAnsi="Arial"/>
          <w:sz w:val="18"/>
          <w:szCs w:val="18"/>
          <w:color w:val="auto"/>
        </w:rPr>
        <w:t>Operating &amp; Strategic Imperatives</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Policies and Practices</w:t>
      </w:r>
    </w:p>
    <w:p>
      <w:pPr>
        <w:spacing w:after="0" w:line="32" w:lineRule="exact"/>
        <w:rPr>
          <w:sz w:val="20"/>
          <w:szCs w:val="20"/>
          <w:color w:val="auto"/>
        </w:rPr>
      </w:pPr>
    </w:p>
    <w:p>
      <w:pPr>
        <w:ind w:left="140" w:right="540"/>
        <w:spacing w:after="0" w:line="234" w:lineRule="auto"/>
        <w:rPr>
          <w:sz w:val="20"/>
          <w:szCs w:val="20"/>
          <w:color w:val="auto"/>
        </w:rPr>
      </w:pPr>
      <w:r>
        <w:rPr>
          <w:rFonts w:ascii="Arial" w:cs="Arial" w:eastAsia="Arial" w:hAnsi="Arial"/>
          <w:sz w:val="18"/>
          <w:szCs w:val="18"/>
          <w:color w:val="auto"/>
        </w:rPr>
        <w:t>The Role of Stockholder Say-on-Pay Votes and Related Considerations</w:t>
      </w:r>
    </w:p>
    <w:p>
      <w:pPr>
        <w:spacing w:after="0" w:line="1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Independent Compensation Consultant</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Reviewing Executive Compensation</w:t>
      </w:r>
    </w:p>
    <w:p>
      <w:pPr>
        <w:ind w:left="140"/>
        <w:spacing w:after="0"/>
        <w:rPr>
          <w:sz w:val="20"/>
          <w:szCs w:val="20"/>
          <w:color w:val="auto"/>
        </w:rPr>
      </w:pPr>
      <w:r>
        <w:rPr>
          <w:rFonts w:ascii="Arial" w:cs="Arial" w:eastAsia="Arial" w:hAnsi="Arial"/>
          <w:sz w:val="18"/>
          <w:szCs w:val="18"/>
          <w:color w:val="auto"/>
        </w:rPr>
        <w:t>Additional Considerations in Making Executive Compensation</w:t>
      </w:r>
    </w:p>
    <w:p>
      <w:pPr>
        <w:ind w:left="140"/>
        <w:spacing w:after="0"/>
        <w:rPr>
          <w:sz w:val="20"/>
          <w:szCs w:val="20"/>
          <w:color w:val="auto"/>
        </w:rPr>
      </w:pPr>
      <w:r>
        <w:rPr>
          <w:rFonts w:ascii="Arial" w:cs="Arial" w:eastAsia="Arial" w:hAnsi="Arial"/>
          <w:sz w:val="18"/>
          <w:szCs w:val="18"/>
          <w:color w:val="auto"/>
        </w:rPr>
        <w:t>Decisions</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Review of 2024 Total Compensation</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7"/>
          <w:szCs w:val="17"/>
          <w:color w:val="auto"/>
        </w:rPr>
        <w:t>Employment, Severance and Change in Control Arrangements</w:t>
      </w:r>
    </w:p>
    <w:p>
      <w:pPr>
        <w:spacing w:after="0" w:line="22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Tax Treatment of Certain Compensation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4" w:type="dxa"/>
        <w:tblCellMar>
          <w:top w:w="0" w:type="dxa"/>
          <w:left w:w="0" w:type="dxa"/>
          <w:bottom w:w="0" w:type="dxa"/>
          <w:right w:w="0" w:type="dxa"/>
        </w:tblCellMar>
      </w:tblPr>
      <w:tr>
        <w:trPr>
          <w:trHeight w:val="411"/>
        </w:trPr>
        <w:tc>
          <w:tcPr>
            <w:tcW w:w="300" w:type="dxa"/>
            <w:vAlign w:val="bottom"/>
          </w:tcPr>
          <w:p>
            <w:pPr>
              <w:spacing w:after="0"/>
              <w:rPr>
                <w:sz w:val="24"/>
                <w:szCs w:val="24"/>
                <w:color w:val="auto"/>
              </w:rPr>
            </w:pPr>
          </w:p>
        </w:tc>
        <w:tc>
          <w:tcPr>
            <w:tcW w:w="5260" w:type="dxa"/>
            <w:vAlign w:val="bottom"/>
          </w:tcPr>
          <w:p>
            <w:pPr>
              <w:ind w:left="80"/>
              <w:spacing w:after="0"/>
              <w:rPr>
                <w:sz w:val="20"/>
                <w:szCs w:val="20"/>
                <w:color w:val="auto"/>
              </w:rPr>
            </w:pPr>
            <w:r>
              <w:rPr>
                <w:rFonts w:ascii="Arial" w:cs="Arial" w:eastAsia="Arial" w:hAnsi="Arial"/>
                <w:sz w:val="31"/>
                <w:szCs w:val="31"/>
                <w:b w:val="1"/>
                <w:bCs w:val="1"/>
                <w:color w:val="FFFFFF"/>
              </w:rPr>
              <w:t>BLE OF CONTENTS</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00" w:type="dxa"/>
            <w:vAlign w:val="bottom"/>
            <w:vMerge w:val="restart"/>
          </w:tcPr>
          <w:p>
            <w:pPr>
              <w:spacing w:after="0"/>
              <w:rPr>
                <w:sz w:val="20"/>
                <w:szCs w:val="20"/>
                <w:color w:val="auto"/>
              </w:rPr>
            </w:pPr>
            <w:r>
              <w:rPr>
                <w:rFonts w:ascii="Arial" w:cs="Arial" w:eastAsia="Arial" w:hAnsi="Arial"/>
                <w:sz w:val="18"/>
                <w:szCs w:val="18"/>
                <w:b w:val="1"/>
                <w:bCs w:val="1"/>
                <w:color w:val="auto"/>
              </w:rPr>
              <w:t>1</w:t>
            </w:r>
          </w:p>
        </w:tc>
        <w:tc>
          <w:tcPr>
            <w:tcW w:w="5260" w:type="dxa"/>
            <w:vAlign w:val="bottom"/>
          </w:tcPr>
          <w:p>
            <w:pPr>
              <w:ind w:left="100"/>
              <w:spacing w:after="0" w:line="189" w:lineRule="exact"/>
              <w:rPr>
                <w:sz w:val="20"/>
                <w:szCs w:val="20"/>
                <w:color w:val="auto"/>
              </w:rPr>
            </w:pPr>
            <w:r>
              <w:rPr>
                <w:rFonts w:ascii="Arial" w:cs="Arial" w:eastAsia="Arial" w:hAnsi="Arial"/>
                <w:sz w:val="18"/>
                <w:szCs w:val="18"/>
                <w:b w:val="1"/>
                <w:bCs w:val="1"/>
                <w:color w:val="auto"/>
              </w:rPr>
              <w:t>COMPENSATION &amp; HUMAN RESOURCES COMMITTEE</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300" w:type="dxa"/>
            <w:vAlign w:val="bottom"/>
            <w:vMerge w:val="continue"/>
          </w:tcPr>
          <w:p>
            <w:pPr>
              <w:spacing w:after="0"/>
              <w:rPr>
                <w:sz w:val="14"/>
                <w:szCs w:val="14"/>
                <w:color w:val="auto"/>
              </w:rPr>
            </w:pPr>
          </w:p>
        </w:tc>
        <w:tc>
          <w:tcPr>
            <w:tcW w:w="526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REPORT</w:t>
            </w:r>
          </w:p>
        </w:tc>
        <w:tc>
          <w:tcPr>
            <w:tcW w:w="22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38</w:t>
            </w:r>
          </w:p>
        </w:tc>
        <w:tc>
          <w:tcPr>
            <w:tcW w:w="0" w:type="dxa"/>
            <w:vAlign w:val="bottom"/>
          </w:tcPr>
          <w:p>
            <w:pPr>
              <w:spacing w:after="0"/>
              <w:rPr>
                <w:sz w:val="1"/>
                <w:szCs w:val="1"/>
                <w:color w:val="auto"/>
              </w:rPr>
            </w:pPr>
          </w:p>
        </w:tc>
      </w:tr>
      <w:tr>
        <w:trPr>
          <w:trHeight w:val="122"/>
        </w:trPr>
        <w:tc>
          <w:tcPr>
            <w:tcW w:w="300" w:type="dxa"/>
            <w:vAlign w:val="bottom"/>
          </w:tcPr>
          <w:p>
            <w:pPr>
              <w:spacing w:after="0"/>
              <w:rPr>
                <w:sz w:val="10"/>
                <w:szCs w:val="10"/>
                <w:color w:val="auto"/>
              </w:rPr>
            </w:pPr>
          </w:p>
        </w:tc>
        <w:tc>
          <w:tcPr>
            <w:tcW w:w="5260" w:type="dxa"/>
            <w:vAlign w:val="bottom"/>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34"/>
        </w:trPr>
        <w:tc>
          <w:tcPr>
            <w:tcW w:w="300" w:type="dxa"/>
            <w:vAlign w:val="bottom"/>
            <w:vMerge w:val="restart"/>
          </w:tcPr>
          <w:p>
            <w:pPr>
              <w:spacing w:after="0"/>
              <w:rPr>
                <w:sz w:val="20"/>
                <w:szCs w:val="20"/>
                <w:color w:val="auto"/>
              </w:rPr>
            </w:pPr>
            <w:r>
              <w:rPr>
                <w:rFonts w:ascii="Arial" w:cs="Arial" w:eastAsia="Arial" w:hAnsi="Arial"/>
                <w:sz w:val="18"/>
                <w:szCs w:val="18"/>
                <w:b w:val="1"/>
                <w:bCs w:val="1"/>
                <w:color w:val="auto"/>
              </w:rPr>
              <w:t>4</w:t>
            </w:r>
          </w:p>
        </w:tc>
        <w:tc>
          <w:tcPr>
            <w:tcW w:w="5260" w:type="dxa"/>
            <w:vAlign w:val="bottom"/>
          </w:tcPr>
          <w:p>
            <w:pPr>
              <w:ind w:left="100"/>
              <w:spacing w:after="0"/>
              <w:rPr>
                <w:sz w:val="20"/>
                <w:szCs w:val="20"/>
                <w:color w:val="auto"/>
              </w:rPr>
            </w:pPr>
            <w:r>
              <w:rPr>
                <w:rFonts w:ascii="Arial" w:cs="Arial" w:eastAsia="Arial" w:hAnsi="Arial"/>
                <w:sz w:val="18"/>
                <w:szCs w:val="18"/>
                <w:b w:val="1"/>
                <w:bCs w:val="1"/>
                <w:color w:val="auto"/>
              </w:rPr>
              <w:t>COMPENSATION COMMITTEE INTERLOCKS &amp; INSIDER</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00" w:type="dxa"/>
            <w:vAlign w:val="bottom"/>
            <w:vMerge w:val="continue"/>
          </w:tcPr>
          <w:p>
            <w:pPr>
              <w:spacing w:after="0"/>
              <w:rPr>
                <w:sz w:val="12"/>
                <w:szCs w:val="12"/>
                <w:color w:val="auto"/>
              </w:rPr>
            </w:pPr>
          </w:p>
        </w:tc>
        <w:tc>
          <w:tcPr>
            <w:tcW w:w="526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PARTICIPATION</w:t>
            </w:r>
          </w:p>
        </w:tc>
        <w:tc>
          <w:tcPr>
            <w:tcW w:w="22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38</w:t>
            </w:r>
          </w:p>
        </w:tc>
        <w:tc>
          <w:tcPr>
            <w:tcW w:w="0" w:type="dxa"/>
            <w:vAlign w:val="bottom"/>
          </w:tcPr>
          <w:p>
            <w:pPr>
              <w:spacing w:after="0"/>
              <w:rPr>
                <w:sz w:val="1"/>
                <w:szCs w:val="1"/>
                <w:color w:val="auto"/>
              </w:rPr>
            </w:pPr>
          </w:p>
        </w:tc>
      </w:tr>
      <w:tr>
        <w:trPr>
          <w:trHeight w:val="139"/>
        </w:trPr>
        <w:tc>
          <w:tcPr>
            <w:tcW w:w="300" w:type="dxa"/>
            <w:vAlign w:val="bottom"/>
            <w:vMerge w:val="restart"/>
          </w:tcPr>
          <w:p>
            <w:pPr>
              <w:spacing w:after="0"/>
              <w:rPr>
                <w:sz w:val="20"/>
                <w:szCs w:val="20"/>
                <w:color w:val="auto"/>
              </w:rPr>
            </w:pPr>
            <w:r>
              <w:rPr>
                <w:rFonts w:ascii="Arial" w:cs="Arial" w:eastAsia="Arial" w:hAnsi="Arial"/>
                <w:sz w:val="18"/>
                <w:szCs w:val="18"/>
                <w:color w:val="auto"/>
              </w:rPr>
              <w:t>6</w:t>
            </w:r>
          </w:p>
        </w:tc>
        <w:tc>
          <w:tcPr>
            <w:tcW w:w="5260" w:type="dxa"/>
            <w:vAlign w:val="bottom"/>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1"/>
        </w:trPr>
        <w:tc>
          <w:tcPr>
            <w:tcW w:w="300" w:type="dxa"/>
            <w:vAlign w:val="bottom"/>
            <w:vMerge w:val="continue"/>
          </w:tcPr>
          <w:p>
            <w:pPr>
              <w:spacing w:after="0"/>
              <w:rPr>
                <w:sz w:val="7"/>
                <w:szCs w:val="7"/>
                <w:color w:val="auto"/>
              </w:rPr>
            </w:pPr>
          </w:p>
        </w:tc>
        <w:tc>
          <w:tcPr>
            <w:tcW w:w="5260" w:type="dxa"/>
            <w:vAlign w:val="bottom"/>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300" w:type="dxa"/>
            <w:vAlign w:val="bottom"/>
          </w:tcPr>
          <w:p>
            <w:pPr>
              <w:spacing w:after="0"/>
              <w:rPr>
                <w:sz w:val="20"/>
                <w:szCs w:val="20"/>
                <w:color w:val="auto"/>
              </w:rPr>
            </w:pPr>
            <w:r>
              <w:rPr>
                <w:rFonts w:ascii="Arial" w:cs="Arial" w:eastAsia="Arial" w:hAnsi="Arial"/>
                <w:sz w:val="18"/>
                <w:szCs w:val="18"/>
                <w:color w:val="auto"/>
              </w:rPr>
              <w:t>6</w:t>
            </w:r>
          </w:p>
        </w:tc>
        <w:tc>
          <w:tcPr>
            <w:tcW w:w="5260" w:type="dxa"/>
            <w:vAlign w:val="bottom"/>
          </w:tcPr>
          <w:p>
            <w:pPr>
              <w:ind w:left="100"/>
              <w:spacing w:after="0"/>
              <w:rPr>
                <w:sz w:val="20"/>
                <w:szCs w:val="20"/>
                <w:color w:val="auto"/>
              </w:rPr>
            </w:pPr>
            <w:r>
              <w:rPr>
                <w:rFonts w:ascii="Arial" w:cs="Arial" w:eastAsia="Arial" w:hAnsi="Arial"/>
                <w:sz w:val="18"/>
                <w:szCs w:val="18"/>
                <w:b w:val="1"/>
                <w:bCs w:val="1"/>
                <w:color w:val="auto"/>
              </w:rPr>
              <w:t>EXECUTIVE COMPENSATION</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39</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r>
              <w:rPr>
                <w:rFonts w:ascii="Arial" w:cs="Arial" w:eastAsia="Arial" w:hAnsi="Arial"/>
                <w:sz w:val="18"/>
                <w:szCs w:val="18"/>
                <w:color w:val="auto"/>
              </w:rPr>
              <w:t>6</w:t>
            </w:r>
          </w:p>
        </w:tc>
        <w:tc>
          <w:tcPr>
            <w:tcW w:w="5260" w:type="dxa"/>
            <w:vAlign w:val="bottom"/>
          </w:tcPr>
          <w:p>
            <w:pPr>
              <w:ind w:left="220"/>
              <w:spacing w:after="0"/>
              <w:rPr>
                <w:sz w:val="20"/>
                <w:szCs w:val="20"/>
                <w:color w:val="auto"/>
              </w:rPr>
            </w:pPr>
            <w:r>
              <w:rPr>
                <w:rFonts w:ascii="Arial" w:cs="Arial" w:eastAsia="Arial" w:hAnsi="Arial"/>
                <w:sz w:val="18"/>
                <w:szCs w:val="18"/>
                <w:color w:val="auto"/>
              </w:rPr>
              <w:t>2024 Summary Compensation Table</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39</w:t>
            </w:r>
          </w:p>
        </w:tc>
        <w:tc>
          <w:tcPr>
            <w:tcW w:w="0" w:type="dxa"/>
            <w:vAlign w:val="bottom"/>
          </w:tcPr>
          <w:p>
            <w:pPr>
              <w:spacing w:after="0"/>
              <w:rPr>
                <w:sz w:val="1"/>
                <w:szCs w:val="1"/>
                <w:color w:val="auto"/>
              </w:rPr>
            </w:pPr>
          </w:p>
        </w:tc>
      </w:tr>
      <w:tr>
        <w:trPr>
          <w:trHeight w:val="278"/>
        </w:trPr>
        <w:tc>
          <w:tcPr>
            <w:tcW w:w="300" w:type="dxa"/>
            <w:vAlign w:val="bottom"/>
          </w:tcPr>
          <w:p>
            <w:pPr>
              <w:spacing w:after="0"/>
              <w:rPr>
                <w:sz w:val="20"/>
                <w:szCs w:val="20"/>
                <w:color w:val="auto"/>
              </w:rPr>
            </w:pPr>
            <w:r>
              <w:rPr>
                <w:rFonts w:ascii="Arial" w:cs="Arial" w:eastAsia="Arial" w:hAnsi="Arial"/>
                <w:sz w:val="18"/>
                <w:szCs w:val="18"/>
                <w:color w:val="auto"/>
              </w:rPr>
              <w:t>6</w:t>
            </w:r>
          </w:p>
        </w:tc>
        <w:tc>
          <w:tcPr>
            <w:tcW w:w="5260" w:type="dxa"/>
            <w:vAlign w:val="bottom"/>
          </w:tcPr>
          <w:p>
            <w:pPr>
              <w:ind w:left="220"/>
              <w:spacing w:after="0"/>
              <w:rPr>
                <w:sz w:val="20"/>
                <w:szCs w:val="20"/>
                <w:color w:val="auto"/>
              </w:rPr>
            </w:pPr>
            <w:r>
              <w:rPr>
                <w:rFonts w:ascii="Arial" w:cs="Arial" w:eastAsia="Arial" w:hAnsi="Arial"/>
                <w:sz w:val="18"/>
                <w:szCs w:val="18"/>
                <w:color w:val="auto"/>
              </w:rPr>
              <w:t>2024 Grants of Plan-Based Awards</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41</w:t>
            </w:r>
          </w:p>
        </w:tc>
        <w:tc>
          <w:tcPr>
            <w:tcW w:w="0" w:type="dxa"/>
            <w:vAlign w:val="bottom"/>
          </w:tcPr>
          <w:p>
            <w:pPr>
              <w:spacing w:after="0"/>
              <w:rPr>
                <w:sz w:val="1"/>
                <w:szCs w:val="1"/>
                <w:color w:val="auto"/>
              </w:rPr>
            </w:pPr>
          </w:p>
        </w:tc>
      </w:tr>
      <w:tr>
        <w:trPr>
          <w:trHeight w:val="229"/>
        </w:trPr>
        <w:tc>
          <w:tcPr>
            <w:tcW w:w="300" w:type="dxa"/>
            <w:vAlign w:val="bottom"/>
            <w:vMerge w:val="restart"/>
          </w:tcPr>
          <w:p>
            <w:pPr>
              <w:spacing w:after="0"/>
              <w:rPr>
                <w:sz w:val="20"/>
                <w:szCs w:val="20"/>
                <w:color w:val="auto"/>
              </w:rPr>
            </w:pPr>
            <w:r>
              <w:rPr>
                <w:rFonts w:ascii="Arial" w:cs="Arial" w:eastAsia="Arial" w:hAnsi="Arial"/>
                <w:sz w:val="18"/>
                <w:szCs w:val="18"/>
                <w:b w:val="1"/>
                <w:bCs w:val="1"/>
                <w:color w:val="D91E18"/>
              </w:rPr>
              <w:t>7</w:t>
            </w:r>
          </w:p>
        </w:tc>
        <w:tc>
          <w:tcPr>
            <w:tcW w:w="5260" w:type="dxa"/>
            <w:vAlign w:val="bottom"/>
          </w:tcPr>
          <w:p>
            <w:pPr>
              <w:ind w:left="220"/>
              <w:spacing w:after="0"/>
              <w:rPr>
                <w:sz w:val="20"/>
                <w:szCs w:val="20"/>
                <w:color w:val="auto"/>
              </w:rPr>
            </w:pPr>
            <w:r>
              <w:rPr>
                <w:rFonts w:ascii="Arial" w:cs="Arial" w:eastAsia="Arial" w:hAnsi="Arial"/>
                <w:sz w:val="18"/>
                <w:szCs w:val="18"/>
                <w:color w:val="auto"/>
              </w:rPr>
              <w:t>Outstanding Equity Awards at 2024 Fiscal Year-End</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42</w:t>
            </w:r>
          </w:p>
        </w:tc>
        <w:tc>
          <w:tcPr>
            <w:tcW w:w="0" w:type="dxa"/>
            <w:vAlign w:val="bottom"/>
          </w:tcPr>
          <w:p>
            <w:pPr>
              <w:spacing w:after="0"/>
              <w:rPr>
                <w:sz w:val="1"/>
                <w:szCs w:val="1"/>
                <w:color w:val="auto"/>
              </w:rPr>
            </w:pPr>
          </w:p>
        </w:tc>
      </w:tr>
      <w:tr>
        <w:trPr>
          <w:trHeight w:val="125"/>
        </w:trPr>
        <w:tc>
          <w:tcPr>
            <w:tcW w:w="300" w:type="dxa"/>
            <w:vAlign w:val="bottom"/>
            <w:vMerge w:val="continue"/>
          </w:tcPr>
          <w:p>
            <w:pPr>
              <w:spacing w:after="0"/>
              <w:rPr>
                <w:sz w:val="10"/>
                <w:szCs w:val="10"/>
                <w:color w:val="auto"/>
              </w:rPr>
            </w:pPr>
          </w:p>
        </w:tc>
        <w:tc>
          <w:tcPr>
            <w:tcW w:w="5260" w:type="dxa"/>
            <w:vAlign w:val="bottom"/>
            <w:vMerge w:val="restart"/>
          </w:tcPr>
          <w:p>
            <w:pPr>
              <w:ind w:left="220"/>
              <w:spacing w:after="0"/>
              <w:rPr>
                <w:sz w:val="20"/>
                <w:szCs w:val="20"/>
                <w:color w:val="auto"/>
              </w:rPr>
            </w:pPr>
            <w:r>
              <w:rPr>
                <w:rFonts w:ascii="Arial" w:cs="Arial" w:eastAsia="Arial" w:hAnsi="Arial"/>
                <w:sz w:val="18"/>
                <w:szCs w:val="18"/>
                <w:color w:val="auto"/>
              </w:rPr>
              <w:t>2024 Option Exercises and Stock Vested</w:t>
            </w: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w w:val="99"/>
              </w:rPr>
              <w:t>43</w:t>
            </w:r>
          </w:p>
        </w:tc>
        <w:tc>
          <w:tcPr>
            <w:tcW w:w="0" w:type="dxa"/>
            <w:vAlign w:val="bottom"/>
          </w:tcPr>
          <w:p>
            <w:pPr>
              <w:spacing w:after="0"/>
              <w:rPr>
                <w:sz w:val="1"/>
                <w:szCs w:val="1"/>
                <w:color w:val="auto"/>
              </w:rPr>
            </w:pPr>
          </w:p>
        </w:tc>
      </w:tr>
      <w:tr>
        <w:trPr>
          <w:trHeight w:val="114"/>
        </w:trPr>
        <w:tc>
          <w:tcPr>
            <w:tcW w:w="300" w:type="dxa"/>
            <w:vAlign w:val="bottom"/>
          </w:tcPr>
          <w:p>
            <w:pPr>
              <w:spacing w:after="0"/>
              <w:rPr>
                <w:sz w:val="9"/>
                <w:szCs w:val="9"/>
                <w:color w:val="auto"/>
              </w:rPr>
            </w:pPr>
          </w:p>
        </w:tc>
        <w:tc>
          <w:tcPr>
            <w:tcW w:w="526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1"/>
        </w:trPr>
        <w:tc>
          <w:tcPr>
            <w:tcW w:w="300" w:type="dxa"/>
            <w:vAlign w:val="bottom"/>
          </w:tcPr>
          <w:p>
            <w:pPr>
              <w:spacing w:after="0"/>
              <w:rPr>
                <w:sz w:val="20"/>
                <w:szCs w:val="20"/>
                <w:color w:val="auto"/>
              </w:rPr>
            </w:pPr>
            <w:r>
              <w:rPr>
                <w:rFonts w:ascii="Arial" w:cs="Arial" w:eastAsia="Arial" w:hAnsi="Arial"/>
                <w:sz w:val="18"/>
                <w:szCs w:val="18"/>
                <w:b w:val="1"/>
                <w:bCs w:val="1"/>
                <w:color w:val="auto"/>
              </w:rPr>
              <w:t>14</w:t>
            </w:r>
          </w:p>
        </w:tc>
        <w:tc>
          <w:tcPr>
            <w:tcW w:w="526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POTENTIAL PAYMENTS UPON TERMINATION OR CHANGE</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1"/>
        </w:trPr>
        <w:tc>
          <w:tcPr>
            <w:tcW w:w="300" w:type="dxa"/>
            <w:vAlign w:val="bottom"/>
            <w:vMerge w:val="restart"/>
          </w:tcPr>
          <w:p>
            <w:pPr>
              <w:spacing w:after="0"/>
              <w:rPr>
                <w:sz w:val="20"/>
                <w:szCs w:val="20"/>
                <w:color w:val="auto"/>
              </w:rPr>
            </w:pPr>
            <w:r>
              <w:rPr>
                <w:rFonts w:ascii="Arial" w:cs="Arial" w:eastAsia="Arial" w:hAnsi="Arial"/>
                <w:sz w:val="18"/>
                <w:szCs w:val="18"/>
                <w:color w:val="auto"/>
              </w:rPr>
              <w:t>14</w:t>
            </w:r>
          </w:p>
        </w:tc>
        <w:tc>
          <w:tcPr>
            <w:tcW w:w="52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300" w:type="dxa"/>
            <w:vAlign w:val="bottom"/>
            <w:vMerge w:val="continue"/>
          </w:tcPr>
          <w:p>
            <w:pPr>
              <w:spacing w:after="0"/>
              <w:rPr>
                <w:sz w:val="12"/>
                <w:szCs w:val="12"/>
                <w:color w:val="auto"/>
              </w:rPr>
            </w:pPr>
          </w:p>
        </w:tc>
        <w:tc>
          <w:tcPr>
            <w:tcW w:w="526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IN CONTROL</w:t>
            </w:r>
          </w:p>
        </w:tc>
        <w:tc>
          <w:tcPr>
            <w:tcW w:w="22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44</w:t>
            </w:r>
          </w:p>
        </w:tc>
        <w:tc>
          <w:tcPr>
            <w:tcW w:w="0" w:type="dxa"/>
            <w:vAlign w:val="bottom"/>
          </w:tcPr>
          <w:p>
            <w:pPr>
              <w:spacing w:after="0"/>
              <w:rPr>
                <w:sz w:val="1"/>
                <w:szCs w:val="1"/>
                <w:color w:val="auto"/>
              </w:rPr>
            </w:pPr>
          </w:p>
        </w:tc>
      </w:tr>
      <w:tr>
        <w:trPr>
          <w:trHeight w:val="139"/>
        </w:trPr>
        <w:tc>
          <w:tcPr>
            <w:tcW w:w="300" w:type="dxa"/>
            <w:vAlign w:val="bottom"/>
            <w:vMerge w:val="restart"/>
          </w:tcPr>
          <w:p>
            <w:pPr>
              <w:spacing w:after="0"/>
              <w:rPr>
                <w:sz w:val="20"/>
                <w:szCs w:val="20"/>
                <w:color w:val="auto"/>
              </w:rPr>
            </w:pPr>
            <w:r>
              <w:rPr>
                <w:rFonts w:ascii="Arial" w:cs="Arial" w:eastAsia="Arial" w:hAnsi="Arial"/>
                <w:sz w:val="18"/>
                <w:szCs w:val="18"/>
                <w:color w:val="auto"/>
              </w:rPr>
              <w:t>14</w:t>
            </w:r>
          </w:p>
        </w:tc>
        <w:tc>
          <w:tcPr>
            <w:tcW w:w="5260" w:type="dxa"/>
            <w:vAlign w:val="bottom"/>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1"/>
        </w:trPr>
        <w:tc>
          <w:tcPr>
            <w:tcW w:w="300" w:type="dxa"/>
            <w:vAlign w:val="bottom"/>
            <w:vMerge w:val="continue"/>
          </w:tcPr>
          <w:p>
            <w:pPr>
              <w:spacing w:after="0"/>
              <w:rPr>
                <w:sz w:val="7"/>
                <w:szCs w:val="7"/>
                <w:color w:val="auto"/>
              </w:rPr>
            </w:pPr>
          </w:p>
        </w:tc>
        <w:tc>
          <w:tcPr>
            <w:tcW w:w="5260" w:type="dxa"/>
            <w:vAlign w:val="bottom"/>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01"/>
        </w:trPr>
        <w:tc>
          <w:tcPr>
            <w:tcW w:w="300" w:type="dxa"/>
            <w:vAlign w:val="bottom"/>
          </w:tcPr>
          <w:p>
            <w:pPr>
              <w:spacing w:after="0"/>
              <w:rPr>
                <w:sz w:val="20"/>
                <w:szCs w:val="20"/>
                <w:color w:val="auto"/>
              </w:rPr>
            </w:pPr>
            <w:r>
              <w:rPr>
                <w:rFonts w:ascii="Arial" w:cs="Arial" w:eastAsia="Arial" w:hAnsi="Arial"/>
                <w:sz w:val="18"/>
                <w:szCs w:val="18"/>
                <w:color w:val="auto"/>
              </w:rPr>
              <w:t>15</w:t>
            </w:r>
          </w:p>
        </w:tc>
        <w:tc>
          <w:tcPr>
            <w:tcW w:w="5260" w:type="dxa"/>
            <w:vAlign w:val="bottom"/>
          </w:tcPr>
          <w:p>
            <w:pPr>
              <w:ind w:left="100"/>
              <w:spacing w:after="0"/>
              <w:rPr>
                <w:sz w:val="20"/>
                <w:szCs w:val="20"/>
                <w:color w:val="auto"/>
              </w:rPr>
            </w:pPr>
            <w:r>
              <w:rPr>
                <w:rFonts w:ascii="Arial" w:cs="Arial" w:eastAsia="Arial" w:hAnsi="Arial"/>
                <w:sz w:val="18"/>
                <w:szCs w:val="18"/>
                <w:b w:val="1"/>
                <w:bCs w:val="1"/>
                <w:color w:val="auto"/>
              </w:rPr>
              <w:t>CEO PAY RATIO</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w w:val="99"/>
              </w:rPr>
              <w:t>48</w:t>
            </w:r>
          </w:p>
        </w:tc>
        <w:tc>
          <w:tcPr>
            <w:tcW w:w="0" w:type="dxa"/>
            <w:vAlign w:val="bottom"/>
          </w:tcPr>
          <w:p>
            <w:pPr>
              <w:spacing w:after="0"/>
              <w:rPr>
                <w:sz w:val="1"/>
                <w:szCs w:val="1"/>
                <w:color w:val="auto"/>
              </w:rPr>
            </w:pPr>
          </w:p>
        </w:tc>
      </w:tr>
      <w:tr>
        <w:trPr>
          <w:trHeight w:val="388"/>
        </w:trPr>
        <w:tc>
          <w:tcPr>
            <w:tcW w:w="300" w:type="dxa"/>
            <w:vAlign w:val="bottom"/>
          </w:tcPr>
          <w:p>
            <w:pPr>
              <w:spacing w:after="0"/>
              <w:rPr>
                <w:sz w:val="20"/>
                <w:szCs w:val="20"/>
                <w:color w:val="auto"/>
              </w:rPr>
            </w:pPr>
            <w:r>
              <w:rPr>
                <w:rFonts w:ascii="Arial" w:cs="Arial" w:eastAsia="Arial" w:hAnsi="Arial"/>
                <w:sz w:val="18"/>
                <w:szCs w:val="18"/>
                <w:color w:val="auto"/>
              </w:rPr>
              <w:t>16</w:t>
            </w:r>
          </w:p>
        </w:tc>
        <w:tc>
          <w:tcPr>
            <w:tcW w:w="5260" w:type="dxa"/>
            <w:vAlign w:val="bottom"/>
          </w:tcPr>
          <w:p>
            <w:pPr>
              <w:ind w:left="100"/>
              <w:spacing w:after="0"/>
              <w:rPr>
                <w:sz w:val="20"/>
                <w:szCs w:val="20"/>
                <w:color w:val="auto"/>
              </w:rPr>
            </w:pPr>
            <w:r>
              <w:rPr>
                <w:rFonts w:ascii="Arial" w:cs="Arial" w:eastAsia="Arial" w:hAnsi="Arial"/>
                <w:sz w:val="18"/>
                <w:szCs w:val="18"/>
                <w:b w:val="1"/>
                <w:bCs w:val="1"/>
                <w:color w:val="auto"/>
              </w:rPr>
              <w:t>PAY VERSUS PERFORMANCE</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w w:val="99"/>
              </w:rPr>
              <w:t>49</w:t>
            </w:r>
          </w:p>
        </w:tc>
        <w:tc>
          <w:tcPr>
            <w:tcW w:w="0" w:type="dxa"/>
            <w:vAlign w:val="bottom"/>
          </w:tcPr>
          <w:p>
            <w:pPr>
              <w:spacing w:after="0"/>
              <w:rPr>
                <w:sz w:val="1"/>
                <w:szCs w:val="1"/>
                <w:color w:val="auto"/>
              </w:rPr>
            </w:pPr>
          </w:p>
        </w:tc>
      </w:tr>
      <w:tr>
        <w:trPr>
          <w:trHeight w:val="229"/>
        </w:trPr>
        <w:tc>
          <w:tcPr>
            <w:tcW w:w="300" w:type="dxa"/>
            <w:vAlign w:val="bottom"/>
          </w:tcPr>
          <w:p>
            <w:pPr>
              <w:spacing w:after="0"/>
              <w:rPr>
                <w:sz w:val="20"/>
                <w:szCs w:val="20"/>
                <w:color w:val="auto"/>
              </w:rPr>
            </w:pPr>
            <w:r>
              <w:rPr>
                <w:rFonts w:ascii="Arial" w:cs="Arial" w:eastAsia="Arial" w:hAnsi="Arial"/>
                <w:sz w:val="18"/>
                <w:szCs w:val="18"/>
                <w:color w:val="auto"/>
              </w:rPr>
              <w:t>17</w:t>
            </w:r>
          </w:p>
        </w:tc>
        <w:tc>
          <w:tcPr>
            <w:tcW w:w="526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SECURITIES AUTHORIZED FOR ISSUANCE UNDER EQUITY</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300" w:type="dxa"/>
            <w:vAlign w:val="bottom"/>
            <w:vMerge w:val="restart"/>
          </w:tcPr>
          <w:p>
            <w:pPr>
              <w:spacing w:after="0"/>
              <w:rPr>
                <w:sz w:val="20"/>
                <w:szCs w:val="20"/>
                <w:color w:val="auto"/>
              </w:rPr>
            </w:pPr>
            <w:r>
              <w:rPr>
                <w:rFonts w:ascii="Arial" w:cs="Arial" w:eastAsia="Arial" w:hAnsi="Arial"/>
                <w:sz w:val="18"/>
                <w:szCs w:val="18"/>
                <w:color w:val="auto"/>
              </w:rPr>
              <w:t>17</w:t>
            </w:r>
          </w:p>
        </w:tc>
        <w:tc>
          <w:tcPr>
            <w:tcW w:w="52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300" w:type="dxa"/>
            <w:vAlign w:val="bottom"/>
            <w:vMerge w:val="continue"/>
          </w:tcPr>
          <w:p>
            <w:pPr>
              <w:spacing w:after="0"/>
              <w:rPr>
                <w:sz w:val="10"/>
                <w:szCs w:val="10"/>
                <w:color w:val="auto"/>
              </w:rPr>
            </w:pPr>
          </w:p>
        </w:tc>
        <w:tc>
          <w:tcPr>
            <w:tcW w:w="526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COMPENSATION PLANS</w:t>
            </w:r>
          </w:p>
        </w:tc>
        <w:tc>
          <w:tcPr>
            <w:tcW w:w="22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52</w:t>
            </w:r>
          </w:p>
        </w:tc>
        <w:tc>
          <w:tcPr>
            <w:tcW w:w="0" w:type="dxa"/>
            <w:vAlign w:val="bottom"/>
          </w:tcPr>
          <w:p>
            <w:pPr>
              <w:spacing w:after="0"/>
              <w:rPr>
                <w:sz w:val="1"/>
                <w:szCs w:val="1"/>
                <w:color w:val="auto"/>
              </w:rPr>
            </w:pPr>
          </w:p>
        </w:tc>
      </w:tr>
      <w:tr>
        <w:trPr>
          <w:trHeight w:val="166"/>
        </w:trPr>
        <w:tc>
          <w:tcPr>
            <w:tcW w:w="300" w:type="dxa"/>
            <w:vAlign w:val="bottom"/>
            <w:vMerge w:val="restart"/>
          </w:tcPr>
          <w:p>
            <w:pPr>
              <w:spacing w:after="0"/>
              <w:rPr>
                <w:sz w:val="20"/>
                <w:szCs w:val="20"/>
                <w:color w:val="auto"/>
              </w:rPr>
            </w:pPr>
            <w:r>
              <w:rPr>
                <w:rFonts w:ascii="Arial" w:cs="Arial" w:eastAsia="Arial" w:hAnsi="Arial"/>
                <w:sz w:val="18"/>
                <w:szCs w:val="18"/>
                <w:color w:val="auto"/>
              </w:rPr>
              <w:t>18</w:t>
            </w:r>
          </w:p>
        </w:tc>
        <w:tc>
          <w:tcPr>
            <w:tcW w:w="526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4"/>
        </w:trPr>
        <w:tc>
          <w:tcPr>
            <w:tcW w:w="300" w:type="dxa"/>
            <w:vAlign w:val="bottom"/>
            <w:vMerge w:val="continue"/>
          </w:tcPr>
          <w:p>
            <w:pPr>
              <w:spacing w:after="0"/>
              <w:rPr>
                <w:sz w:val="5"/>
                <w:szCs w:val="5"/>
                <w:color w:val="auto"/>
              </w:rPr>
            </w:pPr>
          </w:p>
        </w:tc>
        <w:tc>
          <w:tcPr>
            <w:tcW w:w="5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300" w:type="dxa"/>
            <w:vAlign w:val="bottom"/>
          </w:tcPr>
          <w:p>
            <w:pPr>
              <w:spacing w:after="0"/>
              <w:rPr>
                <w:sz w:val="20"/>
                <w:szCs w:val="20"/>
                <w:color w:val="auto"/>
              </w:rPr>
            </w:pPr>
            <w:r>
              <w:rPr>
                <w:rFonts w:ascii="Arial" w:cs="Arial" w:eastAsia="Arial" w:hAnsi="Arial"/>
                <w:sz w:val="18"/>
                <w:szCs w:val="18"/>
                <w:color w:val="auto"/>
              </w:rPr>
              <w:t>19</w:t>
            </w:r>
          </w:p>
        </w:tc>
        <w:tc>
          <w:tcPr>
            <w:tcW w:w="5260" w:type="dxa"/>
            <w:vAlign w:val="bottom"/>
            <w:vMerge w:val="restart"/>
          </w:tcPr>
          <w:p>
            <w:pPr>
              <w:ind w:left="100"/>
              <w:spacing w:after="0"/>
              <w:rPr>
                <w:sz w:val="20"/>
                <w:szCs w:val="20"/>
                <w:color w:val="auto"/>
              </w:rPr>
            </w:pPr>
            <w:r>
              <w:rPr>
                <w:rFonts w:ascii="Arial" w:cs="Arial" w:eastAsia="Arial" w:hAnsi="Arial"/>
                <w:sz w:val="18"/>
                <w:szCs w:val="18"/>
                <w:b w:val="1"/>
                <w:bCs w:val="1"/>
                <w:color w:val="D91E18"/>
              </w:rPr>
              <w:t>PROPOSAL 2 - ADVISORY APPROVAL OF NAMED</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300" w:type="dxa"/>
            <w:vAlign w:val="bottom"/>
            <w:vMerge w:val="restart"/>
          </w:tcPr>
          <w:p>
            <w:pPr>
              <w:spacing w:after="0"/>
              <w:rPr>
                <w:sz w:val="20"/>
                <w:szCs w:val="20"/>
                <w:color w:val="auto"/>
              </w:rPr>
            </w:pPr>
            <w:r>
              <w:rPr>
                <w:rFonts w:ascii="Arial" w:cs="Arial" w:eastAsia="Arial" w:hAnsi="Arial"/>
                <w:sz w:val="18"/>
                <w:szCs w:val="18"/>
                <w:color w:val="auto"/>
              </w:rPr>
              <w:t>19</w:t>
            </w:r>
          </w:p>
        </w:tc>
        <w:tc>
          <w:tcPr>
            <w:tcW w:w="526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7"/>
        </w:trPr>
        <w:tc>
          <w:tcPr>
            <w:tcW w:w="300" w:type="dxa"/>
            <w:vAlign w:val="bottom"/>
            <w:vMerge w:val="continue"/>
          </w:tcPr>
          <w:p>
            <w:pPr>
              <w:spacing w:after="0"/>
              <w:rPr>
                <w:sz w:val="18"/>
                <w:szCs w:val="18"/>
                <w:color w:val="auto"/>
              </w:rPr>
            </w:pPr>
          </w:p>
        </w:tc>
        <w:tc>
          <w:tcPr>
            <w:tcW w:w="5260" w:type="dxa"/>
            <w:vAlign w:val="bottom"/>
          </w:tcPr>
          <w:p>
            <w:pPr>
              <w:ind w:left="100"/>
              <w:spacing w:after="0"/>
              <w:rPr>
                <w:sz w:val="20"/>
                <w:szCs w:val="20"/>
                <w:color w:val="auto"/>
              </w:rPr>
            </w:pPr>
            <w:r>
              <w:rPr>
                <w:rFonts w:ascii="Arial" w:cs="Arial" w:eastAsia="Arial" w:hAnsi="Arial"/>
                <w:sz w:val="18"/>
                <w:szCs w:val="18"/>
                <w:b w:val="1"/>
                <w:bCs w:val="1"/>
                <w:color w:val="D91E18"/>
              </w:rPr>
              <w:t>EXECUTIVE OFFICER COMPENSATION</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D91E18"/>
                <w:w w:val="99"/>
              </w:rPr>
              <w:t>53</w:t>
            </w:r>
          </w:p>
        </w:tc>
        <w:tc>
          <w:tcPr>
            <w:tcW w:w="0" w:type="dxa"/>
            <w:vAlign w:val="bottom"/>
          </w:tcPr>
          <w:p>
            <w:pPr>
              <w:spacing w:after="0"/>
              <w:rPr>
                <w:sz w:val="1"/>
                <w:szCs w:val="1"/>
                <w:color w:val="auto"/>
              </w:rPr>
            </w:pPr>
          </w:p>
        </w:tc>
      </w:tr>
      <w:tr>
        <w:trPr>
          <w:trHeight w:val="225"/>
        </w:trPr>
        <w:tc>
          <w:tcPr>
            <w:tcW w:w="300" w:type="dxa"/>
            <w:vAlign w:val="bottom"/>
          </w:tcPr>
          <w:p>
            <w:pPr>
              <w:spacing w:after="0"/>
              <w:rPr>
                <w:sz w:val="20"/>
                <w:szCs w:val="20"/>
                <w:color w:val="auto"/>
              </w:rPr>
            </w:pPr>
            <w:r>
              <w:rPr>
                <w:rFonts w:ascii="Arial" w:cs="Arial" w:eastAsia="Arial" w:hAnsi="Arial"/>
                <w:sz w:val="18"/>
                <w:szCs w:val="18"/>
                <w:color w:val="auto"/>
              </w:rPr>
              <w:t>19</w:t>
            </w:r>
          </w:p>
        </w:tc>
        <w:tc>
          <w:tcPr>
            <w:tcW w:w="5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300" w:type="dxa"/>
            <w:vAlign w:val="bottom"/>
            <w:vMerge w:val="restart"/>
          </w:tcPr>
          <w:p>
            <w:pPr>
              <w:spacing w:after="0"/>
              <w:rPr>
                <w:sz w:val="20"/>
                <w:szCs w:val="20"/>
                <w:color w:val="auto"/>
              </w:rPr>
            </w:pPr>
            <w:r>
              <w:rPr>
                <w:rFonts w:ascii="Arial" w:cs="Arial" w:eastAsia="Arial" w:hAnsi="Arial"/>
                <w:sz w:val="18"/>
                <w:szCs w:val="18"/>
                <w:b w:val="1"/>
                <w:bCs w:val="1"/>
                <w:color w:val="auto"/>
              </w:rPr>
              <w:t>21</w:t>
            </w:r>
          </w:p>
        </w:tc>
        <w:tc>
          <w:tcPr>
            <w:tcW w:w="5260" w:type="dxa"/>
            <w:vAlign w:val="bottom"/>
          </w:tcPr>
          <w:p>
            <w:pPr>
              <w:ind w:left="100"/>
              <w:spacing w:after="0"/>
              <w:rPr>
                <w:sz w:val="20"/>
                <w:szCs w:val="20"/>
                <w:color w:val="auto"/>
              </w:rPr>
            </w:pPr>
            <w:r>
              <w:rPr>
                <w:rFonts w:ascii="Arial" w:cs="Arial" w:eastAsia="Arial" w:hAnsi="Arial"/>
                <w:sz w:val="18"/>
                <w:szCs w:val="18"/>
                <w:b w:val="1"/>
                <w:bCs w:val="1"/>
                <w:color w:val="auto"/>
              </w:rPr>
              <w:t>AUDIT COMMITTEE REPORT</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w w:val="99"/>
              </w:rPr>
              <w:t>54</w:t>
            </w:r>
          </w:p>
        </w:tc>
        <w:tc>
          <w:tcPr>
            <w:tcW w:w="0" w:type="dxa"/>
            <w:vAlign w:val="bottom"/>
          </w:tcPr>
          <w:p>
            <w:pPr>
              <w:spacing w:after="0"/>
              <w:rPr>
                <w:sz w:val="1"/>
                <w:szCs w:val="1"/>
                <w:color w:val="auto"/>
              </w:rPr>
            </w:pPr>
          </w:p>
        </w:tc>
      </w:tr>
      <w:tr>
        <w:trPr>
          <w:trHeight w:val="148"/>
        </w:trPr>
        <w:tc>
          <w:tcPr>
            <w:tcW w:w="300" w:type="dxa"/>
            <w:vAlign w:val="bottom"/>
            <w:vMerge w:val="continue"/>
          </w:tcPr>
          <w:p>
            <w:pPr>
              <w:spacing w:after="0"/>
              <w:rPr>
                <w:sz w:val="12"/>
                <w:szCs w:val="12"/>
                <w:color w:val="auto"/>
              </w:rPr>
            </w:pPr>
          </w:p>
        </w:tc>
        <w:tc>
          <w:tcPr>
            <w:tcW w:w="5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04" w:hanging="404"/>
        <w:spacing w:after="0" w:line="235" w:lineRule="auto"/>
        <w:tabs>
          <w:tab w:leader="none" w:pos="404"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D91E18"/>
        </w:rPr>
        <w:t>PROPOSAL 3 - RATIFICATION OF APPOINTMENT OF</w:t>
      </w:r>
    </w:p>
    <w:p>
      <w:pPr>
        <w:ind w:left="404" w:hanging="404"/>
        <w:spacing w:after="0" w:line="235" w:lineRule="auto"/>
        <w:tabs>
          <w:tab w:leader="none" w:pos="404"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D91E18"/>
        </w:rPr>
        <w:t>INDEPENDENT REGISTERED PUBLIC ACCOUNTING FIRM</w:t>
      </w:r>
    </w:p>
    <w:tbl>
      <w:tblPr>
        <w:tblLayout w:type="fixed"/>
        <w:tblInd w:w="4" w:type="dxa"/>
        <w:tblCellMar>
          <w:top w:w="0" w:type="dxa"/>
          <w:left w:w="0" w:type="dxa"/>
          <w:bottom w:w="0" w:type="dxa"/>
          <w:right w:w="0" w:type="dxa"/>
        </w:tblCellMar>
      </w:tblPr>
      <w:tr>
        <w:trPr>
          <w:trHeight w:val="217"/>
        </w:trPr>
        <w:tc>
          <w:tcPr>
            <w:tcW w:w="300" w:type="dxa"/>
            <w:vAlign w:val="bottom"/>
          </w:tcPr>
          <w:p>
            <w:pPr>
              <w:jc w:val="right"/>
              <w:ind w:right="10"/>
              <w:spacing w:after="0"/>
              <w:rPr>
                <w:sz w:val="20"/>
                <w:szCs w:val="20"/>
                <w:color w:val="auto"/>
              </w:rPr>
            </w:pPr>
            <w:r>
              <w:rPr>
                <w:rFonts w:ascii="Arial" w:cs="Arial" w:eastAsia="Arial" w:hAnsi="Arial"/>
                <w:sz w:val="18"/>
                <w:szCs w:val="18"/>
                <w:color w:val="auto"/>
                <w:w w:val="89"/>
              </w:rPr>
              <w:t>22</w:t>
            </w:r>
          </w:p>
        </w:tc>
        <w:tc>
          <w:tcPr>
            <w:tcW w:w="5020" w:type="dxa"/>
            <w:vAlign w:val="bottom"/>
            <w:vMerge w:val="restart"/>
          </w:tcPr>
          <w:p>
            <w:pPr>
              <w:ind w:left="220"/>
              <w:spacing w:after="0"/>
              <w:rPr>
                <w:sz w:val="20"/>
                <w:szCs w:val="20"/>
                <w:color w:val="auto"/>
              </w:rPr>
            </w:pPr>
            <w:r>
              <w:rPr>
                <w:rFonts w:ascii="Arial" w:cs="Arial" w:eastAsia="Arial" w:hAnsi="Arial"/>
                <w:sz w:val="18"/>
                <w:szCs w:val="18"/>
                <w:color w:val="auto"/>
              </w:rPr>
              <w:t>Independent Registered Public Accounting Firm Fees</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D91E18"/>
              </w:rPr>
              <w:t>55</w:t>
            </w:r>
          </w:p>
        </w:tc>
        <w:tc>
          <w:tcPr>
            <w:tcW w:w="0" w:type="dxa"/>
            <w:vAlign w:val="bottom"/>
          </w:tcPr>
          <w:p>
            <w:pPr>
              <w:spacing w:after="0"/>
              <w:rPr>
                <w:sz w:val="1"/>
                <w:szCs w:val="1"/>
                <w:color w:val="auto"/>
              </w:rPr>
            </w:pPr>
          </w:p>
        </w:tc>
      </w:tr>
      <w:tr>
        <w:trPr>
          <w:trHeight w:val="224"/>
        </w:trPr>
        <w:tc>
          <w:tcPr>
            <w:tcW w:w="30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w w:val="89"/>
              </w:rPr>
              <w:t>23</w:t>
            </w:r>
          </w:p>
        </w:tc>
        <w:tc>
          <w:tcPr>
            <w:tcW w:w="5020" w:type="dxa"/>
            <w:vAlign w:val="bottom"/>
            <w:vMerge w:val="continue"/>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9"/>
        </w:trPr>
        <w:tc>
          <w:tcPr>
            <w:tcW w:w="300" w:type="dxa"/>
            <w:vAlign w:val="bottom"/>
            <w:vMerge w:val="continue"/>
          </w:tcPr>
          <w:p>
            <w:pPr>
              <w:spacing w:after="0"/>
              <w:rPr>
                <w:sz w:val="20"/>
                <w:szCs w:val="20"/>
                <w:color w:val="auto"/>
              </w:rPr>
            </w:pPr>
          </w:p>
        </w:tc>
        <w:tc>
          <w:tcPr>
            <w:tcW w:w="5020" w:type="dxa"/>
            <w:vAlign w:val="bottom"/>
          </w:tcPr>
          <w:p>
            <w:pPr>
              <w:ind w:left="220"/>
              <w:spacing w:after="0"/>
              <w:rPr>
                <w:sz w:val="20"/>
                <w:szCs w:val="20"/>
                <w:color w:val="auto"/>
              </w:rPr>
            </w:pPr>
            <w:r>
              <w:rPr>
                <w:rFonts w:ascii="Arial" w:cs="Arial" w:eastAsia="Arial" w:hAnsi="Arial"/>
                <w:sz w:val="18"/>
                <w:szCs w:val="18"/>
                <w:color w:val="auto"/>
              </w:rPr>
              <w:t>Audit Committee’s Pre-Approval Policies and Procedures</w:t>
            </w:r>
          </w:p>
        </w:tc>
        <w:tc>
          <w:tcPr>
            <w:tcW w:w="46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369"/>
        </w:trPr>
        <w:tc>
          <w:tcPr>
            <w:tcW w:w="300" w:type="dxa"/>
            <w:vAlign w:val="bottom"/>
          </w:tcPr>
          <w:p>
            <w:pPr>
              <w:jc w:val="right"/>
              <w:ind w:right="10"/>
              <w:spacing w:after="0"/>
              <w:rPr>
                <w:sz w:val="20"/>
                <w:szCs w:val="20"/>
                <w:color w:val="auto"/>
              </w:rPr>
            </w:pPr>
            <w:r>
              <w:rPr>
                <w:rFonts w:ascii="Arial" w:cs="Arial" w:eastAsia="Arial" w:hAnsi="Arial"/>
                <w:sz w:val="18"/>
                <w:szCs w:val="18"/>
                <w:b w:val="1"/>
                <w:bCs w:val="1"/>
                <w:color w:val="auto"/>
                <w:w w:val="89"/>
              </w:rPr>
              <w:t>24</w:t>
            </w:r>
          </w:p>
        </w:tc>
        <w:tc>
          <w:tcPr>
            <w:tcW w:w="5020" w:type="dxa"/>
            <w:vAlign w:val="bottom"/>
          </w:tcPr>
          <w:p>
            <w:pPr>
              <w:ind w:left="100"/>
              <w:spacing w:after="0"/>
              <w:rPr>
                <w:sz w:val="20"/>
                <w:szCs w:val="20"/>
                <w:color w:val="auto"/>
              </w:rPr>
            </w:pPr>
            <w:r>
              <w:rPr>
                <w:rFonts w:ascii="Arial" w:cs="Arial" w:eastAsia="Arial" w:hAnsi="Arial"/>
                <w:sz w:val="18"/>
                <w:szCs w:val="18"/>
                <w:b w:val="1"/>
                <w:bCs w:val="1"/>
                <w:color w:val="D91E18"/>
              </w:rPr>
              <w:t>STOCKHOLDER PROPOSAL</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D91E18"/>
              </w:rPr>
              <w:t>56</w:t>
            </w:r>
          </w:p>
        </w:tc>
        <w:tc>
          <w:tcPr>
            <w:tcW w:w="0" w:type="dxa"/>
            <w:vAlign w:val="bottom"/>
          </w:tcPr>
          <w:p>
            <w:pPr>
              <w:spacing w:after="0"/>
              <w:rPr>
                <w:sz w:val="1"/>
                <w:szCs w:val="1"/>
                <w:color w:val="auto"/>
              </w:rPr>
            </w:pPr>
          </w:p>
        </w:tc>
      </w:tr>
      <w:tr>
        <w:trPr>
          <w:trHeight w:val="229"/>
        </w:trPr>
        <w:tc>
          <w:tcPr>
            <w:tcW w:w="300" w:type="dxa"/>
            <w:vAlign w:val="bottom"/>
          </w:tcPr>
          <w:p>
            <w:pPr>
              <w:jc w:val="right"/>
              <w:ind w:right="10"/>
              <w:spacing w:after="0"/>
              <w:rPr>
                <w:sz w:val="20"/>
                <w:szCs w:val="20"/>
                <w:color w:val="auto"/>
              </w:rPr>
            </w:pPr>
            <w:r>
              <w:rPr>
                <w:rFonts w:ascii="Arial" w:cs="Arial" w:eastAsia="Arial" w:hAnsi="Arial"/>
                <w:sz w:val="18"/>
                <w:szCs w:val="18"/>
                <w:color w:val="auto"/>
                <w:w w:val="89"/>
              </w:rPr>
              <w:t>24</w:t>
            </w:r>
          </w:p>
        </w:tc>
        <w:tc>
          <w:tcPr>
            <w:tcW w:w="5020" w:type="dxa"/>
            <w:vAlign w:val="bottom"/>
          </w:tcPr>
          <w:p>
            <w:pPr>
              <w:ind w:left="220"/>
              <w:spacing w:after="0"/>
              <w:rPr>
                <w:sz w:val="20"/>
                <w:szCs w:val="20"/>
                <w:color w:val="auto"/>
              </w:rPr>
            </w:pPr>
            <w:r>
              <w:rPr>
                <w:rFonts w:ascii="Arial" w:cs="Arial" w:eastAsia="Arial" w:hAnsi="Arial"/>
                <w:sz w:val="18"/>
                <w:szCs w:val="18"/>
                <w:color w:val="auto"/>
              </w:rPr>
              <w:t>Proposal 4 – Simple Majority Vote</w:t>
            </w:r>
          </w:p>
        </w:tc>
        <w:tc>
          <w:tcPr>
            <w:tcW w:w="46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30"/>
        </w:trPr>
        <w:tc>
          <w:tcPr>
            <w:tcW w:w="300" w:type="dxa"/>
            <w:vAlign w:val="bottom"/>
          </w:tcPr>
          <w:p>
            <w:pPr>
              <w:jc w:val="right"/>
              <w:ind w:right="10"/>
              <w:spacing w:after="0"/>
              <w:rPr>
                <w:sz w:val="20"/>
                <w:szCs w:val="20"/>
                <w:color w:val="auto"/>
              </w:rPr>
            </w:pPr>
            <w:r>
              <w:rPr>
                <w:rFonts w:ascii="Arial" w:cs="Arial" w:eastAsia="Arial" w:hAnsi="Arial"/>
                <w:sz w:val="18"/>
                <w:szCs w:val="18"/>
                <w:color w:val="auto"/>
                <w:w w:val="89"/>
              </w:rPr>
              <w:t>25</w:t>
            </w:r>
          </w:p>
        </w:tc>
        <w:tc>
          <w:tcPr>
            <w:tcW w:w="502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OTHER MATTERS</w:t>
            </w:r>
          </w:p>
        </w:tc>
        <w:tc>
          <w:tcPr>
            <w:tcW w:w="4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59</w:t>
            </w:r>
          </w:p>
        </w:tc>
        <w:tc>
          <w:tcPr>
            <w:tcW w:w="0" w:type="dxa"/>
            <w:vAlign w:val="bottom"/>
          </w:tcPr>
          <w:p>
            <w:pPr>
              <w:spacing w:after="0"/>
              <w:rPr>
                <w:sz w:val="1"/>
                <w:szCs w:val="1"/>
                <w:color w:val="auto"/>
              </w:rPr>
            </w:pPr>
          </w:p>
        </w:tc>
      </w:tr>
      <w:tr>
        <w:trPr>
          <w:trHeight w:val="181"/>
        </w:trPr>
        <w:tc>
          <w:tcPr>
            <w:tcW w:w="300" w:type="dxa"/>
            <w:vAlign w:val="bottom"/>
          </w:tcPr>
          <w:p>
            <w:pPr>
              <w:jc w:val="right"/>
              <w:ind w:right="10"/>
              <w:spacing w:after="0" w:line="181" w:lineRule="exact"/>
              <w:rPr>
                <w:sz w:val="20"/>
                <w:szCs w:val="20"/>
                <w:color w:val="auto"/>
              </w:rPr>
            </w:pPr>
            <w:r>
              <w:rPr>
                <w:rFonts w:ascii="Arial" w:cs="Arial" w:eastAsia="Arial" w:hAnsi="Arial"/>
                <w:sz w:val="18"/>
                <w:szCs w:val="18"/>
                <w:color w:val="auto"/>
                <w:w w:val="89"/>
              </w:rPr>
              <w:t>26</w:t>
            </w:r>
          </w:p>
        </w:tc>
        <w:tc>
          <w:tcPr>
            <w:tcW w:w="502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00" w:type="dxa"/>
            <w:vAlign w:val="bottom"/>
          </w:tcPr>
          <w:p>
            <w:pPr>
              <w:jc w:val="right"/>
              <w:ind w:right="10"/>
              <w:spacing w:after="0"/>
              <w:rPr>
                <w:sz w:val="20"/>
                <w:szCs w:val="20"/>
                <w:color w:val="auto"/>
              </w:rPr>
            </w:pPr>
            <w:r>
              <w:rPr>
                <w:rFonts w:ascii="Arial" w:cs="Arial" w:eastAsia="Arial" w:hAnsi="Arial"/>
                <w:sz w:val="18"/>
                <w:szCs w:val="18"/>
                <w:color w:val="auto"/>
                <w:w w:val="89"/>
              </w:rPr>
              <w:t>27</w:t>
            </w:r>
          </w:p>
        </w:tc>
        <w:tc>
          <w:tcPr>
            <w:tcW w:w="5020" w:type="dxa"/>
            <w:vAlign w:val="bottom"/>
          </w:tcPr>
          <w:p>
            <w:pPr>
              <w:ind w:left="220"/>
              <w:spacing w:after="0"/>
              <w:rPr>
                <w:sz w:val="20"/>
                <w:szCs w:val="20"/>
                <w:color w:val="auto"/>
              </w:rPr>
            </w:pPr>
            <w:r>
              <w:rPr>
                <w:rFonts w:ascii="Arial" w:cs="Arial" w:eastAsia="Arial" w:hAnsi="Arial"/>
                <w:sz w:val="18"/>
                <w:szCs w:val="18"/>
                <w:color w:val="auto"/>
              </w:rPr>
              <w:t>Stockholder Proposals for the 2026 Annual Meeting</w:t>
            </w:r>
          </w:p>
        </w:tc>
        <w:tc>
          <w:tcPr>
            <w:tcW w:w="46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84"/>
        </w:trPr>
        <w:tc>
          <w:tcPr>
            <w:tcW w:w="300" w:type="dxa"/>
            <w:vAlign w:val="bottom"/>
          </w:tcPr>
          <w:p>
            <w:pPr>
              <w:spacing w:after="0"/>
              <w:rPr>
                <w:sz w:val="15"/>
                <w:szCs w:val="15"/>
                <w:color w:val="auto"/>
              </w:rPr>
            </w:pPr>
          </w:p>
        </w:tc>
        <w:tc>
          <w:tcPr>
            <w:tcW w:w="5020" w:type="dxa"/>
            <w:vAlign w:val="bottom"/>
          </w:tcPr>
          <w:p>
            <w:pPr>
              <w:ind w:left="220"/>
              <w:spacing w:after="0" w:line="183" w:lineRule="exact"/>
              <w:rPr>
                <w:sz w:val="20"/>
                <w:szCs w:val="20"/>
                <w:color w:val="auto"/>
              </w:rPr>
            </w:pPr>
            <w:r>
              <w:rPr>
                <w:rFonts w:ascii="Arial" w:cs="Arial" w:eastAsia="Arial" w:hAnsi="Arial"/>
                <w:sz w:val="18"/>
                <w:szCs w:val="18"/>
                <w:color w:val="auto"/>
              </w:rPr>
              <w:t>Compliance with Universal Proxy Rules for Director</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9"/>
        </w:trPr>
        <w:tc>
          <w:tcPr>
            <w:tcW w:w="300" w:type="dxa"/>
            <w:vAlign w:val="bottom"/>
            <w:vMerge w:val="restart"/>
          </w:tcPr>
          <w:p>
            <w:pPr>
              <w:jc w:val="right"/>
              <w:ind w:right="10"/>
              <w:spacing w:after="0"/>
              <w:rPr>
                <w:sz w:val="20"/>
                <w:szCs w:val="20"/>
                <w:color w:val="auto"/>
              </w:rPr>
            </w:pPr>
            <w:r>
              <w:rPr>
                <w:rFonts w:ascii="Arial" w:cs="Arial" w:eastAsia="Arial" w:hAnsi="Arial"/>
                <w:sz w:val="18"/>
                <w:szCs w:val="18"/>
                <w:color w:val="auto"/>
                <w:w w:val="89"/>
              </w:rPr>
              <w:t>28</w:t>
            </w:r>
          </w:p>
        </w:tc>
        <w:tc>
          <w:tcPr>
            <w:tcW w:w="5020" w:type="dxa"/>
            <w:vAlign w:val="bottom"/>
          </w:tcPr>
          <w:p>
            <w:pPr>
              <w:ind w:left="220"/>
              <w:spacing w:after="0"/>
              <w:rPr>
                <w:sz w:val="20"/>
                <w:szCs w:val="20"/>
                <w:color w:val="auto"/>
              </w:rPr>
            </w:pPr>
            <w:r>
              <w:rPr>
                <w:rFonts w:ascii="Arial" w:cs="Arial" w:eastAsia="Arial" w:hAnsi="Arial"/>
                <w:sz w:val="18"/>
                <w:szCs w:val="18"/>
                <w:color w:val="auto"/>
              </w:rPr>
              <w:t>Nominations</w:t>
            </w:r>
          </w:p>
        </w:tc>
        <w:tc>
          <w:tcPr>
            <w:tcW w:w="4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68"/>
        </w:trPr>
        <w:tc>
          <w:tcPr>
            <w:tcW w:w="300" w:type="dxa"/>
            <w:vAlign w:val="bottom"/>
            <w:vMerge w:val="continue"/>
          </w:tcPr>
          <w:p>
            <w:pPr>
              <w:spacing w:after="0"/>
              <w:rPr>
                <w:sz w:val="5"/>
                <w:szCs w:val="5"/>
                <w:color w:val="auto"/>
              </w:rPr>
            </w:pPr>
          </w:p>
        </w:tc>
        <w:tc>
          <w:tcPr>
            <w:tcW w:w="5020" w:type="dxa"/>
            <w:vAlign w:val="bottom"/>
            <w:vMerge w:val="restart"/>
          </w:tcPr>
          <w:p>
            <w:pPr>
              <w:ind w:left="220"/>
              <w:spacing w:after="0"/>
              <w:rPr>
                <w:sz w:val="20"/>
                <w:szCs w:val="20"/>
                <w:color w:val="auto"/>
              </w:rPr>
            </w:pPr>
            <w:r>
              <w:rPr>
                <w:rFonts w:ascii="Arial" w:cs="Arial" w:eastAsia="Arial" w:hAnsi="Arial"/>
                <w:sz w:val="18"/>
                <w:szCs w:val="18"/>
                <w:color w:val="auto"/>
              </w:rPr>
              <w:t>Delivery of Proxy Materials to Households</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62"/>
        </w:trPr>
        <w:tc>
          <w:tcPr>
            <w:tcW w:w="300" w:type="dxa"/>
            <w:vAlign w:val="bottom"/>
            <w:vMerge w:val="restart"/>
          </w:tcPr>
          <w:p>
            <w:pPr>
              <w:jc w:val="right"/>
              <w:ind w:right="10"/>
              <w:spacing w:after="0"/>
              <w:rPr>
                <w:sz w:val="20"/>
                <w:szCs w:val="20"/>
                <w:color w:val="auto"/>
              </w:rPr>
            </w:pPr>
            <w:r>
              <w:rPr>
                <w:rFonts w:ascii="Arial" w:cs="Arial" w:eastAsia="Arial" w:hAnsi="Arial"/>
                <w:sz w:val="18"/>
                <w:szCs w:val="18"/>
                <w:color w:val="auto"/>
                <w:w w:val="89"/>
              </w:rPr>
              <w:t>29</w:t>
            </w:r>
          </w:p>
        </w:tc>
        <w:tc>
          <w:tcPr>
            <w:tcW w:w="502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300" w:type="dxa"/>
            <w:vAlign w:val="bottom"/>
            <w:vMerge w:val="continue"/>
          </w:tcPr>
          <w:p>
            <w:pPr>
              <w:spacing w:after="0"/>
              <w:rPr>
                <w:sz w:val="6"/>
                <w:szCs w:val="6"/>
                <w:color w:val="auto"/>
              </w:rPr>
            </w:pPr>
          </w:p>
        </w:tc>
        <w:tc>
          <w:tcPr>
            <w:tcW w:w="5020" w:type="dxa"/>
            <w:vAlign w:val="bottom"/>
            <w:vMerge w:val="restart"/>
          </w:tcPr>
          <w:p>
            <w:pPr>
              <w:ind w:left="220"/>
              <w:spacing w:after="0"/>
              <w:rPr>
                <w:sz w:val="20"/>
                <w:szCs w:val="20"/>
                <w:color w:val="auto"/>
              </w:rPr>
            </w:pPr>
            <w:r>
              <w:rPr>
                <w:rFonts w:ascii="Arial" w:cs="Arial" w:eastAsia="Arial" w:hAnsi="Arial"/>
                <w:sz w:val="18"/>
                <w:szCs w:val="18"/>
                <w:color w:val="auto"/>
              </w:rPr>
              <w:t>Additional Information</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62"/>
        </w:trPr>
        <w:tc>
          <w:tcPr>
            <w:tcW w:w="300" w:type="dxa"/>
            <w:vAlign w:val="bottom"/>
          </w:tcPr>
          <w:p>
            <w:pPr>
              <w:spacing w:after="0"/>
              <w:rPr>
                <w:sz w:val="14"/>
                <w:szCs w:val="14"/>
                <w:color w:val="auto"/>
              </w:rPr>
            </w:pPr>
          </w:p>
        </w:tc>
        <w:tc>
          <w:tcPr>
            <w:tcW w:w="502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1"/>
        </w:trPr>
        <w:tc>
          <w:tcPr>
            <w:tcW w:w="300" w:type="dxa"/>
            <w:vAlign w:val="bottom"/>
          </w:tcPr>
          <w:p>
            <w:pPr>
              <w:jc w:val="right"/>
              <w:ind w:right="10"/>
              <w:spacing w:after="0"/>
              <w:rPr>
                <w:sz w:val="20"/>
                <w:szCs w:val="20"/>
                <w:color w:val="auto"/>
              </w:rPr>
            </w:pPr>
            <w:r>
              <w:rPr>
                <w:rFonts w:ascii="Arial" w:cs="Arial" w:eastAsia="Arial" w:hAnsi="Arial"/>
                <w:sz w:val="18"/>
                <w:szCs w:val="18"/>
                <w:color w:val="auto"/>
                <w:w w:val="89"/>
              </w:rPr>
              <w:t>29</w:t>
            </w:r>
          </w:p>
        </w:tc>
        <w:tc>
          <w:tcPr>
            <w:tcW w:w="502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APPENDIX A</w:t>
            </w:r>
          </w:p>
        </w:tc>
        <w:tc>
          <w:tcPr>
            <w:tcW w:w="4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61</w:t>
            </w:r>
          </w:p>
        </w:tc>
        <w:tc>
          <w:tcPr>
            <w:tcW w:w="0" w:type="dxa"/>
            <w:vAlign w:val="bottom"/>
          </w:tcPr>
          <w:p>
            <w:pPr>
              <w:spacing w:after="0"/>
              <w:rPr>
                <w:sz w:val="1"/>
                <w:szCs w:val="1"/>
                <w:color w:val="auto"/>
              </w:rPr>
            </w:pPr>
          </w:p>
        </w:tc>
      </w:tr>
      <w:tr>
        <w:trPr>
          <w:trHeight w:val="139"/>
        </w:trPr>
        <w:tc>
          <w:tcPr>
            <w:tcW w:w="300" w:type="dxa"/>
            <w:vAlign w:val="bottom"/>
            <w:vMerge w:val="restart"/>
          </w:tcPr>
          <w:p>
            <w:pPr>
              <w:jc w:val="right"/>
              <w:ind w:right="10"/>
              <w:spacing w:after="0"/>
              <w:rPr>
                <w:sz w:val="20"/>
                <w:szCs w:val="20"/>
                <w:color w:val="auto"/>
              </w:rPr>
            </w:pPr>
            <w:r>
              <w:rPr>
                <w:rFonts w:ascii="Arial" w:cs="Arial" w:eastAsia="Arial" w:hAnsi="Arial"/>
                <w:sz w:val="18"/>
                <w:szCs w:val="18"/>
                <w:color w:val="auto"/>
                <w:w w:val="89"/>
              </w:rPr>
              <w:t>29</w:t>
            </w:r>
          </w:p>
        </w:tc>
        <w:tc>
          <w:tcPr>
            <w:tcW w:w="5020" w:type="dxa"/>
            <w:vAlign w:val="bottom"/>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1"/>
        </w:trPr>
        <w:tc>
          <w:tcPr>
            <w:tcW w:w="300" w:type="dxa"/>
            <w:vAlign w:val="bottom"/>
            <w:vMerge w:val="continue"/>
          </w:tcPr>
          <w:p>
            <w:pPr>
              <w:spacing w:after="0"/>
              <w:rPr>
                <w:sz w:val="7"/>
                <w:szCs w:val="7"/>
                <w:color w:val="auto"/>
              </w:rPr>
            </w:pPr>
          </w:p>
        </w:tc>
        <w:tc>
          <w:tcPr>
            <w:tcW w:w="5020" w:type="dxa"/>
            <w:vAlign w:val="bottom"/>
          </w:tcPr>
          <w:p>
            <w:pPr>
              <w:spacing w:after="0"/>
              <w:rPr>
                <w:sz w:val="7"/>
                <w:szCs w:val="7"/>
                <w:color w:val="auto"/>
              </w:rPr>
            </w:pPr>
          </w:p>
        </w:tc>
        <w:tc>
          <w:tcPr>
            <w:tcW w:w="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300" w:type="dxa"/>
            <w:vAlign w:val="bottom"/>
          </w:tcPr>
          <w:p>
            <w:pPr>
              <w:jc w:val="right"/>
              <w:ind w:right="10"/>
              <w:spacing w:after="0"/>
              <w:rPr>
                <w:sz w:val="20"/>
                <w:szCs w:val="20"/>
                <w:color w:val="auto"/>
              </w:rPr>
            </w:pPr>
            <w:r>
              <w:rPr>
                <w:rFonts w:ascii="Arial" w:cs="Arial" w:eastAsia="Arial" w:hAnsi="Arial"/>
                <w:sz w:val="18"/>
                <w:szCs w:val="18"/>
                <w:color w:val="auto"/>
                <w:w w:val="89"/>
              </w:rPr>
              <w:t>30</w:t>
            </w:r>
          </w:p>
        </w:tc>
        <w:tc>
          <w:tcPr>
            <w:tcW w:w="50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4"/>
        <w:spacing w:after="0"/>
        <w:rPr>
          <w:sz w:val="20"/>
          <w:szCs w:val="20"/>
          <w:color w:val="auto"/>
        </w:rPr>
      </w:pPr>
      <w:r>
        <w:rPr>
          <w:rFonts w:ascii="Arial" w:cs="Arial" w:eastAsia="Arial" w:hAnsi="Arial"/>
          <w:sz w:val="18"/>
          <w:szCs w:val="18"/>
          <w:color w:val="auto"/>
        </w:rPr>
        <w:t>30</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8"/>
          <w:szCs w:val="18"/>
          <w:color w:val="auto"/>
        </w:rPr>
        <w:t>30</w:t>
      </w:r>
    </w:p>
    <w:p>
      <w:pPr>
        <w:spacing w:after="0" w:line="216" w:lineRule="exact"/>
        <w:rPr>
          <w:sz w:val="20"/>
          <w:szCs w:val="20"/>
          <w:color w:val="auto"/>
        </w:rPr>
      </w:pPr>
    </w:p>
    <w:p>
      <w:pPr>
        <w:ind w:left="4"/>
        <w:spacing w:after="0"/>
        <w:rPr>
          <w:sz w:val="20"/>
          <w:szCs w:val="20"/>
          <w:color w:val="auto"/>
        </w:rPr>
      </w:pPr>
      <w:r>
        <w:rPr>
          <w:rFonts w:ascii="Arial" w:cs="Arial" w:eastAsia="Arial" w:hAnsi="Arial"/>
          <w:sz w:val="18"/>
          <w:szCs w:val="18"/>
          <w:color w:val="auto"/>
        </w:rPr>
        <w:t>37</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-3306445</wp:posOffset>
            </wp:positionH>
            <wp:positionV relativeFrom="paragraph">
              <wp:posOffset>599440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120" w:space="76"/>
            <w:col w:w="5784"/>
          </w:cols>
          <w:pgMar w:left="320" w:top="870" w:right="59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1380490" cy="4114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8049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Asbury Automotive Group, Inc.</w:t>
      </w:r>
    </w:p>
    <w:p>
      <w:pPr>
        <w:spacing w:after="0" w:line="203" w:lineRule="auto"/>
        <w:rPr>
          <w:sz w:val="20"/>
          <w:szCs w:val="20"/>
          <w:color w:val="auto"/>
        </w:rPr>
      </w:pPr>
      <w:r>
        <w:rPr>
          <w:rFonts w:ascii="Arial" w:cs="Arial" w:eastAsia="Arial" w:hAnsi="Arial"/>
          <w:sz w:val="18"/>
          <w:szCs w:val="18"/>
          <w:b w:val="1"/>
          <w:bCs w:val="1"/>
          <w:color w:val="auto"/>
        </w:rPr>
        <w:t>2905 Premiere Parkway NW, Suite 300</w:t>
      </w:r>
    </w:p>
    <w:p>
      <w:pPr>
        <w:spacing w:after="0"/>
        <w:rPr>
          <w:sz w:val="20"/>
          <w:szCs w:val="20"/>
          <w:color w:val="auto"/>
        </w:rPr>
      </w:pPr>
      <w:r>
        <w:rPr>
          <w:rFonts w:ascii="Arial" w:cs="Arial" w:eastAsia="Arial" w:hAnsi="Arial"/>
          <w:sz w:val="18"/>
          <w:szCs w:val="18"/>
          <w:b w:val="1"/>
          <w:bCs w:val="1"/>
          <w:color w:val="auto"/>
        </w:rPr>
        <w:t>Duluth, Georgia 30097</w:t>
      </w:r>
    </w:p>
    <w:p>
      <w:pPr>
        <w:spacing w:after="0" w:line="283"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PROXY STATEMENT</w:t>
      </w:r>
    </w:p>
    <w:p>
      <w:pPr>
        <w:spacing w:after="0" w:line="9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This proxy statement is furnished in connection with the solicitation of proxies by Asbury Automotive Group, Inc. (“Asbury”, the “Company”, “we”, “us” or “our”) on behalf of the Board of Directors (the “Board”) for the 2025 Annual Meeting of Stockholders (the "2025 Annual Meeting"), including all adjournments or postponements of the 2025 Annual Meeting. The accompanying Notice of the 2025 Annual Meeting and Important Notice Regarding the Availability of Proxy Materials for the 2025 Annual Meeting to be held on May 13, 2025, this proxy statement and proxy card are first being mailed to stockholders, and made available on the Internet, on or about April 2, 2025. A copy of the Company’s Annual Report on Form 10-K for the year ended December 31, 2024 is included with these materials.</w:t>
      </w:r>
    </w:p>
    <w:p>
      <w:pPr>
        <w:spacing w:after="0" w:line="28"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INFORMATION ABOUT THE MEETING</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What is the purpose of the 2025 Annual Meeting?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At the 2025 Annual Meeting, stockholders will be asked to consider and vote on the following proposals:</w:t>
      </w:r>
    </w:p>
    <w:p>
      <w:pPr>
        <w:spacing w:after="0" w:line="55"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1060" w:type="dxa"/>
            <w:vAlign w:val="bottom"/>
            <w:tcBorders>
              <w:left w:val="single" w:sz="8" w:color="E5E5E5"/>
              <w:right w:val="single" w:sz="8" w:color="E5E5E5"/>
            </w:tcBorders>
            <w:shd w:val="clear" w:color="auto" w:fill="D91E18"/>
          </w:tcPr>
          <w:p>
            <w:pPr>
              <w:jc w:val="center"/>
              <w:spacing w:after="0"/>
              <w:rPr>
                <w:sz w:val="20"/>
                <w:szCs w:val="20"/>
                <w:color w:val="auto"/>
              </w:rPr>
            </w:pPr>
            <w:r>
              <w:rPr>
                <w:rFonts w:ascii="Arial" w:cs="Arial" w:eastAsia="Arial" w:hAnsi="Arial"/>
                <w:sz w:val="18"/>
                <w:szCs w:val="18"/>
                <w:b w:val="1"/>
                <w:bCs w:val="1"/>
                <w:color w:val="FFFFFF"/>
              </w:rPr>
              <w:t>Proposal</w:t>
            </w:r>
          </w:p>
        </w:tc>
        <w:tc>
          <w:tcPr>
            <w:tcW w:w="6900" w:type="dxa"/>
            <w:vAlign w:val="bottom"/>
            <w:tcBorders>
              <w:right w:val="single" w:sz="8" w:color="E5E5E5"/>
            </w:tcBorders>
            <w:shd w:val="clear" w:color="auto" w:fill="D91E18"/>
          </w:tcPr>
          <w:p>
            <w:pPr>
              <w:ind w:left="20"/>
              <w:spacing w:after="0"/>
              <w:rPr>
                <w:sz w:val="20"/>
                <w:szCs w:val="20"/>
                <w:color w:val="auto"/>
              </w:rPr>
            </w:pPr>
            <w:r>
              <w:rPr>
                <w:rFonts w:ascii="Arial" w:cs="Arial" w:eastAsia="Arial" w:hAnsi="Arial"/>
                <w:sz w:val="18"/>
                <w:szCs w:val="18"/>
                <w:b w:val="1"/>
                <w:bCs w:val="1"/>
                <w:color w:val="FFFFFF"/>
              </w:rPr>
              <w:t>Matter</w:t>
            </w:r>
          </w:p>
        </w:tc>
        <w:tc>
          <w:tcPr>
            <w:tcW w:w="3300" w:type="dxa"/>
            <w:vAlign w:val="bottom"/>
            <w:tcBorders>
              <w:right w:val="single" w:sz="8" w:color="E5E5E5"/>
            </w:tcBorders>
            <w:shd w:val="clear" w:color="auto" w:fill="D91E18"/>
          </w:tcPr>
          <w:p>
            <w:pPr>
              <w:jc w:val="center"/>
              <w:spacing w:after="0"/>
              <w:rPr>
                <w:sz w:val="20"/>
                <w:szCs w:val="20"/>
                <w:color w:val="auto"/>
              </w:rPr>
            </w:pPr>
            <w:r>
              <w:rPr>
                <w:rFonts w:ascii="Arial" w:cs="Arial" w:eastAsia="Arial" w:hAnsi="Arial"/>
                <w:sz w:val="18"/>
                <w:szCs w:val="18"/>
                <w:b w:val="1"/>
                <w:bCs w:val="1"/>
                <w:color w:val="FFFFFF"/>
                <w:w w:val="99"/>
              </w:rPr>
              <w:t>Board Vote Recommendations</w:t>
            </w:r>
          </w:p>
        </w:tc>
        <w:tc>
          <w:tcPr>
            <w:tcW w:w="0" w:type="dxa"/>
            <w:vAlign w:val="bottom"/>
          </w:tcPr>
          <w:p>
            <w:pPr>
              <w:spacing w:after="0"/>
              <w:rPr>
                <w:sz w:val="1"/>
                <w:szCs w:val="1"/>
                <w:color w:val="auto"/>
              </w:rPr>
            </w:pPr>
          </w:p>
        </w:tc>
      </w:tr>
      <w:tr>
        <w:trPr>
          <w:trHeight w:val="250"/>
        </w:trPr>
        <w:tc>
          <w:tcPr>
            <w:tcW w:w="1060" w:type="dxa"/>
            <w:vAlign w:val="bottom"/>
            <w:tcBorders>
              <w:left w:val="single" w:sz="8" w:color="E5E5E5"/>
              <w:right w:val="single" w:sz="8" w:color="E5E5E5"/>
            </w:tcBorders>
            <w:shd w:val="clear" w:color="auto" w:fill="DBDBDB"/>
          </w:tcPr>
          <w:p>
            <w:pPr>
              <w:jc w:val="center"/>
              <w:spacing w:after="0"/>
              <w:rPr>
                <w:sz w:val="20"/>
                <w:szCs w:val="20"/>
                <w:color w:val="auto"/>
              </w:rPr>
            </w:pPr>
            <w:r>
              <w:rPr>
                <w:rFonts w:ascii="Arial" w:cs="Arial" w:eastAsia="Arial" w:hAnsi="Arial"/>
                <w:sz w:val="18"/>
                <w:szCs w:val="18"/>
                <w:color w:val="auto"/>
                <w:w w:val="99"/>
              </w:rPr>
              <w:t>1</w:t>
            </w:r>
          </w:p>
        </w:tc>
        <w:tc>
          <w:tcPr>
            <w:tcW w:w="6900" w:type="dxa"/>
            <w:vAlign w:val="bottom"/>
            <w:tcBorders>
              <w:right w:val="single" w:sz="8" w:color="E5E5E5"/>
            </w:tcBorders>
            <w:shd w:val="clear" w:color="auto" w:fill="DBDBDB"/>
          </w:tcPr>
          <w:p>
            <w:pPr>
              <w:ind w:left="20"/>
              <w:spacing w:after="0"/>
              <w:rPr>
                <w:sz w:val="20"/>
                <w:szCs w:val="20"/>
                <w:color w:val="auto"/>
              </w:rPr>
            </w:pPr>
            <w:r>
              <w:rPr>
                <w:rFonts w:ascii="Arial" w:cs="Arial" w:eastAsia="Arial" w:hAnsi="Arial"/>
                <w:sz w:val="18"/>
                <w:szCs w:val="18"/>
                <w:color w:val="auto"/>
              </w:rPr>
              <w:t>Election of Directors</w:t>
            </w:r>
          </w:p>
        </w:tc>
        <w:tc>
          <w:tcPr>
            <w:tcW w:w="3300" w:type="dxa"/>
            <w:vAlign w:val="bottom"/>
            <w:tcBorders>
              <w:right w:val="single" w:sz="8" w:color="E5E5E5"/>
            </w:tcBorders>
            <w:shd w:val="clear" w:color="auto" w:fill="DBDBDB"/>
          </w:tcPr>
          <w:p>
            <w:pPr>
              <w:jc w:val="center"/>
              <w:spacing w:after="0"/>
              <w:rPr>
                <w:sz w:val="20"/>
                <w:szCs w:val="20"/>
                <w:color w:val="auto"/>
              </w:rPr>
            </w:pPr>
            <w:r>
              <w:rPr>
                <w:rFonts w:ascii="Arial" w:cs="Arial" w:eastAsia="Arial" w:hAnsi="Arial"/>
                <w:sz w:val="18"/>
                <w:szCs w:val="18"/>
                <w:color w:val="auto"/>
                <w:w w:val="99"/>
              </w:rPr>
              <w:t>FOR each nominee</w:t>
            </w:r>
          </w:p>
        </w:tc>
        <w:tc>
          <w:tcPr>
            <w:tcW w:w="0" w:type="dxa"/>
            <w:vAlign w:val="bottom"/>
          </w:tcPr>
          <w:p>
            <w:pPr>
              <w:spacing w:after="0"/>
              <w:rPr>
                <w:sz w:val="1"/>
                <w:szCs w:val="1"/>
                <w:color w:val="auto"/>
              </w:rPr>
            </w:pPr>
          </w:p>
        </w:tc>
      </w:tr>
      <w:tr>
        <w:trPr>
          <w:trHeight w:val="176"/>
        </w:trPr>
        <w:tc>
          <w:tcPr>
            <w:tcW w:w="1060" w:type="dxa"/>
            <w:vAlign w:val="bottom"/>
            <w:tcBorders>
              <w:left w:val="single" w:sz="8" w:color="E5E5E5"/>
              <w:right w:val="single" w:sz="8" w:color="E5E5E5"/>
            </w:tcBorders>
            <w:vMerge w:val="restart"/>
          </w:tcPr>
          <w:p>
            <w:pPr>
              <w:jc w:val="center"/>
              <w:spacing w:after="0"/>
              <w:rPr>
                <w:sz w:val="20"/>
                <w:szCs w:val="20"/>
                <w:color w:val="auto"/>
              </w:rPr>
            </w:pPr>
            <w:r>
              <w:rPr>
                <w:rFonts w:ascii="Arial" w:cs="Arial" w:eastAsia="Arial" w:hAnsi="Arial"/>
                <w:sz w:val="18"/>
                <w:szCs w:val="18"/>
                <w:color w:val="auto"/>
                <w:w w:val="99"/>
              </w:rPr>
              <w:t>2</w:t>
            </w:r>
          </w:p>
        </w:tc>
        <w:tc>
          <w:tcPr>
            <w:tcW w:w="6900" w:type="dxa"/>
            <w:vAlign w:val="bottom"/>
            <w:tcBorders>
              <w:right w:val="single" w:sz="8" w:color="E5E5E5"/>
            </w:tcBorders>
          </w:tcPr>
          <w:p>
            <w:pPr>
              <w:ind w:left="20"/>
              <w:spacing w:after="0" w:line="176" w:lineRule="exact"/>
              <w:rPr>
                <w:sz w:val="20"/>
                <w:szCs w:val="20"/>
                <w:color w:val="auto"/>
              </w:rPr>
            </w:pPr>
            <w:r>
              <w:rPr>
                <w:rFonts w:ascii="Arial" w:cs="Arial" w:eastAsia="Arial" w:hAnsi="Arial"/>
                <w:sz w:val="18"/>
                <w:szCs w:val="18"/>
                <w:color w:val="auto"/>
              </w:rPr>
              <w:t>Approval, on an advisory basis, of the 2024 compensation of our named executive</w:t>
            </w:r>
          </w:p>
        </w:tc>
        <w:tc>
          <w:tcPr>
            <w:tcW w:w="3300" w:type="dxa"/>
            <w:vAlign w:val="bottom"/>
            <w:tcBorders>
              <w:right w:val="single" w:sz="8" w:color="E5E5E5"/>
            </w:tcBorders>
            <w:vMerge w:val="restart"/>
          </w:tcPr>
          <w:p>
            <w:pPr>
              <w:jc w:val="center"/>
              <w:spacing w:after="0"/>
              <w:rPr>
                <w:sz w:val="20"/>
                <w:szCs w:val="20"/>
                <w:color w:val="auto"/>
              </w:rPr>
            </w:pPr>
            <w:r>
              <w:rPr>
                <w:rFonts w:ascii="Arial" w:cs="Arial" w:eastAsia="Arial" w:hAnsi="Arial"/>
                <w:sz w:val="18"/>
                <w:szCs w:val="18"/>
                <w:color w:val="auto"/>
                <w:w w:val="94"/>
              </w:rPr>
              <w:t>FOR</w:t>
            </w:r>
          </w:p>
        </w:tc>
        <w:tc>
          <w:tcPr>
            <w:tcW w:w="0" w:type="dxa"/>
            <w:vAlign w:val="bottom"/>
          </w:tcPr>
          <w:p>
            <w:pPr>
              <w:spacing w:after="0"/>
              <w:rPr>
                <w:sz w:val="1"/>
                <w:szCs w:val="1"/>
                <w:color w:val="auto"/>
              </w:rPr>
            </w:pPr>
          </w:p>
        </w:tc>
      </w:tr>
      <w:tr>
        <w:trPr>
          <w:trHeight w:val="153"/>
        </w:trPr>
        <w:tc>
          <w:tcPr>
            <w:tcW w:w="1060" w:type="dxa"/>
            <w:vAlign w:val="bottom"/>
            <w:tcBorders>
              <w:left w:val="single" w:sz="8" w:color="E5E5E5"/>
              <w:right w:val="single" w:sz="8" w:color="E5E5E5"/>
            </w:tcBorders>
            <w:vMerge w:val="continue"/>
          </w:tcPr>
          <w:p>
            <w:pPr>
              <w:spacing w:after="0"/>
              <w:rPr>
                <w:sz w:val="13"/>
                <w:szCs w:val="13"/>
                <w:color w:val="auto"/>
              </w:rPr>
            </w:pPr>
          </w:p>
        </w:tc>
        <w:tc>
          <w:tcPr>
            <w:tcW w:w="6900" w:type="dxa"/>
            <w:vAlign w:val="bottom"/>
            <w:tcBorders>
              <w:right w:val="single" w:sz="8" w:color="E5E5E5"/>
            </w:tcBorders>
            <w:vMerge w:val="restart"/>
          </w:tcPr>
          <w:p>
            <w:pPr>
              <w:ind w:left="20"/>
              <w:spacing w:after="0"/>
              <w:rPr>
                <w:sz w:val="20"/>
                <w:szCs w:val="20"/>
                <w:color w:val="auto"/>
              </w:rPr>
            </w:pPr>
            <w:r>
              <w:rPr>
                <w:rFonts w:ascii="Arial" w:cs="Arial" w:eastAsia="Arial" w:hAnsi="Arial"/>
                <w:sz w:val="18"/>
                <w:szCs w:val="18"/>
                <w:color w:val="auto"/>
              </w:rPr>
              <w:t>officers</w:t>
            </w:r>
          </w:p>
        </w:tc>
        <w:tc>
          <w:tcPr>
            <w:tcW w:w="3300" w:type="dxa"/>
            <w:vAlign w:val="bottom"/>
            <w:tcBorders>
              <w:right w:val="single" w:sz="8" w:color="E5E5E5"/>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1060" w:type="dxa"/>
            <w:vAlign w:val="bottom"/>
            <w:tcBorders>
              <w:left w:val="single" w:sz="8" w:color="E5E5E5"/>
              <w:right w:val="single" w:sz="8" w:color="E5E5E5"/>
            </w:tcBorders>
          </w:tcPr>
          <w:p>
            <w:pPr>
              <w:spacing w:after="0"/>
              <w:rPr>
                <w:sz w:val="7"/>
                <w:szCs w:val="7"/>
                <w:color w:val="auto"/>
              </w:rPr>
            </w:pPr>
          </w:p>
        </w:tc>
        <w:tc>
          <w:tcPr>
            <w:tcW w:w="6900" w:type="dxa"/>
            <w:vAlign w:val="bottom"/>
            <w:tcBorders>
              <w:right w:val="single" w:sz="8" w:color="E5E5E5"/>
            </w:tcBorders>
            <w:vMerge w:val="continue"/>
          </w:tcPr>
          <w:p>
            <w:pPr>
              <w:spacing w:after="0"/>
              <w:rPr>
                <w:sz w:val="7"/>
                <w:szCs w:val="7"/>
                <w:color w:val="auto"/>
              </w:rPr>
            </w:pPr>
          </w:p>
        </w:tc>
        <w:tc>
          <w:tcPr>
            <w:tcW w:w="3300" w:type="dxa"/>
            <w:vAlign w:val="bottom"/>
            <w:tcBorders>
              <w:right w:val="single" w:sz="8" w:color="E5E5E5"/>
            </w:tcBorders>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1060" w:type="dxa"/>
            <w:vAlign w:val="bottom"/>
            <w:tcBorders>
              <w:left w:val="single" w:sz="8" w:color="E5E5E5"/>
              <w:right w:val="single" w:sz="8" w:color="E5E5E5"/>
            </w:tcBorders>
            <w:vMerge w:val="restart"/>
            <w:shd w:val="clear" w:color="auto" w:fill="DBDBDB"/>
          </w:tcPr>
          <w:p>
            <w:pPr>
              <w:jc w:val="center"/>
              <w:spacing w:after="0"/>
              <w:rPr>
                <w:sz w:val="20"/>
                <w:szCs w:val="20"/>
                <w:color w:val="auto"/>
              </w:rPr>
            </w:pPr>
            <w:r>
              <w:rPr>
                <w:rFonts w:ascii="Arial" w:cs="Arial" w:eastAsia="Arial" w:hAnsi="Arial"/>
                <w:sz w:val="18"/>
                <w:szCs w:val="18"/>
                <w:color w:val="auto"/>
                <w:w w:val="99"/>
              </w:rPr>
              <w:t>3</w:t>
            </w:r>
          </w:p>
        </w:tc>
        <w:tc>
          <w:tcPr>
            <w:tcW w:w="6900" w:type="dxa"/>
            <w:vAlign w:val="bottom"/>
            <w:tcBorders>
              <w:right w:val="single" w:sz="8" w:color="E5E5E5"/>
            </w:tcBorders>
            <w:shd w:val="clear" w:color="auto" w:fill="DBDBDB"/>
          </w:tcPr>
          <w:p>
            <w:pPr>
              <w:ind w:left="20"/>
              <w:spacing w:after="0" w:line="191" w:lineRule="exact"/>
              <w:rPr>
                <w:sz w:val="20"/>
                <w:szCs w:val="20"/>
                <w:color w:val="auto"/>
              </w:rPr>
            </w:pPr>
            <w:r>
              <w:rPr>
                <w:rFonts w:ascii="Arial" w:cs="Arial" w:eastAsia="Arial" w:hAnsi="Arial"/>
                <w:sz w:val="18"/>
                <w:szCs w:val="18"/>
                <w:color w:val="auto"/>
              </w:rPr>
              <w:t>Ratification of the appointment of Ernst &amp; Young LLP as our independent registered</w:t>
            </w:r>
          </w:p>
        </w:tc>
        <w:tc>
          <w:tcPr>
            <w:tcW w:w="3300" w:type="dxa"/>
            <w:vAlign w:val="bottom"/>
            <w:tcBorders>
              <w:right w:val="single" w:sz="8" w:color="E5E5E5"/>
            </w:tcBorders>
            <w:vMerge w:val="restart"/>
            <w:shd w:val="clear" w:color="auto" w:fill="DBDBDB"/>
          </w:tcPr>
          <w:p>
            <w:pPr>
              <w:jc w:val="center"/>
              <w:spacing w:after="0"/>
              <w:rPr>
                <w:sz w:val="20"/>
                <w:szCs w:val="20"/>
                <w:color w:val="auto"/>
              </w:rPr>
            </w:pPr>
            <w:r>
              <w:rPr>
                <w:rFonts w:ascii="Arial" w:cs="Arial" w:eastAsia="Arial" w:hAnsi="Arial"/>
                <w:sz w:val="18"/>
                <w:szCs w:val="18"/>
                <w:color w:val="auto"/>
                <w:w w:val="94"/>
              </w:rPr>
              <w:t>FOR</w:t>
            </w:r>
          </w:p>
        </w:tc>
        <w:tc>
          <w:tcPr>
            <w:tcW w:w="0" w:type="dxa"/>
            <w:vAlign w:val="bottom"/>
          </w:tcPr>
          <w:p>
            <w:pPr>
              <w:spacing w:after="0"/>
              <w:rPr>
                <w:sz w:val="1"/>
                <w:szCs w:val="1"/>
                <w:color w:val="auto"/>
              </w:rPr>
            </w:pPr>
          </w:p>
        </w:tc>
      </w:tr>
      <w:tr>
        <w:trPr>
          <w:trHeight w:val="153"/>
        </w:trPr>
        <w:tc>
          <w:tcPr>
            <w:tcW w:w="1060" w:type="dxa"/>
            <w:vAlign w:val="bottom"/>
            <w:tcBorders>
              <w:left w:val="single" w:sz="8" w:color="E5E5E5"/>
              <w:right w:val="single" w:sz="8" w:color="E5E5E5"/>
            </w:tcBorders>
            <w:vMerge w:val="continue"/>
            <w:shd w:val="clear" w:color="auto" w:fill="DBDBDB"/>
          </w:tcPr>
          <w:p>
            <w:pPr>
              <w:spacing w:after="0"/>
              <w:rPr>
                <w:sz w:val="13"/>
                <w:szCs w:val="13"/>
                <w:color w:val="auto"/>
              </w:rPr>
            </w:pPr>
          </w:p>
        </w:tc>
        <w:tc>
          <w:tcPr>
            <w:tcW w:w="6900" w:type="dxa"/>
            <w:vAlign w:val="bottom"/>
            <w:tcBorders>
              <w:right w:val="single" w:sz="8" w:color="E5E5E5"/>
            </w:tcBorders>
            <w:vMerge w:val="restart"/>
            <w:shd w:val="clear" w:color="auto" w:fill="DBDBDB"/>
          </w:tcPr>
          <w:p>
            <w:pPr>
              <w:ind w:left="20"/>
              <w:spacing w:after="0"/>
              <w:rPr>
                <w:sz w:val="20"/>
                <w:szCs w:val="20"/>
                <w:color w:val="auto"/>
              </w:rPr>
            </w:pPr>
            <w:r>
              <w:rPr>
                <w:rFonts w:ascii="Arial" w:cs="Arial" w:eastAsia="Arial" w:hAnsi="Arial"/>
                <w:sz w:val="18"/>
                <w:szCs w:val="18"/>
                <w:color w:val="auto"/>
              </w:rPr>
              <w:t>public accounting firm for the year ending December 31, 2025</w:t>
            </w:r>
          </w:p>
        </w:tc>
        <w:tc>
          <w:tcPr>
            <w:tcW w:w="3300" w:type="dxa"/>
            <w:vAlign w:val="bottom"/>
            <w:tcBorders>
              <w:right w:val="single" w:sz="8" w:color="E5E5E5"/>
            </w:tcBorders>
            <w:vMerge w:val="continue"/>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1060" w:type="dxa"/>
            <w:vAlign w:val="bottom"/>
            <w:tcBorders>
              <w:left w:val="single" w:sz="8" w:color="E5E5E5"/>
              <w:right w:val="single" w:sz="8" w:color="E5E5E5"/>
            </w:tcBorders>
            <w:shd w:val="clear" w:color="auto" w:fill="DBDBDB"/>
          </w:tcPr>
          <w:p>
            <w:pPr>
              <w:spacing w:after="0"/>
              <w:rPr>
                <w:sz w:val="9"/>
                <w:szCs w:val="9"/>
                <w:color w:val="auto"/>
              </w:rPr>
            </w:pPr>
          </w:p>
        </w:tc>
        <w:tc>
          <w:tcPr>
            <w:tcW w:w="6900" w:type="dxa"/>
            <w:vAlign w:val="bottom"/>
            <w:tcBorders>
              <w:right w:val="single" w:sz="8" w:color="E5E5E5"/>
            </w:tcBorders>
            <w:vMerge w:val="continue"/>
            <w:shd w:val="clear" w:color="auto" w:fill="DBDBDB"/>
          </w:tcPr>
          <w:p>
            <w:pPr>
              <w:spacing w:after="0"/>
              <w:rPr>
                <w:sz w:val="9"/>
                <w:szCs w:val="9"/>
                <w:color w:val="auto"/>
              </w:rPr>
            </w:pPr>
          </w:p>
        </w:tc>
        <w:tc>
          <w:tcPr>
            <w:tcW w:w="3300" w:type="dxa"/>
            <w:vAlign w:val="bottom"/>
            <w:tcBorders>
              <w:right w:val="single" w:sz="8" w:color="E5E5E5"/>
            </w:tcBorders>
            <w:shd w:val="clear" w:color="auto" w:fill="DBDBDB"/>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1060" w:type="dxa"/>
            <w:vAlign w:val="bottom"/>
            <w:tcBorders>
              <w:left w:val="single" w:sz="8" w:color="E5E5E5"/>
              <w:bottom w:val="single" w:sz="8" w:color="E5E5E5"/>
              <w:right w:val="single" w:sz="8" w:color="E5E5E5"/>
            </w:tcBorders>
          </w:tcPr>
          <w:p>
            <w:pPr>
              <w:jc w:val="center"/>
              <w:spacing w:after="0"/>
              <w:rPr>
                <w:sz w:val="20"/>
                <w:szCs w:val="20"/>
                <w:color w:val="auto"/>
              </w:rPr>
            </w:pPr>
            <w:r>
              <w:rPr>
                <w:rFonts w:ascii="Arial" w:cs="Arial" w:eastAsia="Arial" w:hAnsi="Arial"/>
                <w:sz w:val="18"/>
                <w:szCs w:val="18"/>
                <w:color w:val="auto"/>
                <w:w w:val="99"/>
              </w:rPr>
              <w:t>4</w:t>
            </w:r>
          </w:p>
        </w:tc>
        <w:tc>
          <w:tcPr>
            <w:tcW w:w="6900" w:type="dxa"/>
            <w:vAlign w:val="bottom"/>
            <w:tcBorders>
              <w:bottom w:val="single" w:sz="8" w:color="E5E5E5"/>
              <w:right w:val="single" w:sz="8" w:color="E5E5E5"/>
            </w:tcBorders>
          </w:tcPr>
          <w:p>
            <w:pPr>
              <w:ind w:left="20"/>
              <w:spacing w:after="0"/>
              <w:rPr>
                <w:sz w:val="20"/>
                <w:szCs w:val="20"/>
                <w:color w:val="auto"/>
              </w:rPr>
            </w:pPr>
            <w:r>
              <w:rPr>
                <w:rFonts w:ascii="Arial" w:cs="Arial" w:eastAsia="Arial" w:hAnsi="Arial"/>
                <w:sz w:val="18"/>
                <w:szCs w:val="18"/>
                <w:color w:val="auto"/>
              </w:rPr>
              <w:t>Stockholder proposal to adopt a simple majority vote</w:t>
            </w:r>
          </w:p>
        </w:tc>
        <w:tc>
          <w:tcPr>
            <w:tcW w:w="3300" w:type="dxa"/>
            <w:vAlign w:val="bottom"/>
            <w:tcBorders>
              <w:bottom w:val="single" w:sz="8" w:color="E5E5E5"/>
              <w:right w:val="single" w:sz="8" w:color="E5E5E5"/>
            </w:tcBorders>
          </w:tcPr>
          <w:p>
            <w:pPr>
              <w:jc w:val="center"/>
              <w:spacing w:after="0"/>
              <w:rPr>
                <w:sz w:val="20"/>
                <w:szCs w:val="20"/>
                <w:color w:val="auto"/>
              </w:rPr>
            </w:pPr>
            <w:r>
              <w:rPr>
                <w:rFonts w:ascii="Arial" w:cs="Arial" w:eastAsia="Arial" w:hAnsi="Arial"/>
                <w:sz w:val="18"/>
                <w:szCs w:val="18"/>
                <w:color w:val="auto"/>
              </w:rPr>
              <w:t>AGAINST</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We will also transact any other business that may properly come before the 2025 Annual Meeting. Representatives from our independent registered public accounting firm, Ernst &amp; Young LLP, are expected to be present at the meeting to make a statement if they so desire and to respond to appropriate questions from stockholders.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Who is entitled to vote?</w:t>
      </w:r>
    </w:p>
    <w:p>
      <w:pPr>
        <w:spacing w:after="0" w:line="117"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The record date for the 2025 Annual Meeting is March 26, 2025 (the "Record Date"). Only stockholders of record as of 5:00 p.m., Eastern Time, on the Record Date are entitled to notice of, and to vote at, the 2025 Annual Meeting. Attendance at the 2025 Annual Meeting will be limited to such stockholders of record, beneficial owners having evidence of ownership on the Record Date, their proxies and approved representatives.</w:t>
      </w:r>
    </w:p>
    <w:p>
      <w:pPr>
        <w:spacing w:after="0" w:line="68"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Our sole outstanding class of capital stock is our common stock, par value $0.01 per share. Except as otherwise required by law, or as described in this proxy statement, each holder of our common stock is entitled to one vote per share with respect to each director nominee and on each other matter submitted at the 2025 Annual Meeting. As of the Record Date, there were 19,657,706 shares of our common stock issued and outstanding and entitled to vote on each matter to be voted upon at the 2025 Annual Meeting.</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How many shares must be present to hold the 2025 Annual Meeting?</w:t>
      </w:r>
    </w:p>
    <w:p>
      <w:pPr>
        <w:spacing w:after="0" w:line="117"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A quorum must be present at the 2025 Annual Meeting for any business to be conducted. The presence at the 2025 Annual Meeting, in person or by proxy, of at least 9,828,854 shares, which represents a majority of the shares of common stock outstanding on the Record Date, will constitute a quorum. Proxies received but marked as abstentions or broker non-votes will be counted for the purpose of determining the presence of a quorum.</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What if a quorum is not present at the 2025 Annual Meeting?</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If a quorum is not present at the scheduled time of the 2025 Annual Meeting, the chairman of the 2025 Annual Meeting may adjourn or postpone the 2025 Annual Meeting until a quorum is present. The time and place of the adjourned or postponed 2025 Annual Meeting will be announced at the time the adjournment or postponement is taken, and, unless such adjournment or postponement is for more than 30 days, no other notice will be given. An adjournment or postponement will have no effect on the business that may be conducted at the 2025 Annual Meeting.</w:t>
      </w:r>
    </w:p>
    <w:p>
      <w:pPr>
        <w:sectPr>
          <w:pgSz w:w="11900" w:h="16838" w:orient="portrait"/>
          <w:cols w:equalWidth="0" w:num="1">
            <w:col w:w="11260"/>
          </w:cols>
          <w:pgMar w:left="320" w:top="122"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How do I vote?</w:t>
      </w:r>
    </w:p>
    <w:p>
      <w:pPr>
        <w:spacing w:after="0" w:line="1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You may vote by mail</w:t>
      </w:r>
      <w:r>
        <w:rPr>
          <w:rFonts w:ascii="Arial" w:cs="Arial" w:eastAsia="Arial" w:hAnsi="Arial"/>
          <w:sz w:val="18"/>
          <w:szCs w:val="18"/>
          <w:color w:val="auto"/>
        </w:rPr>
        <w:t>. If you properly complete and sign the accompanying proxy card or voter instruction form and return it in</w:t>
      </w:r>
    </w:p>
    <w:p>
      <w:pPr>
        <w:spacing w:after="0" w:line="56" w:lineRule="exact"/>
        <w:rPr>
          <w:sz w:val="20"/>
          <w:szCs w:val="20"/>
          <w:color w:val="auto"/>
        </w:rPr>
      </w:pPr>
    </w:p>
    <w:p>
      <w:pPr>
        <w:ind w:left="520" w:right="980" w:hanging="446"/>
        <w:spacing w:after="0" w:line="194" w:lineRule="auto"/>
        <w:tabs>
          <w:tab w:leader="none" w:pos="520" w:val="left"/>
        </w:tabs>
        <w:numPr>
          <w:ilvl w:val="0"/>
          <w:numId w:val="10"/>
        </w:numPr>
        <w:rPr>
          <w:rFonts w:ascii="Wingdings" w:cs="Wingdings" w:eastAsia="Wingdings" w:hAnsi="Wingdings"/>
          <w:sz w:val="32"/>
          <w:szCs w:val="32"/>
          <w:b w:val="1"/>
          <w:bCs w:val="1"/>
          <w:color w:val="auto"/>
        </w:rPr>
      </w:pPr>
      <w:r>
        <w:rPr>
          <w:rFonts w:ascii="Arial" w:cs="Arial" w:eastAsia="Arial" w:hAnsi="Arial"/>
          <w:sz w:val="18"/>
          <w:szCs w:val="18"/>
          <w:color w:val="auto"/>
        </w:rPr>
        <w:t>the enclosed envelope, your shares will be voted in accordance with your instructions. The enclosed envelope requires no additional postage if mailed in the United States.</w:t>
      </w:r>
    </w:p>
    <w:p>
      <w:pPr>
        <w:spacing w:after="0" w:line="3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 xml:space="preserve">You may vote by telephone. </w:t>
      </w:r>
      <w:r>
        <w:rPr>
          <w:rFonts w:ascii="Arial" w:cs="Arial" w:eastAsia="Arial" w:hAnsi="Arial"/>
          <w:sz w:val="18"/>
          <w:szCs w:val="18"/>
          <w:color w:val="auto"/>
        </w:rPr>
        <w:t>If you are a stockholder of record (your shares are registered directly in your name with our transfer</w:t>
      </w:r>
    </w:p>
    <w:p>
      <w:pPr>
        <w:spacing w:after="0" w:line="27" w:lineRule="exact"/>
        <w:rPr>
          <w:sz w:val="20"/>
          <w:szCs w:val="20"/>
          <w:color w:val="auto"/>
        </w:rPr>
      </w:pPr>
    </w:p>
    <w:p>
      <w:pPr>
        <w:ind w:left="520" w:right="420" w:hanging="341"/>
        <w:spacing w:after="0" w:line="239" w:lineRule="auto"/>
        <w:tabs>
          <w:tab w:leader="none" w:pos="520" w:val="left"/>
        </w:tabs>
        <w:numPr>
          <w:ilvl w:val="0"/>
          <w:numId w:val="11"/>
        </w:numPr>
        <w:rPr>
          <w:rFonts w:ascii="Arial" w:cs="Arial" w:eastAsia="Arial" w:hAnsi="Arial"/>
          <w:sz w:val="41"/>
          <w:szCs w:val="41"/>
          <w:b w:val="1"/>
          <w:bCs w:val="1"/>
          <w:color w:val="auto"/>
          <w:vertAlign w:val="subscript"/>
        </w:rPr>
      </w:pPr>
      <w:r>
        <w:rPr>
          <w:rFonts w:ascii="Arial" w:cs="Arial" w:eastAsia="Arial" w:hAnsi="Arial"/>
          <w:sz w:val="16"/>
          <w:szCs w:val="16"/>
          <w:color w:val="auto"/>
        </w:rPr>
        <w:t>agent), you may vote by telephone at 1-800-690-6903. If your shares are held in “street name” by a bank, broker or other nominee, you may also be able to vote by phone. Please check the voting instruction form provided by your bank, broker or other nominee to see if it offers this option.</w:t>
      </w:r>
    </w:p>
    <w:p>
      <w:pPr>
        <w:spacing w:after="0" w:line="3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You may vote by Internet</w:t>
      </w:r>
      <w:r>
        <w:rPr>
          <w:rFonts w:ascii="Arial" w:cs="Arial" w:eastAsia="Arial" w:hAnsi="Arial"/>
          <w:sz w:val="18"/>
          <w:szCs w:val="18"/>
          <w:color w:val="auto"/>
        </w:rPr>
        <w:t>. Stockholders of record may vote via the Internet at</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u w:val="single" w:color="auto"/>
          <w:color w:val="auto"/>
        </w:rPr>
        <w:t>www.proxyvote.com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following the voting</w:t>
      </w:r>
    </w:p>
    <w:p>
      <w:pPr>
        <w:spacing w:after="0" w:line="27" w:lineRule="exact"/>
        <w:rPr>
          <w:sz w:val="20"/>
          <w:szCs w:val="20"/>
          <w:color w:val="auto"/>
        </w:rPr>
      </w:pPr>
    </w:p>
    <w:p>
      <w:pPr>
        <w:jc w:val="both"/>
        <w:ind w:left="520" w:right="460" w:hanging="415"/>
        <w:spacing w:after="0" w:line="181" w:lineRule="auto"/>
        <w:tabs>
          <w:tab w:leader="none" w:pos="520" w:val="left"/>
        </w:tabs>
        <w:numPr>
          <w:ilvl w:val="0"/>
          <w:numId w:val="12"/>
        </w:numPr>
        <w:rPr>
          <w:rFonts w:ascii="Wingdings" w:cs="Wingdings" w:eastAsia="Wingdings" w:hAnsi="Wingdings"/>
          <w:sz w:val="60"/>
          <w:szCs w:val="60"/>
          <w:b w:val="1"/>
          <w:bCs w:val="1"/>
          <w:color w:val="auto"/>
          <w:vertAlign w:val="subscript"/>
        </w:rPr>
      </w:pPr>
      <w:r>
        <w:rPr>
          <w:rFonts w:ascii="Arial" w:cs="Arial" w:eastAsia="Arial" w:hAnsi="Arial"/>
          <w:sz w:val="17"/>
          <w:szCs w:val="17"/>
          <w:color w:val="auto"/>
        </w:rPr>
        <w:t>instructions on the proxy card. If your shares are held in “street name” by a bank, broker or other nominee, you may also be able to vote by Internet. Please check the voting instruction form provided by your bank, broker or other nominee to see if it offers this option.</w:t>
      </w:r>
    </w:p>
    <w:p>
      <w:pPr>
        <w:spacing w:after="0" w:line="34" w:lineRule="exact"/>
        <w:rPr>
          <w:rFonts w:ascii="Wingdings" w:cs="Wingdings" w:eastAsia="Wingdings" w:hAnsi="Wingdings"/>
          <w:sz w:val="60"/>
          <w:szCs w:val="60"/>
          <w:b w:val="1"/>
          <w:bCs w:val="1"/>
          <w:color w:val="auto"/>
          <w:vertAlign w:val="subscript"/>
        </w:rPr>
      </w:pPr>
    </w:p>
    <w:p>
      <w:pPr>
        <w:jc w:val="both"/>
        <w:ind w:left="520" w:right="580"/>
        <w:spacing w:after="0" w:line="276" w:lineRule="auto"/>
        <w:rPr>
          <w:rFonts w:ascii="Wingdings" w:cs="Wingdings" w:eastAsia="Wingdings" w:hAnsi="Wingdings"/>
          <w:sz w:val="60"/>
          <w:szCs w:val="60"/>
          <w:b w:val="1"/>
          <w:bCs w:val="1"/>
          <w:color w:val="auto"/>
          <w:vertAlign w:val="subscript"/>
        </w:rPr>
      </w:pPr>
      <w:r>
        <w:rPr>
          <w:rFonts w:ascii="Arial" w:cs="Arial" w:eastAsia="Arial" w:hAnsi="Arial"/>
          <w:sz w:val="17"/>
          <w:szCs w:val="17"/>
          <w:b w:val="1"/>
          <w:bCs w:val="1"/>
          <w:i w:val="1"/>
          <w:iCs w:val="1"/>
          <w:color w:val="auto"/>
        </w:rPr>
        <w:t>You may vote in person at the 2025 Annual Meeting</w:t>
      </w:r>
      <w:r>
        <w:rPr>
          <w:rFonts w:ascii="Arial" w:cs="Arial" w:eastAsia="Arial" w:hAnsi="Arial"/>
          <w:sz w:val="17"/>
          <w:szCs w:val="17"/>
          <w:color w:val="auto"/>
        </w:rPr>
        <w:t>. If you are a stockholder of record and attend the 2025 Annual Meeting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wish to vote in person, you will be given a ballot at the meeting. However, if your shares are held in the name of your bank,</w:t>
      </w:r>
    </w:p>
    <w:p>
      <w:pPr>
        <w:ind w:left="520"/>
        <w:spacing w:after="0"/>
        <w:rPr>
          <w:sz w:val="20"/>
          <w:szCs w:val="20"/>
          <w:color w:val="auto"/>
        </w:rPr>
      </w:pPr>
      <w:r>
        <w:rPr>
          <w:rFonts w:ascii="Arial" w:cs="Arial" w:eastAsia="Arial" w:hAnsi="Arial"/>
          <w:sz w:val="18"/>
          <w:szCs w:val="18"/>
          <w:color w:val="auto"/>
        </w:rPr>
        <w:t>broker or other nominee, you will need to obtain a proxy from the institution that holds your shares indicating that you were the</w:t>
      </w:r>
    </w:p>
    <w:p>
      <w:pPr>
        <w:spacing w:after="0" w:line="9" w:lineRule="exact"/>
        <w:rPr>
          <w:sz w:val="20"/>
          <w:szCs w:val="20"/>
          <w:color w:val="auto"/>
        </w:rPr>
      </w:pPr>
    </w:p>
    <w:p>
      <w:pPr>
        <w:ind w:left="520" w:right="480" w:hanging="353"/>
        <w:spacing w:after="0" w:line="181" w:lineRule="auto"/>
        <w:tabs>
          <w:tab w:leader="none" w:pos="520" w:val="left"/>
        </w:tabs>
        <w:numPr>
          <w:ilvl w:val="0"/>
          <w:numId w:val="13"/>
        </w:numPr>
        <w:rPr>
          <w:rFonts w:ascii="Webdings" w:cs="Webdings" w:eastAsia="Webdings" w:hAnsi="Webdings"/>
          <w:sz w:val="61"/>
          <w:szCs w:val="61"/>
          <w:b w:val="1"/>
          <w:bCs w:val="1"/>
          <w:color w:val="auto"/>
          <w:vertAlign w:val="subscript"/>
        </w:rPr>
      </w:pPr>
      <w:r>
        <w:rPr>
          <w:rFonts w:ascii="Arial" w:cs="Arial" w:eastAsia="Arial" w:hAnsi="Arial"/>
          <w:sz w:val="18"/>
          <w:szCs w:val="18"/>
          <w:color w:val="auto"/>
        </w:rPr>
        <w:t>beneficial owner of our common stock as of the Record Date for the 2025 Annual Meeting. Please contact the bank, broker or other nominee holding your shares directly if you would like to obtain a proxy to vote your shares directly at the 2025 Annual Meeting. Even if you plan to attend the 2025 Annual Meeting, please complete, sign and return your proxy card, or vote by telephone or the Internet, to ensure that your shares are represented. If you attend the 2025 Annual Meeting, any votes you cast at the meeting will supersede your proxy.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Can I change my vote after I submit my proxy?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Yes, you may revoke your proxy and change your vote at any time before the polls close at the 2025 Annual Meeting by:</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signing and properly submitting another proxy with a later date;</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voting by telephone or the Internet;</w:t>
      </w:r>
    </w:p>
    <w:p>
      <w:pPr>
        <w:spacing w:after="0" w:line="117" w:lineRule="exact"/>
        <w:rPr>
          <w:sz w:val="20"/>
          <w:szCs w:val="20"/>
          <w:color w:val="auto"/>
        </w:rPr>
      </w:pPr>
    </w:p>
    <w:p>
      <w:pPr>
        <w:ind w:left="660" w:right="120" w:hanging="324"/>
        <w:spacing w:after="0" w:line="287" w:lineRule="auto"/>
        <w:rPr>
          <w:sz w:val="20"/>
          <w:szCs w:val="20"/>
          <w:color w:val="auto"/>
        </w:rPr>
      </w:pPr>
      <w:r>
        <w:rPr>
          <w:rFonts w:ascii="Arial" w:cs="Arial" w:eastAsia="Arial" w:hAnsi="Arial"/>
          <w:sz w:val="18"/>
          <w:szCs w:val="18"/>
          <w:color w:val="auto"/>
        </w:rPr>
        <w:t>– giving written notice of the revocation of your proxy, which must be received by our Secretary at our corporate headquarters prior to the 2025 Annual Meeting; or</w:t>
      </w:r>
    </w:p>
    <w:p>
      <w:pPr>
        <w:spacing w:after="0" w:line="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voting in person at the 2025 Annual Meeting.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What if I return an executed proxy but do not specify how my shares are to be voted?</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If you properly execute and return your proxy but do not indicate any voting instructions with respect to one or more matters to be voted upon at the 2025 Annual Meeting, or if your voting instructions are unclear, your shares will be voted in accordance with the recommendation of the Board as to all such matters.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What are abstentions, broker non-votes and withheld votes, and how are they treated?</w:t>
      </w:r>
    </w:p>
    <w:p>
      <w:pPr>
        <w:spacing w:after="0" w:line="117"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A share voted "abstain" with respect to any proposal is considered present and entitled to vote with respect to that proposal and will be included for purposes of calculating the presence of a quorum at the 2025 Annual Meeting. You may abstain from voting on any proposal to be voted on at the 2025 Annual Meeting other than the election of directors, which by virtue of the vote required to approve such proposal, does not provide for abstentions under applicable law.</w:t>
      </w:r>
    </w:p>
    <w:p>
      <w:pPr>
        <w:spacing w:after="0" w:line="6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 broker non-vote with respect to a proposal occurs when shares are held by a bank, broker or other nominee in "street name", and the bank, broker or other nominee does not receive voting instructions from the beneficial owner of these shares as to how to vote such shares, and the bank, broker or other nominee does not have the authority to exercise discretion to vote on such proposal. Banks, brokers and other nominees are only able to, but are not required to, exercise discretionary voting authority on routine matters. The proposal related to the ratification of our independent registered public accounting firm (Proposal 3) is the only item on the agenda for the 2025 Annual Meeting that is considered a routine matter. If a bank, broker or other nominee does not receive specific voting instructions with respect to one or more non-routine matters, such nominee may not cast a vote on the proposal, resulting in a broker non-vote. Broker non-votes will be included for purposes of calculating the presence of a quorum at the 2025 Annual Meeting.</w:t>
      </w:r>
    </w:p>
    <w:p>
      <w:pPr>
        <w:spacing w:after="0" w:line="7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 xml:space="preserve">With respect to the election of directors (Proposal 1), our directors are elected by a plurality of the votes cast, but are subject to our director voting policy set forth in our Corporate Governance Guidelines, which can be found on our website at </w:t>
      </w:r>
      <w:r>
        <w:rPr>
          <w:rFonts w:ascii="Arial" w:cs="Arial" w:eastAsia="Arial" w:hAnsi="Arial"/>
          <w:sz w:val="18"/>
          <w:szCs w:val="18"/>
          <w:i w:val="1"/>
          <w:iCs w:val="1"/>
          <w:u w:val="single" w:color="auto"/>
          <w:color w:val="auto"/>
        </w:rPr>
        <w:t>https://investors.asburyauto.com/corporate-governance</w:t>
      </w:r>
      <w:r>
        <w:rPr>
          <w:rFonts w:ascii="Arial" w:cs="Arial" w:eastAsia="Arial" w:hAnsi="Arial"/>
          <w:sz w:val="18"/>
          <w:szCs w:val="18"/>
          <w:color w:val="auto"/>
        </w:rPr>
        <w:t>. If you vote "withhold" with respect to the election of one or more nominees, your</w:t>
      </w:r>
      <w:r>
        <w:rPr>
          <w:rFonts w:ascii="Arial" w:cs="Arial" w:eastAsia="Arial" w:hAnsi="Arial"/>
          <w:sz w:val="18"/>
          <w:szCs w:val="18"/>
          <w:i w:val="1"/>
          <w:iCs w:val="1"/>
          <w:color w:val="auto"/>
        </w:rPr>
        <w:t xml:space="preserve"> </w:t>
      </w:r>
      <w:r>
        <w:rPr>
          <w:rFonts w:ascii="Arial" w:cs="Arial" w:eastAsia="Arial" w:hAnsi="Arial"/>
          <w:sz w:val="18"/>
          <w:szCs w:val="18"/>
          <w:color w:val="auto"/>
        </w:rPr>
        <w:t>shares will not be voted with respect to those nominees. "Withheld" votes will be counted for purposes of determining whether there is a quorum and will have a similar effect as a vote "against" that director nominee under our director voting policy.</w:t>
      </w:r>
    </w:p>
    <w:p>
      <w:pPr>
        <w:sectPr>
          <w:pgSz w:w="11900" w:h="16838" w:orient="portrait"/>
          <w:cols w:equalWidth="0" w:num="1">
            <w:col w:w="11200"/>
          </w:cols>
          <w:pgMar w:left="320" w:top="121" w:right="379" w:bottom="1440" w:gutter="0" w:footer="0" w:header="0"/>
        </w:sectPr>
      </w:pPr>
    </w:p>
    <w:p>
      <w:pPr>
        <w:spacing w:after="0" w:line="39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What vote is required to approve each proposal at the 2025 Annual Meeting?</w:t>
      </w:r>
    </w:p>
    <w:p>
      <w:pPr>
        <w:spacing w:after="0" w:line="117" w:lineRule="exact"/>
        <w:rPr>
          <w:sz w:val="20"/>
          <w:szCs w:val="20"/>
          <w:color w:val="auto"/>
        </w:rPr>
      </w:pPr>
    </w:p>
    <w:p>
      <w:pPr>
        <w:ind w:right="640"/>
        <w:spacing w:after="0" w:line="287" w:lineRule="auto"/>
        <w:rPr>
          <w:sz w:val="20"/>
          <w:szCs w:val="20"/>
          <w:color w:val="auto"/>
        </w:rPr>
      </w:pPr>
      <w:r>
        <w:rPr>
          <w:rFonts w:ascii="Arial" w:cs="Arial" w:eastAsia="Arial" w:hAnsi="Arial"/>
          <w:sz w:val="18"/>
          <w:szCs w:val="18"/>
          <w:color w:val="auto"/>
        </w:rPr>
        <w:t>The table below describes the vote required for approval of each matter to be brought before the 2025 Annual Meeting, as well as the treatment of abstentions, broker non-votes and withheld votes.</w:t>
      </w:r>
    </w:p>
    <w:p>
      <w:pPr>
        <w:spacing w:after="0" w:line="73"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2520" w:type="dxa"/>
            <w:vAlign w:val="bottom"/>
            <w:tcBorders>
              <w:left w:val="single" w:sz="8" w:color="E5E5E5"/>
              <w:right w:val="single" w:sz="8" w:color="E5E5E5"/>
            </w:tcBorders>
            <w:shd w:val="clear" w:color="auto" w:fill="D91E18"/>
          </w:tcPr>
          <w:p>
            <w:pPr>
              <w:spacing w:after="0"/>
              <w:rPr>
                <w:sz w:val="17"/>
                <w:szCs w:val="17"/>
                <w:color w:val="auto"/>
              </w:rPr>
            </w:pPr>
          </w:p>
        </w:tc>
        <w:tc>
          <w:tcPr>
            <w:tcW w:w="4720" w:type="dxa"/>
            <w:vAlign w:val="bottom"/>
            <w:tcBorders>
              <w:right w:val="single" w:sz="8" w:color="E5E5E5"/>
            </w:tcBorders>
            <w:shd w:val="clear" w:color="auto" w:fill="D91E18"/>
          </w:tcPr>
          <w:p>
            <w:pPr>
              <w:spacing w:after="0"/>
              <w:rPr>
                <w:sz w:val="17"/>
                <w:szCs w:val="17"/>
                <w:color w:val="auto"/>
              </w:rPr>
            </w:pPr>
          </w:p>
        </w:tc>
        <w:tc>
          <w:tcPr>
            <w:tcW w:w="1480" w:type="dxa"/>
            <w:vAlign w:val="bottom"/>
            <w:tcBorders>
              <w:right w:val="single" w:sz="8" w:color="E5E5E5"/>
            </w:tcBorders>
            <w:shd w:val="clear" w:color="auto" w:fill="D91E18"/>
          </w:tcPr>
          <w:p>
            <w:pPr>
              <w:jc w:val="center"/>
              <w:spacing w:after="0"/>
              <w:rPr>
                <w:sz w:val="20"/>
                <w:szCs w:val="20"/>
                <w:color w:val="auto"/>
              </w:rPr>
            </w:pPr>
            <w:r>
              <w:rPr>
                <w:rFonts w:ascii="Arial" w:cs="Arial" w:eastAsia="Arial" w:hAnsi="Arial"/>
                <w:sz w:val="18"/>
                <w:szCs w:val="18"/>
                <w:b w:val="1"/>
                <w:bCs w:val="1"/>
                <w:color w:val="FFFFFF"/>
                <w:w w:val="98"/>
              </w:rPr>
              <w:t>Treatment</w:t>
            </w:r>
          </w:p>
        </w:tc>
        <w:tc>
          <w:tcPr>
            <w:tcW w:w="1280" w:type="dxa"/>
            <w:vAlign w:val="bottom"/>
            <w:tcBorders>
              <w:right w:val="single" w:sz="8" w:color="E5E5E5"/>
            </w:tcBorders>
            <w:shd w:val="clear" w:color="auto" w:fill="D91E18"/>
          </w:tcPr>
          <w:p>
            <w:pPr>
              <w:jc w:val="center"/>
              <w:spacing w:after="0"/>
              <w:rPr>
                <w:sz w:val="20"/>
                <w:szCs w:val="20"/>
                <w:color w:val="auto"/>
              </w:rPr>
            </w:pPr>
            <w:r>
              <w:rPr>
                <w:rFonts w:ascii="Arial" w:cs="Arial" w:eastAsia="Arial" w:hAnsi="Arial"/>
                <w:sz w:val="18"/>
                <w:szCs w:val="18"/>
                <w:b w:val="1"/>
                <w:bCs w:val="1"/>
                <w:color w:val="FFFFFF"/>
                <w:w w:val="98"/>
              </w:rPr>
              <w:t>Treatment</w:t>
            </w:r>
          </w:p>
        </w:tc>
        <w:tc>
          <w:tcPr>
            <w:tcW w:w="1260" w:type="dxa"/>
            <w:vAlign w:val="bottom"/>
            <w:tcBorders>
              <w:right w:val="single" w:sz="8" w:color="E5E5E5"/>
            </w:tcBorders>
            <w:shd w:val="clear" w:color="auto" w:fill="D91E18"/>
          </w:tcPr>
          <w:p>
            <w:pPr>
              <w:jc w:val="center"/>
              <w:spacing w:after="0"/>
              <w:rPr>
                <w:sz w:val="20"/>
                <w:szCs w:val="20"/>
                <w:color w:val="auto"/>
              </w:rPr>
            </w:pPr>
            <w:r>
              <w:rPr>
                <w:rFonts w:ascii="Arial" w:cs="Arial" w:eastAsia="Arial" w:hAnsi="Arial"/>
                <w:sz w:val="18"/>
                <w:szCs w:val="18"/>
                <w:b w:val="1"/>
                <w:bCs w:val="1"/>
                <w:color w:val="FFFFFF"/>
                <w:w w:val="99"/>
              </w:rPr>
              <w:t>Treatment of</w:t>
            </w:r>
          </w:p>
        </w:tc>
        <w:tc>
          <w:tcPr>
            <w:tcW w:w="0" w:type="dxa"/>
            <w:vAlign w:val="bottom"/>
          </w:tcPr>
          <w:p>
            <w:pPr>
              <w:spacing w:after="0"/>
              <w:rPr>
                <w:sz w:val="1"/>
                <w:szCs w:val="1"/>
                <w:color w:val="auto"/>
              </w:rPr>
            </w:pPr>
          </w:p>
        </w:tc>
      </w:tr>
      <w:tr>
        <w:trPr>
          <w:trHeight w:val="184"/>
        </w:trPr>
        <w:tc>
          <w:tcPr>
            <w:tcW w:w="2520" w:type="dxa"/>
            <w:vAlign w:val="bottom"/>
            <w:tcBorders>
              <w:left w:val="single" w:sz="8" w:color="E5E5E5"/>
              <w:right w:val="single" w:sz="8" w:color="E5E5E5"/>
            </w:tcBorders>
            <w:vMerge w:val="restart"/>
            <w:shd w:val="clear" w:color="auto" w:fill="D91E18"/>
          </w:tcPr>
          <w:p>
            <w:pPr>
              <w:ind w:left="880"/>
              <w:spacing w:after="0"/>
              <w:rPr>
                <w:sz w:val="20"/>
                <w:szCs w:val="20"/>
                <w:color w:val="auto"/>
              </w:rPr>
            </w:pPr>
            <w:r>
              <w:rPr>
                <w:rFonts w:ascii="Arial" w:cs="Arial" w:eastAsia="Arial" w:hAnsi="Arial"/>
                <w:sz w:val="18"/>
                <w:szCs w:val="18"/>
                <w:b w:val="1"/>
                <w:bCs w:val="1"/>
                <w:color w:val="FFFFFF"/>
              </w:rPr>
              <w:t>Proposal</w:t>
            </w:r>
          </w:p>
        </w:tc>
        <w:tc>
          <w:tcPr>
            <w:tcW w:w="4720" w:type="dxa"/>
            <w:vAlign w:val="bottom"/>
            <w:tcBorders>
              <w:right w:val="single" w:sz="8" w:color="E5E5E5"/>
            </w:tcBorders>
            <w:vMerge w:val="restart"/>
            <w:shd w:val="clear" w:color="auto" w:fill="D91E18"/>
          </w:tcPr>
          <w:p>
            <w:pPr>
              <w:ind w:left="1740"/>
              <w:spacing w:after="0"/>
              <w:rPr>
                <w:sz w:val="20"/>
                <w:szCs w:val="20"/>
                <w:color w:val="auto"/>
              </w:rPr>
            </w:pPr>
            <w:r>
              <w:rPr>
                <w:rFonts w:ascii="Arial" w:cs="Arial" w:eastAsia="Arial" w:hAnsi="Arial"/>
                <w:sz w:val="18"/>
                <w:szCs w:val="18"/>
                <w:b w:val="1"/>
                <w:bCs w:val="1"/>
                <w:color w:val="FFFFFF"/>
              </w:rPr>
              <w:t>Vote Required</w:t>
            </w:r>
          </w:p>
        </w:tc>
        <w:tc>
          <w:tcPr>
            <w:tcW w:w="1480" w:type="dxa"/>
            <w:vAlign w:val="bottom"/>
            <w:tcBorders>
              <w:right w:val="single" w:sz="8" w:color="E5E5E5"/>
            </w:tcBorders>
            <w:shd w:val="clear" w:color="auto" w:fill="D91E18"/>
          </w:tcPr>
          <w:p>
            <w:pPr>
              <w:jc w:val="center"/>
              <w:spacing w:after="0" w:line="183" w:lineRule="exact"/>
              <w:rPr>
                <w:sz w:val="20"/>
                <w:szCs w:val="20"/>
                <w:color w:val="auto"/>
              </w:rPr>
            </w:pPr>
            <w:r>
              <w:rPr>
                <w:rFonts w:ascii="Arial" w:cs="Arial" w:eastAsia="Arial" w:hAnsi="Arial"/>
                <w:sz w:val="18"/>
                <w:szCs w:val="18"/>
                <w:b w:val="1"/>
                <w:bCs w:val="1"/>
                <w:color w:val="FFFFFF"/>
              </w:rPr>
              <w:t>of</w:t>
            </w:r>
          </w:p>
        </w:tc>
        <w:tc>
          <w:tcPr>
            <w:tcW w:w="1280" w:type="dxa"/>
            <w:vAlign w:val="bottom"/>
            <w:tcBorders>
              <w:right w:val="single" w:sz="8" w:color="E5E5E5"/>
            </w:tcBorders>
            <w:shd w:val="clear" w:color="auto" w:fill="D91E18"/>
          </w:tcPr>
          <w:p>
            <w:pPr>
              <w:jc w:val="center"/>
              <w:spacing w:after="0" w:line="183" w:lineRule="exact"/>
              <w:rPr>
                <w:sz w:val="20"/>
                <w:szCs w:val="20"/>
                <w:color w:val="auto"/>
              </w:rPr>
            </w:pPr>
            <w:r>
              <w:rPr>
                <w:rFonts w:ascii="Arial" w:cs="Arial" w:eastAsia="Arial" w:hAnsi="Arial"/>
                <w:sz w:val="18"/>
                <w:szCs w:val="18"/>
                <w:b w:val="1"/>
                <w:bCs w:val="1"/>
                <w:color w:val="FFFFFF"/>
                <w:w w:val="99"/>
              </w:rPr>
              <w:t>of Broker</w:t>
            </w:r>
          </w:p>
        </w:tc>
        <w:tc>
          <w:tcPr>
            <w:tcW w:w="1260" w:type="dxa"/>
            <w:vAlign w:val="bottom"/>
            <w:tcBorders>
              <w:right w:val="single" w:sz="8" w:color="E5E5E5"/>
            </w:tcBorders>
            <w:shd w:val="clear" w:color="auto" w:fill="D91E18"/>
          </w:tcPr>
          <w:p>
            <w:pPr>
              <w:jc w:val="center"/>
              <w:spacing w:after="0" w:line="183" w:lineRule="exact"/>
              <w:rPr>
                <w:sz w:val="20"/>
                <w:szCs w:val="20"/>
                <w:color w:val="auto"/>
              </w:rPr>
            </w:pPr>
            <w:r>
              <w:rPr>
                <w:rFonts w:ascii="Arial" w:cs="Arial" w:eastAsia="Arial" w:hAnsi="Arial"/>
                <w:sz w:val="18"/>
                <w:szCs w:val="18"/>
                <w:b w:val="1"/>
                <w:bCs w:val="1"/>
                <w:color w:val="FFFFFF"/>
              </w:rPr>
              <w:t>Withhold</w:t>
            </w:r>
          </w:p>
        </w:tc>
        <w:tc>
          <w:tcPr>
            <w:tcW w:w="0" w:type="dxa"/>
            <w:vAlign w:val="bottom"/>
          </w:tcPr>
          <w:p>
            <w:pPr>
              <w:spacing w:after="0"/>
              <w:rPr>
                <w:sz w:val="1"/>
                <w:szCs w:val="1"/>
                <w:color w:val="auto"/>
              </w:rPr>
            </w:pPr>
          </w:p>
        </w:tc>
      </w:tr>
      <w:tr>
        <w:trPr>
          <w:trHeight w:val="242"/>
        </w:trPr>
        <w:tc>
          <w:tcPr>
            <w:tcW w:w="2520" w:type="dxa"/>
            <w:vAlign w:val="bottom"/>
            <w:tcBorders>
              <w:left w:val="single" w:sz="8" w:color="E5E5E5"/>
              <w:right w:val="single" w:sz="8" w:color="E5E5E5"/>
            </w:tcBorders>
            <w:vMerge w:val="continue"/>
            <w:shd w:val="clear" w:color="auto" w:fill="D91E18"/>
          </w:tcPr>
          <w:p>
            <w:pPr>
              <w:spacing w:after="0"/>
              <w:rPr>
                <w:sz w:val="21"/>
                <w:szCs w:val="21"/>
                <w:color w:val="auto"/>
              </w:rPr>
            </w:pPr>
          </w:p>
        </w:tc>
        <w:tc>
          <w:tcPr>
            <w:tcW w:w="4720" w:type="dxa"/>
            <w:vAlign w:val="bottom"/>
            <w:tcBorders>
              <w:right w:val="single" w:sz="8" w:color="E5E5E5"/>
            </w:tcBorders>
            <w:vMerge w:val="continue"/>
            <w:shd w:val="clear" w:color="auto" w:fill="D91E18"/>
          </w:tcPr>
          <w:p>
            <w:pPr>
              <w:spacing w:after="0"/>
              <w:rPr>
                <w:sz w:val="21"/>
                <w:szCs w:val="21"/>
                <w:color w:val="auto"/>
              </w:rPr>
            </w:pPr>
          </w:p>
        </w:tc>
        <w:tc>
          <w:tcPr>
            <w:tcW w:w="1480" w:type="dxa"/>
            <w:vAlign w:val="bottom"/>
            <w:tcBorders>
              <w:right w:val="single" w:sz="8" w:color="E5E5E5"/>
            </w:tcBorders>
            <w:shd w:val="clear" w:color="auto" w:fill="D91E18"/>
          </w:tcPr>
          <w:p>
            <w:pPr>
              <w:jc w:val="center"/>
              <w:spacing w:after="0"/>
              <w:rPr>
                <w:sz w:val="20"/>
                <w:szCs w:val="20"/>
                <w:color w:val="auto"/>
              </w:rPr>
            </w:pPr>
            <w:r>
              <w:rPr>
                <w:rFonts w:ascii="Arial" w:cs="Arial" w:eastAsia="Arial" w:hAnsi="Arial"/>
                <w:sz w:val="18"/>
                <w:szCs w:val="18"/>
                <w:b w:val="1"/>
                <w:bCs w:val="1"/>
                <w:color w:val="FFFFFF"/>
                <w:w w:val="99"/>
              </w:rPr>
              <w:t>Abstentions</w:t>
            </w:r>
          </w:p>
        </w:tc>
        <w:tc>
          <w:tcPr>
            <w:tcW w:w="1280" w:type="dxa"/>
            <w:vAlign w:val="bottom"/>
            <w:tcBorders>
              <w:right w:val="single" w:sz="8" w:color="E5E5E5"/>
            </w:tcBorders>
            <w:shd w:val="clear" w:color="auto" w:fill="D91E18"/>
          </w:tcPr>
          <w:p>
            <w:pPr>
              <w:jc w:val="center"/>
              <w:spacing w:after="0"/>
              <w:rPr>
                <w:sz w:val="20"/>
                <w:szCs w:val="20"/>
                <w:color w:val="auto"/>
              </w:rPr>
            </w:pPr>
            <w:r>
              <w:rPr>
                <w:rFonts w:ascii="Arial" w:cs="Arial" w:eastAsia="Arial" w:hAnsi="Arial"/>
                <w:sz w:val="18"/>
                <w:szCs w:val="18"/>
                <w:b w:val="1"/>
                <w:bCs w:val="1"/>
                <w:color w:val="FFFFFF"/>
                <w:w w:val="97"/>
              </w:rPr>
              <w:t>Non-Votes</w:t>
            </w:r>
          </w:p>
        </w:tc>
        <w:tc>
          <w:tcPr>
            <w:tcW w:w="1260" w:type="dxa"/>
            <w:vAlign w:val="bottom"/>
            <w:tcBorders>
              <w:right w:val="single" w:sz="8" w:color="E5E5E5"/>
            </w:tcBorders>
            <w:shd w:val="clear" w:color="auto" w:fill="D91E18"/>
          </w:tcPr>
          <w:p>
            <w:pPr>
              <w:jc w:val="center"/>
              <w:spacing w:after="0"/>
              <w:rPr>
                <w:sz w:val="20"/>
                <w:szCs w:val="20"/>
                <w:color w:val="auto"/>
              </w:rPr>
            </w:pPr>
            <w:r>
              <w:rPr>
                <w:rFonts w:ascii="Arial" w:cs="Arial" w:eastAsia="Arial" w:hAnsi="Arial"/>
                <w:sz w:val="18"/>
                <w:szCs w:val="18"/>
                <w:b w:val="1"/>
                <w:bCs w:val="1"/>
                <w:color w:val="FFFFFF"/>
                <w:w w:val="97"/>
              </w:rPr>
              <w:t>Votes</w:t>
            </w:r>
          </w:p>
        </w:tc>
        <w:tc>
          <w:tcPr>
            <w:tcW w:w="0" w:type="dxa"/>
            <w:vAlign w:val="bottom"/>
          </w:tcPr>
          <w:p>
            <w:pPr>
              <w:spacing w:after="0"/>
              <w:rPr>
                <w:sz w:val="1"/>
                <w:szCs w:val="1"/>
                <w:color w:val="auto"/>
              </w:rPr>
            </w:pPr>
          </w:p>
        </w:tc>
      </w:tr>
      <w:tr>
        <w:trPr>
          <w:trHeight w:val="182"/>
        </w:trPr>
        <w:tc>
          <w:tcPr>
            <w:tcW w:w="2520" w:type="dxa"/>
            <w:vAlign w:val="bottom"/>
            <w:tcBorders>
              <w:left w:val="single" w:sz="8" w:color="E5E5E5"/>
              <w:right w:val="single" w:sz="8" w:color="E5E5E5"/>
            </w:tcBorders>
            <w:vMerge w:val="restart"/>
            <w:shd w:val="clear" w:color="auto" w:fill="DBDBDB"/>
          </w:tcPr>
          <w:p>
            <w:pPr>
              <w:ind w:left="40"/>
              <w:spacing w:after="0"/>
              <w:rPr>
                <w:sz w:val="20"/>
                <w:szCs w:val="20"/>
                <w:color w:val="auto"/>
              </w:rPr>
            </w:pPr>
            <w:r>
              <w:rPr>
                <w:rFonts w:ascii="Arial" w:cs="Arial" w:eastAsia="Arial" w:hAnsi="Arial"/>
                <w:sz w:val="18"/>
                <w:szCs w:val="18"/>
                <w:color w:val="auto"/>
              </w:rPr>
              <w:t>Election of Directors</w:t>
            </w:r>
          </w:p>
        </w:tc>
        <w:tc>
          <w:tcPr>
            <w:tcW w:w="4720" w:type="dxa"/>
            <w:vAlign w:val="bottom"/>
            <w:tcBorders>
              <w:right w:val="single" w:sz="8" w:color="E5E5E5"/>
            </w:tcBorders>
            <w:shd w:val="clear" w:color="auto" w:fill="DBDBDB"/>
          </w:tcPr>
          <w:p>
            <w:pPr>
              <w:spacing w:after="0" w:line="182" w:lineRule="exact"/>
              <w:rPr>
                <w:sz w:val="20"/>
                <w:szCs w:val="20"/>
                <w:color w:val="auto"/>
              </w:rPr>
            </w:pPr>
            <w:r>
              <w:rPr>
                <w:rFonts w:ascii="Arial" w:cs="Arial" w:eastAsia="Arial" w:hAnsi="Arial"/>
                <w:sz w:val="18"/>
                <w:szCs w:val="18"/>
                <w:color w:val="auto"/>
              </w:rPr>
              <w:t>Each nominee must receive the affirmative vote of a</w:t>
            </w:r>
          </w:p>
        </w:tc>
        <w:tc>
          <w:tcPr>
            <w:tcW w:w="1480" w:type="dxa"/>
            <w:vAlign w:val="bottom"/>
            <w:tcBorders>
              <w:right w:val="single" w:sz="8" w:color="E5E5E5"/>
            </w:tcBorders>
            <w:vMerge w:val="restart"/>
            <w:shd w:val="clear" w:color="auto" w:fill="DBDBDB"/>
          </w:tcPr>
          <w:p>
            <w:pPr>
              <w:jc w:val="center"/>
              <w:spacing w:after="0"/>
              <w:rPr>
                <w:sz w:val="20"/>
                <w:szCs w:val="20"/>
                <w:color w:val="auto"/>
              </w:rPr>
            </w:pPr>
            <w:r>
              <w:rPr>
                <w:rFonts w:ascii="Arial" w:cs="Arial" w:eastAsia="Arial" w:hAnsi="Arial"/>
                <w:sz w:val="18"/>
                <w:szCs w:val="18"/>
                <w:color w:val="auto"/>
                <w:w w:val="99"/>
              </w:rPr>
              <w:t>Not Applicable</w:t>
            </w:r>
          </w:p>
        </w:tc>
        <w:tc>
          <w:tcPr>
            <w:tcW w:w="1280" w:type="dxa"/>
            <w:vAlign w:val="bottom"/>
            <w:tcBorders>
              <w:right w:val="single" w:sz="8" w:color="E5E5E5"/>
            </w:tcBorders>
            <w:vMerge w:val="restart"/>
            <w:shd w:val="clear" w:color="auto" w:fill="DBDBDB"/>
          </w:tcPr>
          <w:p>
            <w:pPr>
              <w:jc w:val="center"/>
              <w:spacing w:after="0"/>
              <w:rPr>
                <w:sz w:val="20"/>
                <w:szCs w:val="20"/>
                <w:color w:val="auto"/>
              </w:rPr>
            </w:pPr>
            <w:r>
              <w:rPr>
                <w:rFonts w:ascii="Arial" w:cs="Arial" w:eastAsia="Arial" w:hAnsi="Arial"/>
                <w:sz w:val="18"/>
                <w:szCs w:val="18"/>
                <w:color w:val="auto"/>
                <w:w w:val="99"/>
              </w:rPr>
              <w:t>No Effect</w:t>
            </w:r>
          </w:p>
        </w:tc>
        <w:tc>
          <w:tcPr>
            <w:tcW w:w="1260" w:type="dxa"/>
            <w:vAlign w:val="bottom"/>
            <w:tcBorders>
              <w:right w:val="single" w:sz="8" w:color="E5E5E5"/>
            </w:tcBorders>
            <w:vMerge w:val="restart"/>
            <w:shd w:val="clear" w:color="auto" w:fill="DBDBDB"/>
          </w:tcPr>
          <w:p>
            <w:pPr>
              <w:jc w:val="center"/>
              <w:spacing w:after="0"/>
              <w:rPr>
                <w:sz w:val="20"/>
                <w:szCs w:val="20"/>
                <w:color w:val="auto"/>
              </w:rPr>
            </w:pPr>
            <w:r>
              <w:rPr>
                <w:rFonts w:ascii="Arial" w:cs="Arial" w:eastAsia="Arial" w:hAnsi="Arial"/>
                <w:sz w:val="18"/>
                <w:szCs w:val="18"/>
                <w:color w:val="auto"/>
                <w:w w:val="99"/>
              </w:rPr>
              <w:t>Against</w:t>
            </w:r>
          </w:p>
        </w:tc>
        <w:tc>
          <w:tcPr>
            <w:tcW w:w="0" w:type="dxa"/>
            <w:vAlign w:val="bottom"/>
          </w:tcPr>
          <w:p>
            <w:pPr>
              <w:spacing w:after="0"/>
              <w:rPr>
                <w:sz w:val="1"/>
                <w:szCs w:val="1"/>
                <w:color w:val="auto"/>
              </w:rPr>
            </w:pPr>
          </w:p>
        </w:tc>
      </w:tr>
      <w:tr>
        <w:trPr>
          <w:trHeight w:val="153"/>
        </w:trPr>
        <w:tc>
          <w:tcPr>
            <w:tcW w:w="2520" w:type="dxa"/>
            <w:vAlign w:val="bottom"/>
            <w:tcBorders>
              <w:left w:val="single" w:sz="8" w:color="E5E5E5"/>
              <w:right w:val="single" w:sz="8" w:color="E5E5E5"/>
            </w:tcBorders>
            <w:vMerge w:val="continue"/>
            <w:shd w:val="clear" w:color="auto" w:fill="DBDBDB"/>
          </w:tcPr>
          <w:p>
            <w:pPr>
              <w:spacing w:after="0"/>
              <w:rPr>
                <w:sz w:val="13"/>
                <w:szCs w:val="13"/>
                <w:color w:val="auto"/>
              </w:rPr>
            </w:pPr>
          </w:p>
        </w:tc>
        <w:tc>
          <w:tcPr>
            <w:tcW w:w="4720" w:type="dxa"/>
            <w:vAlign w:val="bottom"/>
            <w:tcBorders>
              <w:right w:val="single" w:sz="8" w:color="E5E5E5"/>
            </w:tcBorders>
            <w:vMerge w:val="restart"/>
            <w:shd w:val="clear" w:color="auto" w:fill="DBDBDB"/>
          </w:tcPr>
          <w:p>
            <w:pPr>
              <w:spacing w:after="0"/>
              <w:rPr>
                <w:sz w:val="20"/>
                <w:szCs w:val="20"/>
                <w:color w:val="auto"/>
              </w:rPr>
            </w:pPr>
            <w:r>
              <w:rPr>
                <w:rFonts w:ascii="Arial" w:cs="Arial" w:eastAsia="Arial" w:hAnsi="Arial"/>
                <w:sz w:val="18"/>
                <w:szCs w:val="18"/>
                <w:color w:val="auto"/>
              </w:rPr>
              <w:t>plurality of the votes cast*</w:t>
            </w:r>
          </w:p>
        </w:tc>
        <w:tc>
          <w:tcPr>
            <w:tcW w:w="1480" w:type="dxa"/>
            <w:vAlign w:val="bottom"/>
            <w:tcBorders>
              <w:right w:val="single" w:sz="8" w:color="E5E5E5"/>
            </w:tcBorders>
            <w:vMerge w:val="continue"/>
            <w:shd w:val="clear" w:color="auto" w:fill="DBDBDB"/>
          </w:tcPr>
          <w:p>
            <w:pPr>
              <w:spacing w:after="0"/>
              <w:rPr>
                <w:sz w:val="13"/>
                <w:szCs w:val="13"/>
                <w:color w:val="auto"/>
              </w:rPr>
            </w:pPr>
          </w:p>
        </w:tc>
        <w:tc>
          <w:tcPr>
            <w:tcW w:w="1280" w:type="dxa"/>
            <w:vAlign w:val="bottom"/>
            <w:tcBorders>
              <w:right w:val="single" w:sz="8" w:color="E5E5E5"/>
            </w:tcBorders>
            <w:vMerge w:val="continue"/>
            <w:shd w:val="clear" w:color="auto" w:fill="DBDBDB"/>
          </w:tcPr>
          <w:p>
            <w:pPr>
              <w:spacing w:after="0"/>
              <w:rPr>
                <w:sz w:val="13"/>
                <w:szCs w:val="13"/>
                <w:color w:val="auto"/>
              </w:rPr>
            </w:pPr>
          </w:p>
        </w:tc>
        <w:tc>
          <w:tcPr>
            <w:tcW w:w="1260" w:type="dxa"/>
            <w:vAlign w:val="bottom"/>
            <w:tcBorders>
              <w:right w:val="single" w:sz="8" w:color="E5E5E5"/>
            </w:tcBorders>
            <w:vMerge w:val="continue"/>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520" w:type="dxa"/>
            <w:vAlign w:val="bottom"/>
            <w:tcBorders>
              <w:left w:val="single" w:sz="8" w:color="E5E5E5"/>
              <w:right w:val="single" w:sz="8" w:color="E5E5E5"/>
            </w:tcBorders>
            <w:shd w:val="clear" w:color="auto" w:fill="DBDBDB"/>
          </w:tcPr>
          <w:p>
            <w:pPr>
              <w:spacing w:after="0"/>
              <w:rPr>
                <w:sz w:val="9"/>
                <w:szCs w:val="9"/>
                <w:color w:val="auto"/>
              </w:rPr>
            </w:pPr>
          </w:p>
        </w:tc>
        <w:tc>
          <w:tcPr>
            <w:tcW w:w="4720" w:type="dxa"/>
            <w:vAlign w:val="bottom"/>
            <w:tcBorders>
              <w:right w:val="single" w:sz="8" w:color="E5E5E5"/>
            </w:tcBorders>
            <w:vMerge w:val="continue"/>
            <w:shd w:val="clear" w:color="auto" w:fill="DBDBDB"/>
          </w:tcPr>
          <w:p>
            <w:pPr>
              <w:spacing w:after="0"/>
              <w:rPr>
                <w:sz w:val="9"/>
                <w:szCs w:val="9"/>
                <w:color w:val="auto"/>
              </w:rPr>
            </w:pPr>
          </w:p>
        </w:tc>
        <w:tc>
          <w:tcPr>
            <w:tcW w:w="1480" w:type="dxa"/>
            <w:vAlign w:val="bottom"/>
            <w:tcBorders>
              <w:right w:val="single" w:sz="8" w:color="E5E5E5"/>
            </w:tcBorders>
            <w:shd w:val="clear" w:color="auto" w:fill="DBDBDB"/>
          </w:tcPr>
          <w:p>
            <w:pPr>
              <w:spacing w:after="0"/>
              <w:rPr>
                <w:sz w:val="9"/>
                <w:szCs w:val="9"/>
                <w:color w:val="auto"/>
              </w:rPr>
            </w:pPr>
          </w:p>
        </w:tc>
        <w:tc>
          <w:tcPr>
            <w:tcW w:w="1280" w:type="dxa"/>
            <w:vAlign w:val="bottom"/>
            <w:tcBorders>
              <w:right w:val="single" w:sz="8" w:color="E5E5E5"/>
            </w:tcBorders>
            <w:shd w:val="clear" w:color="auto" w:fill="DBDBDB"/>
          </w:tcPr>
          <w:p>
            <w:pPr>
              <w:spacing w:after="0"/>
              <w:rPr>
                <w:sz w:val="9"/>
                <w:szCs w:val="9"/>
                <w:color w:val="auto"/>
              </w:rPr>
            </w:pPr>
          </w:p>
        </w:tc>
        <w:tc>
          <w:tcPr>
            <w:tcW w:w="1260" w:type="dxa"/>
            <w:vAlign w:val="bottom"/>
            <w:tcBorders>
              <w:right w:val="single" w:sz="8" w:color="E5E5E5"/>
            </w:tcBorders>
            <w:shd w:val="clear" w:color="auto" w:fill="DBDBDB"/>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2520" w:type="dxa"/>
            <w:vAlign w:val="bottom"/>
            <w:tcBorders>
              <w:left w:val="single" w:sz="8" w:color="E5E5E5"/>
              <w:right w:val="single" w:sz="8" w:color="E5E5E5"/>
            </w:tcBorders>
            <w:vMerge w:val="restart"/>
          </w:tcPr>
          <w:p>
            <w:pPr>
              <w:ind w:left="40"/>
              <w:spacing w:after="0"/>
              <w:rPr>
                <w:sz w:val="20"/>
                <w:szCs w:val="20"/>
                <w:color w:val="auto"/>
              </w:rPr>
            </w:pPr>
            <w:r>
              <w:rPr>
                <w:rFonts w:ascii="Arial" w:cs="Arial" w:eastAsia="Arial" w:hAnsi="Arial"/>
                <w:sz w:val="18"/>
                <w:szCs w:val="18"/>
                <w:color w:val="auto"/>
              </w:rPr>
              <w:t>Advisory Approval of</w:t>
            </w:r>
          </w:p>
        </w:tc>
        <w:tc>
          <w:tcPr>
            <w:tcW w:w="4720" w:type="dxa"/>
            <w:vAlign w:val="bottom"/>
            <w:tcBorders>
              <w:right w:val="single" w:sz="8" w:color="E5E5E5"/>
            </w:tcBorders>
          </w:tcPr>
          <w:p>
            <w:pPr>
              <w:spacing w:after="0" w:line="176" w:lineRule="exact"/>
              <w:rPr>
                <w:sz w:val="20"/>
                <w:szCs w:val="20"/>
                <w:color w:val="auto"/>
              </w:rPr>
            </w:pPr>
            <w:r>
              <w:rPr>
                <w:rFonts w:ascii="Arial" w:cs="Arial" w:eastAsia="Arial" w:hAnsi="Arial"/>
                <w:sz w:val="18"/>
                <w:szCs w:val="18"/>
                <w:color w:val="auto"/>
              </w:rPr>
              <w:t>The affirmative vote of the holders of a majority of the</w:t>
            </w:r>
          </w:p>
        </w:tc>
        <w:tc>
          <w:tcPr>
            <w:tcW w:w="1480" w:type="dxa"/>
            <w:vAlign w:val="bottom"/>
            <w:tcBorders>
              <w:right w:val="single" w:sz="8" w:color="E5E5E5"/>
            </w:tcBorders>
          </w:tcPr>
          <w:p>
            <w:pPr>
              <w:spacing w:after="0"/>
              <w:rPr>
                <w:sz w:val="15"/>
                <w:szCs w:val="15"/>
                <w:color w:val="auto"/>
              </w:rPr>
            </w:pPr>
          </w:p>
        </w:tc>
        <w:tc>
          <w:tcPr>
            <w:tcW w:w="1280" w:type="dxa"/>
            <w:vAlign w:val="bottom"/>
            <w:tcBorders>
              <w:right w:val="single" w:sz="8" w:color="E5E5E5"/>
            </w:tcBorders>
          </w:tcPr>
          <w:p>
            <w:pPr>
              <w:spacing w:after="0"/>
              <w:rPr>
                <w:sz w:val="15"/>
                <w:szCs w:val="15"/>
                <w:color w:val="auto"/>
              </w:rPr>
            </w:pPr>
          </w:p>
        </w:tc>
        <w:tc>
          <w:tcPr>
            <w:tcW w:w="1260" w:type="dxa"/>
            <w:vAlign w:val="bottom"/>
            <w:tcBorders>
              <w:right w:val="single" w:sz="8" w:color="E5E5E5"/>
            </w:tcBorders>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2520" w:type="dxa"/>
            <w:vAlign w:val="bottom"/>
            <w:tcBorders>
              <w:left w:val="single" w:sz="8" w:color="E5E5E5"/>
              <w:right w:val="single" w:sz="8" w:color="E5E5E5"/>
            </w:tcBorders>
            <w:vMerge w:val="continue"/>
          </w:tcPr>
          <w:p>
            <w:pPr>
              <w:spacing w:after="0"/>
              <w:rPr>
                <w:sz w:val="7"/>
                <w:szCs w:val="7"/>
                <w:color w:val="auto"/>
              </w:rPr>
            </w:pPr>
          </w:p>
        </w:tc>
        <w:tc>
          <w:tcPr>
            <w:tcW w:w="4720" w:type="dxa"/>
            <w:vAlign w:val="bottom"/>
            <w:tcBorders>
              <w:right w:val="single" w:sz="8" w:color="E5E5E5"/>
            </w:tcBorders>
            <w:vMerge w:val="restart"/>
          </w:tcPr>
          <w:p>
            <w:pPr>
              <w:spacing w:after="0" w:line="183" w:lineRule="exact"/>
              <w:rPr>
                <w:sz w:val="20"/>
                <w:szCs w:val="20"/>
                <w:color w:val="auto"/>
              </w:rPr>
            </w:pPr>
            <w:r>
              <w:rPr>
                <w:rFonts w:ascii="Arial" w:cs="Arial" w:eastAsia="Arial" w:hAnsi="Arial"/>
                <w:sz w:val="18"/>
                <w:szCs w:val="18"/>
                <w:color w:val="auto"/>
              </w:rPr>
              <w:t>voting power of shares present in person or represented</w:t>
            </w:r>
          </w:p>
        </w:tc>
        <w:tc>
          <w:tcPr>
            <w:tcW w:w="1480" w:type="dxa"/>
            <w:vAlign w:val="bottom"/>
            <w:tcBorders>
              <w:right w:val="single" w:sz="8" w:color="E5E5E5"/>
            </w:tcBorders>
            <w:vMerge w:val="restart"/>
          </w:tcPr>
          <w:p>
            <w:pPr>
              <w:jc w:val="center"/>
              <w:spacing w:after="0" w:line="183" w:lineRule="exact"/>
              <w:rPr>
                <w:sz w:val="20"/>
                <w:szCs w:val="20"/>
                <w:color w:val="auto"/>
              </w:rPr>
            </w:pPr>
            <w:r>
              <w:rPr>
                <w:rFonts w:ascii="Arial" w:cs="Arial" w:eastAsia="Arial" w:hAnsi="Arial"/>
                <w:sz w:val="18"/>
                <w:szCs w:val="18"/>
                <w:color w:val="auto"/>
                <w:w w:val="99"/>
              </w:rPr>
              <w:t>Against</w:t>
            </w:r>
          </w:p>
        </w:tc>
        <w:tc>
          <w:tcPr>
            <w:tcW w:w="1280" w:type="dxa"/>
            <w:vAlign w:val="bottom"/>
            <w:tcBorders>
              <w:right w:val="single" w:sz="8" w:color="E5E5E5"/>
            </w:tcBorders>
            <w:vMerge w:val="restart"/>
          </w:tcPr>
          <w:p>
            <w:pPr>
              <w:jc w:val="center"/>
              <w:spacing w:after="0" w:line="183" w:lineRule="exact"/>
              <w:rPr>
                <w:sz w:val="20"/>
                <w:szCs w:val="20"/>
                <w:color w:val="auto"/>
              </w:rPr>
            </w:pPr>
            <w:r>
              <w:rPr>
                <w:rFonts w:ascii="Arial" w:cs="Arial" w:eastAsia="Arial" w:hAnsi="Arial"/>
                <w:sz w:val="18"/>
                <w:szCs w:val="18"/>
                <w:color w:val="auto"/>
                <w:w w:val="99"/>
              </w:rPr>
              <w:t>No Effect</w:t>
            </w:r>
          </w:p>
        </w:tc>
        <w:tc>
          <w:tcPr>
            <w:tcW w:w="1260" w:type="dxa"/>
            <w:vAlign w:val="bottom"/>
            <w:tcBorders>
              <w:right w:val="single" w:sz="8" w:color="E5E5E5"/>
            </w:tcBorders>
            <w:vMerge w:val="restart"/>
          </w:tcPr>
          <w:p>
            <w:pPr>
              <w:jc w:val="center"/>
              <w:spacing w:after="0" w:line="183" w:lineRule="exact"/>
              <w:rPr>
                <w:sz w:val="20"/>
                <w:szCs w:val="20"/>
                <w:color w:val="auto"/>
              </w:rPr>
            </w:pPr>
            <w:r>
              <w:rPr>
                <w:rFonts w:ascii="Arial" w:cs="Arial" w:eastAsia="Arial" w:hAnsi="Arial"/>
                <w:sz w:val="18"/>
                <w:szCs w:val="18"/>
                <w:color w:val="auto"/>
                <w:w w:val="99"/>
              </w:rPr>
              <w:t>Not Applicable</w:t>
            </w:r>
          </w:p>
        </w:tc>
        <w:tc>
          <w:tcPr>
            <w:tcW w:w="0" w:type="dxa"/>
            <w:vAlign w:val="bottom"/>
          </w:tcPr>
          <w:p>
            <w:pPr>
              <w:spacing w:after="0"/>
              <w:rPr>
                <w:sz w:val="1"/>
                <w:szCs w:val="1"/>
                <w:color w:val="auto"/>
              </w:rPr>
            </w:pPr>
          </w:p>
        </w:tc>
      </w:tr>
      <w:tr>
        <w:trPr>
          <w:trHeight w:val="103"/>
        </w:trPr>
        <w:tc>
          <w:tcPr>
            <w:tcW w:w="2520" w:type="dxa"/>
            <w:vAlign w:val="bottom"/>
            <w:tcBorders>
              <w:left w:val="single" w:sz="8" w:color="E5E5E5"/>
              <w:right w:val="single" w:sz="8" w:color="E5E5E5"/>
            </w:tcBorders>
            <w:vMerge w:val="restart"/>
          </w:tcPr>
          <w:p>
            <w:pPr>
              <w:ind w:left="40"/>
              <w:spacing w:after="0"/>
              <w:rPr>
                <w:sz w:val="20"/>
                <w:szCs w:val="20"/>
                <w:color w:val="auto"/>
              </w:rPr>
            </w:pPr>
            <w:r>
              <w:rPr>
                <w:rFonts w:ascii="Arial" w:cs="Arial" w:eastAsia="Arial" w:hAnsi="Arial"/>
                <w:sz w:val="18"/>
                <w:szCs w:val="18"/>
                <w:color w:val="auto"/>
              </w:rPr>
              <w:t>Executive Compensation</w:t>
            </w:r>
          </w:p>
        </w:tc>
        <w:tc>
          <w:tcPr>
            <w:tcW w:w="4720" w:type="dxa"/>
            <w:vAlign w:val="bottom"/>
            <w:tcBorders>
              <w:right w:val="single" w:sz="8" w:color="E5E5E5"/>
            </w:tcBorders>
            <w:vMerge w:val="continue"/>
          </w:tcPr>
          <w:p>
            <w:pPr>
              <w:spacing w:after="0"/>
              <w:rPr>
                <w:sz w:val="8"/>
                <w:szCs w:val="8"/>
                <w:color w:val="auto"/>
              </w:rPr>
            </w:pPr>
          </w:p>
        </w:tc>
        <w:tc>
          <w:tcPr>
            <w:tcW w:w="1480" w:type="dxa"/>
            <w:vAlign w:val="bottom"/>
            <w:tcBorders>
              <w:right w:val="single" w:sz="8" w:color="E5E5E5"/>
            </w:tcBorders>
            <w:vMerge w:val="continue"/>
          </w:tcPr>
          <w:p>
            <w:pPr>
              <w:spacing w:after="0"/>
              <w:rPr>
                <w:sz w:val="8"/>
                <w:szCs w:val="8"/>
                <w:color w:val="auto"/>
              </w:rPr>
            </w:pPr>
          </w:p>
        </w:tc>
        <w:tc>
          <w:tcPr>
            <w:tcW w:w="1280" w:type="dxa"/>
            <w:vAlign w:val="bottom"/>
            <w:tcBorders>
              <w:right w:val="single" w:sz="8" w:color="E5E5E5"/>
            </w:tcBorders>
            <w:vMerge w:val="continue"/>
          </w:tcPr>
          <w:p>
            <w:pPr>
              <w:spacing w:after="0"/>
              <w:rPr>
                <w:sz w:val="8"/>
                <w:szCs w:val="8"/>
                <w:color w:val="auto"/>
              </w:rPr>
            </w:pPr>
          </w:p>
        </w:tc>
        <w:tc>
          <w:tcPr>
            <w:tcW w:w="1260" w:type="dxa"/>
            <w:vAlign w:val="bottom"/>
            <w:tcBorders>
              <w:right w:val="single" w:sz="8" w:color="E5E5E5"/>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520" w:type="dxa"/>
            <w:vAlign w:val="bottom"/>
            <w:tcBorders>
              <w:left w:val="single" w:sz="8" w:color="E5E5E5"/>
              <w:right w:val="single" w:sz="8" w:color="E5E5E5"/>
            </w:tcBorders>
            <w:vMerge w:val="continue"/>
          </w:tcPr>
          <w:p>
            <w:pPr>
              <w:spacing w:after="0"/>
              <w:rPr>
                <w:sz w:val="11"/>
                <w:szCs w:val="11"/>
                <w:color w:val="auto"/>
              </w:rPr>
            </w:pPr>
          </w:p>
        </w:tc>
        <w:tc>
          <w:tcPr>
            <w:tcW w:w="4720" w:type="dxa"/>
            <w:vAlign w:val="bottom"/>
            <w:tcBorders>
              <w:right w:val="single" w:sz="8" w:color="E5E5E5"/>
            </w:tcBorders>
            <w:vMerge w:val="restart"/>
          </w:tcPr>
          <w:p>
            <w:pPr>
              <w:spacing w:after="0"/>
              <w:rPr>
                <w:sz w:val="20"/>
                <w:szCs w:val="20"/>
                <w:color w:val="auto"/>
              </w:rPr>
            </w:pPr>
            <w:r>
              <w:rPr>
                <w:rFonts w:ascii="Arial" w:cs="Arial" w:eastAsia="Arial" w:hAnsi="Arial"/>
                <w:sz w:val="18"/>
                <w:szCs w:val="18"/>
                <w:color w:val="auto"/>
              </w:rPr>
              <w:t>by proxy and entitled to vote</w:t>
            </w:r>
          </w:p>
        </w:tc>
        <w:tc>
          <w:tcPr>
            <w:tcW w:w="1480" w:type="dxa"/>
            <w:vAlign w:val="bottom"/>
            <w:tcBorders>
              <w:right w:val="single" w:sz="8" w:color="E5E5E5"/>
            </w:tcBorders>
          </w:tcPr>
          <w:p>
            <w:pPr>
              <w:spacing w:after="0"/>
              <w:rPr>
                <w:sz w:val="11"/>
                <w:szCs w:val="11"/>
                <w:color w:val="auto"/>
              </w:rPr>
            </w:pPr>
          </w:p>
        </w:tc>
        <w:tc>
          <w:tcPr>
            <w:tcW w:w="1280" w:type="dxa"/>
            <w:vAlign w:val="bottom"/>
            <w:tcBorders>
              <w:right w:val="single" w:sz="8" w:color="E5E5E5"/>
            </w:tcBorders>
          </w:tcPr>
          <w:p>
            <w:pPr>
              <w:spacing w:after="0"/>
              <w:rPr>
                <w:sz w:val="11"/>
                <w:szCs w:val="11"/>
                <w:color w:val="auto"/>
              </w:rPr>
            </w:pPr>
          </w:p>
        </w:tc>
        <w:tc>
          <w:tcPr>
            <w:tcW w:w="1260" w:type="dxa"/>
            <w:vAlign w:val="bottom"/>
            <w:tcBorders>
              <w:right w:val="single" w:sz="8" w:color="E5E5E5"/>
            </w:tcBorders>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520" w:type="dxa"/>
            <w:vAlign w:val="bottom"/>
            <w:tcBorders>
              <w:left w:val="single" w:sz="8" w:color="E5E5E5"/>
              <w:right w:val="single" w:sz="8" w:color="E5E5E5"/>
            </w:tcBorders>
          </w:tcPr>
          <w:p>
            <w:pPr>
              <w:spacing w:after="0"/>
              <w:rPr>
                <w:sz w:val="8"/>
                <w:szCs w:val="8"/>
                <w:color w:val="auto"/>
              </w:rPr>
            </w:pPr>
          </w:p>
        </w:tc>
        <w:tc>
          <w:tcPr>
            <w:tcW w:w="4720" w:type="dxa"/>
            <w:vAlign w:val="bottom"/>
            <w:tcBorders>
              <w:right w:val="single" w:sz="8" w:color="E5E5E5"/>
            </w:tcBorders>
            <w:vMerge w:val="continue"/>
          </w:tcPr>
          <w:p>
            <w:pPr>
              <w:spacing w:after="0"/>
              <w:rPr>
                <w:sz w:val="8"/>
                <w:szCs w:val="8"/>
                <w:color w:val="auto"/>
              </w:rPr>
            </w:pPr>
          </w:p>
        </w:tc>
        <w:tc>
          <w:tcPr>
            <w:tcW w:w="1480" w:type="dxa"/>
            <w:vAlign w:val="bottom"/>
            <w:tcBorders>
              <w:right w:val="single" w:sz="8" w:color="E5E5E5"/>
            </w:tcBorders>
          </w:tcPr>
          <w:p>
            <w:pPr>
              <w:spacing w:after="0"/>
              <w:rPr>
                <w:sz w:val="8"/>
                <w:szCs w:val="8"/>
                <w:color w:val="auto"/>
              </w:rPr>
            </w:pPr>
          </w:p>
        </w:tc>
        <w:tc>
          <w:tcPr>
            <w:tcW w:w="1280" w:type="dxa"/>
            <w:vAlign w:val="bottom"/>
            <w:tcBorders>
              <w:right w:val="single" w:sz="8" w:color="E5E5E5"/>
            </w:tcBorders>
          </w:tcPr>
          <w:p>
            <w:pPr>
              <w:spacing w:after="0"/>
              <w:rPr>
                <w:sz w:val="8"/>
                <w:szCs w:val="8"/>
                <w:color w:val="auto"/>
              </w:rPr>
            </w:pPr>
          </w:p>
        </w:tc>
        <w:tc>
          <w:tcPr>
            <w:tcW w:w="1260" w:type="dxa"/>
            <w:vAlign w:val="bottom"/>
            <w:tcBorders>
              <w:right w:val="single" w:sz="8" w:color="E5E5E5"/>
            </w:tcBorders>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2520" w:type="dxa"/>
            <w:vAlign w:val="bottom"/>
            <w:tcBorders>
              <w:left w:val="single" w:sz="8" w:color="E5E5E5"/>
              <w:right w:val="single" w:sz="8" w:color="E5E5E5"/>
            </w:tcBorders>
            <w:shd w:val="clear" w:color="auto" w:fill="DBDBDB"/>
          </w:tcPr>
          <w:p>
            <w:pPr>
              <w:ind w:left="40"/>
              <w:spacing w:after="0" w:line="189" w:lineRule="exact"/>
              <w:rPr>
                <w:sz w:val="20"/>
                <w:szCs w:val="20"/>
                <w:color w:val="auto"/>
              </w:rPr>
            </w:pPr>
            <w:r>
              <w:rPr>
                <w:rFonts w:ascii="Arial" w:cs="Arial" w:eastAsia="Arial" w:hAnsi="Arial"/>
                <w:sz w:val="18"/>
                <w:szCs w:val="18"/>
                <w:color w:val="auto"/>
              </w:rPr>
              <w:t>Ratification of Independent</w:t>
            </w:r>
          </w:p>
        </w:tc>
        <w:tc>
          <w:tcPr>
            <w:tcW w:w="4720" w:type="dxa"/>
            <w:vAlign w:val="bottom"/>
            <w:tcBorders>
              <w:right w:val="single" w:sz="8" w:color="E5E5E5"/>
            </w:tcBorders>
            <w:shd w:val="clear" w:color="auto" w:fill="DBDBDB"/>
          </w:tcPr>
          <w:p>
            <w:pPr>
              <w:spacing w:after="0" w:line="189" w:lineRule="exact"/>
              <w:rPr>
                <w:sz w:val="20"/>
                <w:szCs w:val="20"/>
                <w:color w:val="auto"/>
              </w:rPr>
            </w:pPr>
            <w:r>
              <w:rPr>
                <w:rFonts w:ascii="Arial" w:cs="Arial" w:eastAsia="Arial" w:hAnsi="Arial"/>
                <w:sz w:val="18"/>
                <w:szCs w:val="18"/>
                <w:color w:val="auto"/>
              </w:rPr>
              <w:t>The affirmative vote of the holders of a majority of the</w:t>
            </w:r>
          </w:p>
        </w:tc>
        <w:tc>
          <w:tcPr>
            <w:tcW w:w="1480" w:type="dxa"/>
            <w:vAlign w:val="bottom"/>
            <w:tcBorders>
              <w:right w:val="single" w:sz="8" w:color="E5E5E5"/>
            </w:tcBorders>
            <w:vMerge w:val="restart"/>
            <w:shd w:val="clear" w:color="auto" w:fill="DBDBDB"/>
          </w:tcPr>
          <w:p>
            <w:pPr>
              <w:jc w:val="center"/>
              <w:spacing w:after="0"/>
              <w:rPr>
                <w:sz w:val="20"/>
                <w:szCs w:val="20"/>
                <w:color w:val="auto"/>
              </w:rPr>
            </w:pPr>
            <w:r>
              <w:rPr>
                <w:rFonts w:ascii="Arial" w:cs="Arial" w:eastAsia="Arial" w:hAnsi="Arial"/>
                <w:sz w:val="18"/>
                <w:szCs w:val="18"/>
                <w:color w:val="auto"/>
                <w:w w:val="99"/>
              </w:rPr>
              <w:t>Against</w:t>
            </w:r>
          </w:p>
        </w:tc>
        <w:tc>
          <w:tcPr>
            <w:tcW w:w="1280" w:type="dxa"/>
            <w:vAlign w:val="bottom"/>
            <w:tcBorders>
              <w:right w:val="single" w:sz="8" w:color="E5E5E5"/>
            </w:tcBorders>
            <w:vMerge w:val="restart"/>
            <w:shd w:val="clear" w:color="auto" w:fill="DBDBDB"/>
          </w:tcPr>
          <w:p>
            <w:pPr>
              <w:jc w:val="center"/>
              <w:spacing w:after="0"/>
              <w:rPr>
                <w:sz w:val="20"/>
                <w:szCs w:val="20"/>
                <w:color w:val="auto"/>
              </w:rPr>
            </w:pPr>
            <w:r>
              <w:rPr>
                <w:rFonts w:ascii="Arial" w:cs="Arial" w:eastAsia="Arial" w:hAnsi="Arial"/>
                <w:sz w:val="18"/>
                <w:szCs w:val="18"/>
                <w:color w:val="auto"/>
                <w:w w:val="99"/>
              </w:rPr>
              <w:t>No Effect</w:t>
            </w:r>
          </w:p>
        </w:tc>
        <w:tc>
          <w:tcPr>
            <w:tcW w:w="1260" w:type="dxa"/>
            <w:vAlign w:val="bottom"/>
            <w:tcBorders>
              <w:right w:val="single" w:sz="8" w:color="E5E5E5"/>
            </w:tcBorders>
            <w:vMerge w:val="restart"/>
            <w:shd w:val="clear" w:color="auto" w:fill="DBDBDB"/>
          </w:tcPr>
          <w:p>
            <w:pPr>
              <w:jc w:val="center"/>
              <w:spacing w:after="0"/>
              <w:rPr>
                <w:sz w:val="20"/>
                <w:szCs w:val="20"/>
                <w:color w:val="auto"/>
              </w:rPr>
            </w:pPr>
            <w:r>
              <w:rPr>
                <w:rFonts w:ascii="Arial" w:cs="Arial" w:eastAsia="Arial" w:hAnsi="Arial"/>
                <w:sz w:val="18"/>
                <w:szCs w:val="18"/>
                <w:color w:val="auto"/>
                <w:w w:val="99"/>
              </w:rPr>
              <w:t>Not Applicable</w:t>
            </w:r>
          </w:p>
        </w:tc>
        <w:tc>
          <w:tcPr>
            <w:tcW w:w="0" w:type="dxa"/>
            <w:vAlign w:val="bottom"/>
          </w:tcPr>
          <w:p>
            <w:pPr>
              <w:spacing w:after="0"/>
              <w:rPr>
                <w:sz w:val="1"/>
                <w:szCs w:val="1"/>
                <w:color w:val="auto"/>
              </w:rPr>
            </w:pPr>
          </w:p>
        </w:tc>
      </w:tr>
      <w:tr>
        <w:trPr>
          <w:trHeight w:val="184"/>
        </w:trPr>
        <w:tc>
          <w:tcPr>
            <w:tcW w:w="2520" w:type="dxa"/>
            <w:vAlign w:val="bottom"/>
            <w:tcBorders>
              <w:left w:val="single" w:sz="8" w:color="E5E5E5"/>
              <w:right w:val="single" w:sz="8" w:color="E5E5E5"/>
            </w:tcBorders>
            <w:shd w:val="clear" w:color="auto" w:fill="DBDBDB"/>
          </w:tcPr>
          <w:p>
            <w:pPr>
              <w:ind w:left="40"/>
              <w:spacing w:after="0" w:line="183" w:lineRule="exact"/>
              <w:rPr>
                <w:sz w:val="20"/>
                <w:szCs w:val="20"/>
                <w:color w:val="auto"/>
              </w:rPr>
            </w:pPr>
            <w:r>
              <w:rPr>
                <w:rFonts w:ascii="Arial" w:cs="Arial" w:eastAsia="Arial" w:hAnsi="Arial"/>
                <w:sz w:val="18"/>
                <w:szCs w:val="18"/>
                <w:color w:val="auto"/>
              </w:rPr>
              <w:t>Registered Public Accounting</w:t>
            </w:r>
          </w:p>
        </w:tc>
        <w:tc>
          <w:tcPr>
            <w:tcW w:w="4720" w:type="dxa"/>
            <w:vAlign w:val="bottom"/>
            <w:tcBorders>
              <w:right w:val="single" w:sz="8" w:color="E5E5E5"/>
            </w:tcBorders>
            <w:shd w:val="clear" w:color="auto" w:fill="DBDBDB"/>
          </w:tcPr>
          <w:p>
            <w:pPr>
              <w:spacing w:after="0" w:line="183" w:lineRule="exact"/>
              <w:rPr>
                <w:sz w:val="20"/>
                <w:szCs w:val="20"/>
                <w:color w:val="auto"/>
              </w:rPr>
            </w:pPr>
            <w:r>
              <w:rPr>
                <w:rFonts w:ascii="Arial" w:cs="Arial" w:eastAsia="Arial" w:hAnsi="Arial"/>
                <w:sz w:val="18"/>
                <w:szCs w:val="18"/>
                <w:color w:val="auto"/>
              </w:rPr>
              <w:t>voting power of shares present in person or represented</w:t>
            </w:r>
          </w:p>
        </w:tc>
        <w:tc>
          <w:tcPr>
            <w:tcW w:w="1480" w:type="dxa"/>
            <w:vAlign w:val="bottom"/>
            <w:tcBorders>
              <w:right w:val="single" w:sz="8" w:color="E5E5E5"/>
            </w:tcBorders>
            <w:vMerge w:val="continue"/>
            <w:shd w:val="clear" w:color="auto" w:fill="DBDBDB"/>
          </w:tcPr>
          <w:p>
            <w:pPr>
              <w:spacing w:after="0"/>
              <w:rPr>
                <w:sz w:val="15"/>
                <w:szCs w:val="15"/>
                <w:color w:val="auto"/>
              </w:rPr>
            </w:pPr>
          </w:p>
        </w:tc>
        <w:tc>
          <w:tcPr>
            <w:tcW w:w="1280" w:type="dxa"/>
            <w:vAlign w:val="bottom"/>
            <w:tcBorders>
              <w:right w:val="single" w:sz="8" w:color="E5E5E5"/>
            </w:tcBorders>
            <w:vMerge w:val="continue"/>
            <w:shd w:val="clear" w:color="auto" w:fill="DBDBDB"/>
          </w:tcPr>
          <w:p>
            <w:pPr>
              <w:spacing w:after="0"/>
              <w:rPr>
                <w:sz w:val="15"/>
                <w:szCs w:val="15"/>
                <w:color w:val="auto"/>
              </w:rPr>
            </w:pPr>
          </w:p>
        </w:tc>
        <w:tc>
          <w:tcPr>
            <w:tcW w:w="1260" w:type="dxa"/>
            <w:vAlign w:val="bottom"/>
            <w:tcBorders>
              <w:right w:val="single" w:sz="8" w:color="E5E5E5"/>
            </w:tcBorders>
            <w:vMerge w:val="continue"/>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2520" w:type="dxa"/>
            <w:vAlign w:val="bottom"/>
            <w:tcBorders>
              <w:left w:val="single" w:sz="8" w:color="E5E5E5"/>
              <w:right w:val="single" w:sz="8" w:color="E5E5E5"/>
            </w:tcBorders>
            <w:shd w:val="clear" w:color="auto" w:fill="DBDBDB"/>
          </w:tcPr>
          <w:p>
            <w:pPr>
              <w:ind w:left="40"/>
              <w:spacing w:after="0"/>
              <w:rPr>
                <w:sz w:val="20"/>
                <w:szCs w:val="20"/>
                <w:color w:val="auto"/>
              </w:rPr>
            </w:pPr>
            <w:r>
              <w:rPr>
                <w:rFonts w:ascii="Arial" w:cs="Arial" w:eastAsia="Arial" w:hAnsi="Arial"/>
                <w:sz w:val="18"/>
                <w:szCs w:val="18"/>
                <w:color w:val="auto"/>
              </w:rPr>
              <w:t>Firm</w:t>
            </w:r>
          </w:p>
        </w:tc>
        <w:tc>
          <w:tcPr>
            <w:tcW w:w="4720" w:type="dxa"/>
            <w:vAlign w:val="bottom"/>
            <w:tcBorders>
              <w:right w:val="single" w:sz="8" w:color="E5E5E5"/>
            </w:tcBorders>
            <w:shd w:val="clear" w:color="auto" w:fill="DBDBDB"/>
          </w:tcPr>
          <w:p>
            <w:pPr>
              <w:spacing w:after="0"/>
              <w:rPr>
                <w:sz w:val="20"/>
                <w:szCs w:val="20"/>
                <w:color w:val="auto"/>
              </w:rPr>
            </w:pPr>
            <w:r>
              <w:rPr>
                <w:rFonts w:ascii="Arial" w:cs="Arial" w:eastAsia="Arial" w:hAnsi="Arial"/>
                <w:sz w:val="18"/>
                <w:szCs w:val="18"/>
                <w:color w:val="auto"/>
              </w:rPr>
              <w:t>by proxy and entitled to vote</w:t>
            </w:r>
          </w:p>
        </w:tc>
        <w:tc>
          <w:tcPr>
            <w:tcW w:w="1480" w:type="dxa"/>
            <w:vAlign w:val="bottom"/>
            <w:tcBorders>
              <w:right w:val="single" w:sz="8" w:color="E5E5E5"/>
            </w:tcBorders>
            <w:shd w:val="clear" w:color="auto" w:fill="DBDBDB"/>
          </w:tcPr>
          <w:p>
            <w:pPr>
              <w:spacing w:after="0"/>
              <w:rPr>
                <w:sz w:val="21"/>
                <w:szCs w:val="21"/>
                <w:color w:val="auto"/>
              </w:rPr>
            </w:pPr>
          </w:p>
        </w:tc>
        <w:tc>
          <w:tcPr>
            <w:tcW w:w="1280" w:type="dxa"/>
            <w:vAlign w:val="bottom"/>
            <w:tcBorders>
              <w:right w:val="single" w:sz="8" w:color="E5E5E5"/>
            </w:tcBorders>
            <w:shd w:val="clear" w:color="auto" w:fill="DBDBDB"/>
          </w:tcPr>
          <w:p>
            <w:pPr>
              <w:spacing w:after="0"/>
              <w:rPr>
                <w:sz w:val="21"/>
                <w:szCs w:val="21"/>
                <w:color w:val="auto"/>
              </w:rPr>
            </w:pPr>
          </w:p>
        </w:tc>
        <w:tc>
          <w:tcPr>
            <w:tcW w:w="1260" w:type="dxa"/>
            <w:vAlign w:val="bottom"/>
            <w:tcBorders>
              <w:right w:val="single" w:sz="8" w:color="E5E5E5"/>
            </w:tcBorders>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520" w:type="dxa"/>
            <w:vAlign w:val="bottom"/>
            <w:tcBorders>
              <w:left w:val="single" w:sz="8" w:color="E5E5E5"/>
              <w:right w:val="single" w:sz="8" w:color="E5E5E5"/>
            </w:tcBorders>
          </w:tcPr>
          <w:p>
            <w:pPr>
              <w:ind w:left="40"/>
              <w:spacing w:after="0"/>
              <w:rPr>
                <w:sz w:val="20"/>
                <w:szCs w:val="20"/>
                <w:color w:val="auto"/>
              </w:rPr>
            </w:pPr>
            <w:r>
              <w:rPr>
                <w:rFonts w:ascii="Arial" w:cs="Arial" w:eastAsia="Arial" w:hAnsi="Arial"/>
                <w:sz w:val="18"/>
                <w:szCs w:val="18"/>
                <w:color w:val="auto"/>
              </w:rPr>
              <w:t>Stockholder Proposal to Adopt</w:t>
            </w:r>
          </w:p>
        </w:tc>
        <w:tc>
          <w:tcPr>
            <w:tcW w:w="4720" w:type="dxa"/>
            <w:vAlign w:val="bottom"/>
            <w:tcBorders>
              <w:right w:val="single" w:sz="8" w:color="E5E5E5"/>
            </w:tcBorders>
          </w:tcPr>
          <w:p>
            <w:pPr>
              <w:spacing w:after="0"/>
              <w:rPr>
                <w:sz w:val="20"/>
                <w:szCs w:val="20"/>
                <w:color w:val="auto"/>
              </w:rPr>
            </w:pPr>
            <w:r>
              <w:rPr>
                <w:rFonts w:ascii="Arial" w:cs="Arial" w:eastAsia="Arial" w:hAnsi="Arial"/>
                <w:sz w:val="18"/>
                <w:szCs w:val="18"/>
                <w:color w:val="auto"/>
              </w:rPr>
              <w:t>The affirmative vote of the holders of a majority of the</w:t>
            </w:r>
          </w:p>
        </w:tc>
        <w:tc>
          <w:tcPr>
            <w:tcW w:w="1480" w:type="dxa"/>
            <w:vAlign w:val="bottom"/>
            <w:tcBorders>
              <w:right w:val="single" w:sz="8" w:color="E5E5E5"/>
            </w:tcBorders>
            <w:vMerge w:val="restart"/>
          </w:tcPr>
          <w:p>
            <w:pPr>
              <w:jc w:val="center"/>
              <w:spacing w:after="0"/>
              <w:rPr>
                <w:sz w:val="20"/>
                <w:szCs w:val="20"/>
                <w:color w:val="auto"/>
              </w:rPr>
            </w:pPr>
            <w:r>
              <w:rPr>
                <w:rFonts w:ascii="Arial" w:cs="Arial" w:eastAsia="Arial" w:hAnsi="Arial"/>
                <w:sz w:val="18"/>
                <w:szCs w:val="18"/>
                <w:color w:val="auto"/>
                <w:w w:val="99"/>
              </w:rPr>
              <w:t>Against</w:t>
            </w:r>
          </w:p>
        </w:tc>
        <w:tc>
          <w:tcPr>
            <w:tcW w:w="1280" w:type="dxa"/>
            <w:vAlign w:val="bottom"/>
            <w:tcBorders>
              <w:right w:val="single" w:sz="8" w:color="E5E5E5"/>
            </w:tcBorders>
            <w:vMerge w:val="restart"/>
          </w:tcPr>
          <w:p>
            <w:pPr>
              <w:jc w:val="center"/>
              <w:spacing w:after="0"/>
              <w:rPr>
                <w:sz w:val="20"/>
                <w:szCs w:val="20"/>
                <w:color w:val="auto"/>
              </w:rPr>
            </w:pPr>
            <w:r>
              <w:rPr>
                <w:rFonts w:ascii="Arial" w:cs="Arial" w:eastAsia="Arial" w:hAnsi="Arial"/>
                <w:sz w:val="18"/>
                <w:szCs w:val="18"/>
                <w:color w:val="auto"/>
                <w:w w:val="99"/>
              </w:rPr>
              <w:t>No Effect</w:t>
            </w:r>
          </w:p>
        </w:tc>
        <w:tc>
          <w:tcPr>
            <w:tcW w:w="1260" w:type="dxa"/>
            <w:vAlign w:val="bottom"/>
            <w:tcBorders>
              <w:right w:val="single" w:sz="8" w:color="E5E5E5"/>
            </w:tcBorders>
            <w:vMerge w:val="restart"/>
          </w:tcPr>
          <w:p>
            <w:pPr>
              <w:jc w:val="center"/>
              <w:spacing w:after="0"/>
              <w:rPr>
                <w:sz w:val="20"/>
                <w:szCs w:val="20"/>
                <w:color w:val="auto"/>
              </w:rPr>
            </w:pPr>
            <w:r>
              <w:rPr>
                <w:rFonts w:ascii="Arial" w:cs="Arial" w:eastAsia="Arial" w:hAnsi="Arial"/>
                <w:sz w:val="18"/>
                <w:szCs w:val="18"/>
                <w:color w:val="auto"/>
                <w:w w:val="99"/>
              </w:rPr>
              <w:t>Not Applicable</w:t>
            </w:r>
          </w:p>
        </w:tc>
        <w:tc>
          <w:tcPr>
            <w:tcW w:w="0" w:type="dxa"/>
            <w:vAlign w:val="bottom"/>
          </w:tcPr>
          <w:p>
            <w:pPr>
              <w:spacing w:after="0"/>
              <w:rPr>
                <w:sz w:val="1"/>
                <w:szCs w:val="1"/>
                <w:color w:val="auto"/>
              </w:rPr>
            </w:pPr>
          </w:p>
        </w:tc>
      </w:tr>
      <w:tr>
        <w:trPr>
          <w:trHeight w:val="103"/>
        </w:trPr>
        <w:tc>
          <w:tcPr>
            <w:tcW w:w="2520" w:type="dxa"/>
            <w:vAlign w:val="bottom"/>
            <w:tcBorders>
              <w:left w:val="single" w:sz="8" w:color="E5E5E5"/>
              <w:right w:val="single" w:sz="8" w:color="E5E5E5"/>
            </w:tcBorders>
            <w:vMerge w:val="restart"/>
          </w:tcPr>
          <w:p>
            <w:pPr>
              <w:ind w:left="40"/>
              <w:spacing w:after="0"/>
              <w:rPr>
                <w:sz w:val="20"/>
                <w:szCs w:val="20"/>
                <w:color w:val="auto"/>
              </w:rPr>
            </w:pPr>
            <w:r>
              <w:rPr>
                <w:rFonts w:ascii="Arial" w:cs="Arial" w:eastAsia="Arial" w:hAnsi="Arial"/>
                <w:sz w:val="18"/>
                <w:szCs w:val="18"/>
                <w:color w:val="auto"/>
              </w:rPr>
              <w:t>a Simple Majority Vote</w:t>
            </w:r>
          </w:p>
        </w:tc>
        <w:tc>
          <w:tcPr>
            <w:tcW w:w="4720" w:type="dxa"/>
            <w:vAlign w:val="bottom"/>
            <w:tcBorders>
              <w:right w:val="single" w:sz="8" w:color="E5E5E5"/>
            </w:tcBorders>
          </w:tcPr>
          <w:p>
            <w:pPr>
              <w:spacing w:after="0" w:line="103" w:lineRule="exact"/>
              <w:rPr>
                <w:sz w:val="20"/>
                <w:szCs w:val="20"/>
                <w:color w:val="auto"/>
              </w:rPr>
            </w:pPr>
            <w:r>
              <w:rPr>
                <w:rFonts w:ascii="Arial" w:cs="Arial" w:eastAsia="Arial" w:hAnsi="Arial"/>
                <w:sz w:val="11"/>
                <w:szCs w:val="11"/>
                <w:color w:val="auto"/>
              </w:rPr>
              <w:t>voting power of shares present in person or represented</w:t>
            </w:r>
          </w:p>
        </w:tc>
        <w:tc>
          <w:tcPr>
            <w:tcW w:w="1480" w:type="dxa"/>
            <w:vAlign w:val="bottom"/>
            <w:tcBorders>
              <w:right w:val="single" w:sz="8" w:color="E5E5E5"/>
            </w:tcBorders>
            <w:vMerge w:val="continue"/>
          </w:tcPr>
          <w:p>
            <w:pPr>
              <w:spacing w:after="0"/>
              <w:rPr>
                <w:sz w:val="8"/>
                <w:szCs w:val="8"/>
                <w:color w:val="auto"/>
              </w:rPr>
            </w:pPr>
          </w:p>
        </w:tc>
        <w:tc>
          <w:tcPr>
            <w:tcW w:w="1280" w:type="dxa"/>
            <w:vAlign w:val="bottom"/>
            <w:tcBorders>
              <w:right w:val="single" w:sz="8" w:color="E5E5E5"/>
            </w:tcBorders>
            <w:vMerge w:val="continue"/>
          </w:tcPr>
          <w:p>
            <w:pPr>
              <w:spacing w:after="0"/>
              <w:rPr>
                <w:sz w:val="8"/>
                <w:szCs w:val="8"/>
                <w:color w:val="auto"/>
              </w:rPr>
            </w:pPr>
          </w:p>
        </w:tc>
        <w:tc>
          <w:tcPr>
            <w:tcW w:w="1260" w:type="dxa"/>
            <w:vAlign w:val="bottom"/>
            <w:tcBorders>
              <w:right w:val="single" w:sz="8" w:color="E5E5E5"/>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520" w:type="dxa"/>
            <w:vAlign w:val="bottom"/>
            <w:tcBorders>
              <w:left w:val="single" w:sz="8" w:color="E5E5E5"/>
              <w:right w:val="single" w:sz="8" w:color="E5E5E5"/>
            </w:tcBorders>
            <w:vMerge w:val="continue"/>
          </w:tcPr>
          <w:p>
            <w:pPr>
              <w:spacing w:after="0"/>
              <w:rPr>
                <w:sz w:val="11"/>
                <w:szCs w:val="11"/>
                <w:color w:val="auto"/>
              </w:rPr>
            </w:pPr>
          </w:p>
        </w:tc>
        <w:tc>
          <w:tcPr>
            <w:tcW w:w="4720" w:type="dxa"/>
            <w:vAlign w:val="bottom"/>
            <w:tcBorders>
              <w:right w:val="single" w:sz="8" w:color="E5E5E5"/>
            </w:tcBorders>
            <w:vMerge w:val="restart"/>
          </w:tcPr>
          <w:p>
            <w:pPr>
              <w:spacing w:after="0"/>
              <w:rPr>
                <w:sz w:val="20"/>
                <w:szCs w:val="20"/>
                <w:color w:val="auto"/>
              </w:rPr>
            </w:pPr>
            <w:r>
              <w:rPr>
                <w:rFonts w:ascii="Arial" w:cs="Arial" w:eastAsia="Arial" w:hAnsi="Arial"/>
                <w:sz w:val="18"/>
                <w:szCs w:val="18"/>
                <w:color w:val="auto"/>
              </w:rPr>
              <w:t>by proxy and entitled to vote</w:t>
            </w:r>
          </w:p>
        </w:tc>
        <w:tc>
          <w:tcPr>
            <w:tcW w:w="1480" w:type="dxa"/>
            <w:vAlign w:val="bottom"/>
            <w:tcBorders>
              <w:right w:val="single" w:sz="8" w:color="E5E5E5"/>
            </w:tcBorders>
          </w:tcPr>
          <w:p>
            <w:pPr>
              <w:spacing w:after="0"/>
              <w:rPr>
                <w:sz w:val="11"/>
                <w:szCs w:val="11"/>
                <w:color w:val="auto"/>
              </w:rPr>
            </w:pPr>
          </w:p>
        </w:tc>
        <w:tc>
          <w:tcPr>
            <w:tcW w:w="1280" w:type="dxa"/>
            <w:vAlign w:val="bottom"/>
            <w:tcBorders>
              <w:right w:val="single" w:sz="8" w:color="E5E5E5"/>
            </w:tcBorders>
          </w:tcPr>
          <w:p>
            <w:pPr>
              <w:spacing w:after="0"/>
              <w:rPr>
                <w:sz w:val="11"/>
                <w:szCs w:val="11"/>
                <w:color w:val="auto"/>
              </w:rPr>
            </w:pPr>
          </w:p>
        </w:tc>
        <w:tc>
          <w:tcPr>
            <w:tcW w:w="1260" w:type="dxa"/>
            <w:vAlign w:val="bottom"/>
            <w:tcBorders>
              <w:right w:val="single" w:sz="8" w:color="E5E5E5"/>
            </w:tcBorders>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520" w:type="dxa"/>
            <w:vAlign w:val="bottom"/>
            <w:tcBorders>
              <w:left w:val="single" w:sz="8" w:color="E5E5E5"/>
              <w:bottom w:val="single" w:sz="8" w:color="E5E5E5"/>
              <w:right w:val="single" w:sz="8" w:color="E5E5E5"/>
            </w:tcBorders>
          </w:tcPr>
          <w:p>
            <w:pPr>
              <w:spacing w:after="0"/>
              <w:rPr>
                <w:sz w:val="8"/>
                <w:szCs w:val="8"/>
                <w:color w:val="auto"/>
              </w:rPr>
            </w:pPr>
          </w:p>
        </w:tc>
        <w:tc>
          <w:tcPr>
            <w:tcW w:w="4720" w:type="dxa"/>
            <w:vAlign w:val="bottom"/>
            <w:tcBorders>
              <w:bottom w:val="single" w:sz="8" w:color="E5E5E5"/>
              <w:right w:val="single" w:sz="8" w:color="E5E5E5"/>
            </w:tcBorders>
            <w:vMerge w:val="continue"/>
          </w:tcPr>
          <w:p>
            <w:pPr>
              <w:spacing w:after="0"/>
              <w:rPr>
                <w:sz w:val="8"/>
                <w:szCs w:val="8"/>
                <w:color w:val="auto"/>
              </w:rPr>
            </w:pPr>
          </w:p>
        </w:tc>
        <w:tc>
          <w:tcPr>
            <w:tcW w:w="1480" w:type="dxa"/>
            <w:vAlign w:val="bottom"/>
            <w:tcBorders>
              <w:bottom w:val="single" w:sz="8" w:color="E5E5E5"/>
              <w:right w:val="single" w:sz="8" w:color="E5E5E5"/>
            </w:tcBorders>
          </w:tcPr>
          <w:p>
            <w:pPr>
              <w:spacing w:after="0"/>
              <w:rPr>
                <w:sz w:val="8"/>
                <w:szCs w:val="8"/>
                <w:color w:val="auto"/>
              </w:rPr>
            </w:pPr>
          </w:p>
        </w:tc>
        <w:tc>
          <w:tcPr>
            <w:tcW w:w="1280" w:type="dxa"/>
            <w:vAlign w:val="bottom"/>
            <w:tcBorders>
              <w:bottom w:val="single" w:sz="8" w:color="E5E5E5"/>
              <w:right w:val="single" w:sz="8" w:color="E5E5E5"/>
            </w:tcBorders>
          </w:tcPr>
          <w:p>
            <w:pPr>
              <w:spacing w:after="0"/>
              <w:rPr>
                <w:sz w:val="8"/>
                <w:szCs w:val="8"/>
                <w:color w:val="auto"/>
              </w:rPr>
            </w:pPr>
          </w:p>
        </w:tc>
        <w:tc>
          <w:tcPr>
            <w:tcW w:w="1260" w:type="dxa"/>
            <w:vAlign w:val="bottom"/>
            <w:tcBorders>
              <w:bottom w:val="single" w:sz="8" w:color="E5E5E5"/>
              <w:right w:val="single" w:sz="8" w:color="E5E5E5"/>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*While directors are elected by a plurality of votes cast, our Corporate Governance Guidelines include a director voting policy. This policy provides that in an uncontested election, any nominee for director who is a current director and who receives a greater number of votes “withheld” from their election than votes “for” their election shall tender their resignation as a director to the Board promptly following the certification of the election results. The Governance &amp; Nominating Committee will consider each resignation tendered and recommend to the Board whether to accept or reject it. The Board will act on each tendered resignation within 90 days following the certification of the election results.</w:t>
      </w:r>
    </w:p>
    <w:p>
      <w:pPr>
        <w:spacing w:after="0" w:line="7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Only votes “for” or “withheld” are counted in determining whether a plurality has been cast in favor of a director nominee. If you vote “Withhold” with respect to the election of one or more nominees, your shares will not be voted with respect to those nominees. For a “withheld” vote, your shares will be counted for purposes of determining whether there is a quorum and will have a similar effect as a vote “against” that director nominee under our director voting policy. Broker non-votes will not be deemed to be votes “for” or “against” a director nominee.</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Will any other business be conducted at the 2025 Annual Meeting?</w:t>
      </w:r>
    </w:p>
    <w:p>
      <w:pPr>
        <w:spacing w:after="0" w:line="11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Board is not aware of any other business that will be presented at the 2025 Annual Meeting. If any other business properly comes before the stockholders for a vote at the 2025 Annual Meeting, the proxy holders will vote the shares for which they have been granted a proxy as recommended by our Board, or if no recommendation is given, in accordance with their own discretion.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Who pays for the costs of soliciting proxies?</w:t>
      </w:r>
    </w:p>
    <w:p>
      <w:pPr>
        <w:spacing w:after="0" w:line="11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We will pay the cost of soliciting proxies, including the expenses of preparing, printing and mailing the proxy materials to stockholders. We have retained Innisfree M&amp;A to aid in the broker search and the solicitation of proxies, for a fee of approximately $16,500, plus reasonable out-of-pocket expenses and disbursements. We will also reimburse brokerage firms and other custodians, nominees and fiduciaries for reasonable expenses incurred by them in sending proxy materials to the beneficial owners of our common stock. Our directors, officers and other employees may also solicit proxies without additional compensation. This solicitation may be in person or by telephone, email or other electronic communication methods.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02" w:lineRule="exact"/>
        <w:rPr>
          <w:sz w:val="20"/>
          <w:szCs w:val="20"/>
          <w:color w:val="auto"/>
        </w:rPr>
      </w:pPr>
    </w:p>
    <w:p>
      <w:pPr>
        <w:ind w:right="2260"/>
        <w:spacing w:after="0" w:line="252" w:lineRule="auto"/>
        <w:rPr>
          <w:sz w:val="20"/>
          <w:szCs w:val="20"/>
          <w:color w:val="auto"/>
        </w:rPr>
      </w:pPr>
      <w:r>
        <w:rPr>
          <w:rFonts w:ascii="Arial" w:cs="Arial" w:eastAsia="Arial" w:hAnsi="Arial"/>
          <w:sz w:val="36"/>
          <w:szCs w:val="36"/>
          <w:b w:val="1"/>
          <w:bCs w:val="1"/>
          <w:color w:val="auto"/>
        </w:rPr>
        <w:t>SECURITIES OWNED BY MANAGEMENT &amp; CERTAIN BENEFICIAL OWNERS</w:t>
      </w:r>
    </w:p>
    <w:p>
      <w:pPr>
        <w:ind w:right="140"/>
        <w:spacing w:after="0" w:line="259" w:lineRule="auto"/>
        <w:rPr>
          <w:sz w:val="20"/>
          <w:szCs w:val="20"/>
          <w:color w:val="auto"/>
        </w:rPr>
      </w:pPr>
      <w:r>
        <w:rPr>
          <w:rFonts w:ascii="Arial" w:cs="Arial" w:eastAsia="Arial" w:hAnsi="Arial"/>
          <w:sz w:val="18"/>
          <w:szCs w:val="18"/>
          <w:color w:val="auto"/>
        </w:rPr>
        <w:t>The following table sets forth certain information with respect to the beneficial ownership of shares of the Company’s common stock by (i) each of our directors, (ii) each of our named executive officers, and (iii) our directors and executive officers as a group. In addition, the table sets forth information about all other persons known to the Company to be the beneficial owner of more than five percent of the Company’s common stock. Except as set forth below, the following information is given as of the Record Date. In the case of percentage ownership, the information is based on 19,657,706 shares of the Company’s common stock being outstanding as of the Record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40575" cy="46888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0575" cy="4688840"/>
                    </a:xfrm>
                    <a:prstGeom prst="rect">
                      <a:avLst/>
                    </a:prstGeom>
                    <a:noFill/>
                  </pic:spPr>
                </pic:pic>
              </a:graphicData>
            </a:graphic>
          </wp:anchor>
        </w:drawing>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800" w:type="dxa"/>
            <w:vAlign w:val="bottom"/>
            <w:tcBorders>
              <w:top w:val="single" w:sz="8" w:color="D91E18"/>
              <w:bottom w:val="single" w:sz="8" w:color="D91E18"/>
              <w:right w:val="single" w:sz="8" w:color="E5E5E5"/>
            </w:tcBorders>
            <w:shd w:val="clear" w:color="auto" w:fill="D91E18"/>
          </w:tcPr>
          <w:p>
            <w:pPr>
              <w:spacing w:after="0"/>
              <w:rPr>
                <w:sz w:val="23"/>
                <w:szCs w:val="23"/>
                <w:color w:val="auto"/>
              </w:rPr>
            </w:pPr>
          </w:p>
        </w:tc>
        <w:tc>
          <w:tcPr>
            <w:tcW w:w="3440" w:type="dxa"/>
            <w:vAlign w:val="bottom"/>
            <w:tcBorders>
              <w:top w:val="single" w:sz="8" w:color="D91E18"/>
              <w:bottom w:val="single" w:sz="8" w:color="E5E5E5"/>
            </w:tcBorders>
            <w:gridSpan w:val="2"/>
            <w:shd w:val="clear" w:color="auto" w:fill="D91E18"/>
          </w:tcPr>
          <w:p>
            <w:pPr>
              <w:ind w:left="500"/>
              <w:spacing w:after="0"/>
              <w:rPr>
                <w:sz w:val="20"/>
                <w:szCs w:val="20"/>
                <w:color w:val="auto"/>
              </w:rPr>
            </w:pPr>
            <w:r>
              <w:rPr>
                <w:rFonts w:ascii="Arial" w:cs="Arial" w:eastAsia="Arial" w:hAnsi="Arial"/>
                <w:sz w:val="18"/>
                <w:szCs w:val="18"/>
                <w:b w:val="1"/>
                <w:bCs w:val="1"/>
                <w:color w:val="FFFFFF"/>
              </w:rPr>
              <w:t>Shares Beneficially Owned</w:t>
            </w:r>
            <w:r>
              <w:rPr>
                <w:rFonts w:ascii="Arial" w:cs="Arial" w:eastAsia="Arial" w:hAnsi="Arial"/>
                <w:sz w:val="23"/>
                <w:szCs w:val="23"/>
                <w:b w:val="1"/>
                <w:bCs w:val="1"/>
                <w:color w:val="FFFFFF"/>
                <w:vertAlign w:val="superscript"/>
              </w:rPr>
              <w:t>(†)</w:t>
            </w:r>
          </w:p>
        </w:tc>
        <w:tc>
          <w:tcPr>
            <w:tcW w:w="20" w:type="dxa"/>
            <w:vAlign w:val="bottom"/>
            <w:tcBorders>
              <w:top w:val="single" w:sz="8" w:color="E5E5E5"/>
              <w:bottom w:val="single" w:sz="8" w:color="E5E5E5"/>
            </w:tcBorders>
          </w:tcPr>
          <w:p>
            <w:pPr>
              <w:spacing w:after="0"/>
              <w:rPr>
                <w:sz w:val="23"/>
                <w:szCs w:val="23"/>
                <w:color w:val="auto"/>
              </w:rPr>
            </w:pPr>
          </w:p>
        </w:tc>
      </w:tr>
      <w:tr>
        <w:trPr>
          <w:trHeight w:val="250"/>
        </w:trPr>
        <w:tc>
          <w:tcPr>
            <w:tcW w:w="7800" w:type="dxa"/>
            <w:vAlign w:val="bottom"/>
            <w:tcBorders>
              <w:bottom w:val="single" w:sz="8" w:color="E5E5E5"/>
              <w:right w:val="single" w:sz="8" w:color="E5E5E5"/>
            </w:tcBorders>
            <w:shd w:val="clear" w:color="auto" w:fill="D91E18"/>
          </w:tcPr>
          <w:p>
            <w:pPr>
              <w:ind w:left="40"/>
              <w:spacing w:after="0"/>
              <w:rPr>
                <w:sz w:val="20"/>
                <w:szCs w:val="20"/>
                <w:color w:val="auto"/>
              </w:rPr>
            </w:pPr>
            <w:r>
              <w:rPr>
                <w:rFonts w:ascii="Arial" w:cs="Arial" w:eastAsia="Arial" w:hAnsi="Arial"/>
                <w:sz w:val="18"/>
                <w:szCs w:val="18"/>
                <w:b w:val="1"/>
                <w:bCs w:val="1"/>
                <w:color w:val="FFFFFF"/>
              </w:rPr>
              <w:t>Name of Beneficial Owner</w:t>
            </w:r>
          </w:p>
        </w:tc>
        <w:tc>
          <w:tcPr>
            <w:tcW w:w="1740" w:type="dxa"/>
            <w:vAlign w:val="bottom"/>
            <w:tcBorders>
              <w:bottom w:val="single" w:sz="8" w:color="E5E5E5"/>
              <w:right w:val="single" w:sz="8" w:color="E5E5E5"/>
            </w:tcBorders>
            <w:shd w:val="clear" w:color="auto" w:fill="D91E18"/>
          </w:tcPr>
          <w:p>
            <w:pPr>
              <w:jc w:val="center"/>
              <w:spacing w:after="0"/>
              <w:rPr>
                <w:sz w:val="20"/>
                <w:szCs w:val="20"/>
                <w:color w:val="auto"/>
              </w:rPr>
            </w:pPr>
            <w:r>
              <w:rPr>
                <w:rFonts w:ascii="Arial" w:cs="Arial" w:eastAsia="Arial" w:hAnsi="Arial"/>
                <w:sz w:val="18"/>
                <w:szCs w:val="18"/>
                <w:b w:val="1"/>
                <w:bCs w:val="1"/>
                <w:color w:val="FFFFFF"/>
                <w:w w:val="99"/>
              </w:rPr>
              <w:t>Number</w:t>
            </w:r>
          </w:p>
        </w:tc>
        <w:tc>
          <w:tcPr>
            <w:tcW w:w="1700" w:type="dxa"/>
            <w:vAlign w:val="bottom"/>
            <w:tcBorders>
              <w:bottom w:val="single" w:sz="8" w:color="E5E5E5"/>
            </w:tcBorders>
            <w:shd w:val="clear" w:color="auto" w:fill="D91E18"/>
          </w:tcPr>
          <w:p>
            <w:pPr>
              <w:jc w:val="center"/>
              <w:spacing w:after="0"/>
              <w:rPr>
                <w:sz w:val="20"/>
                <w:szCs w:val="20"/>
                <w:color w:val="auto"/>
              </w:rPr>
            </w:pPr>
            <w:r>
              <w:rPr>
                <w:rFonts w:ascii="Arial" w:cs="Arial" w:eastAsia="Arial" w:hAnsi="Arial"/>
                <w:sz w:val="18"/>
                <w:szCs w:val="18"/>
                <w:b w:val="1"/>
                <w:bCs w:val="1"/>
                <w:color w:val="FFFFFF"/>
                <w:w w:val="99"/>
              </w:rPr>
              <w:t>%</w:t>
            </w:r>
          </w:p>
        </w:tc>
        <w:tc>
          <w:tcPr>
            <w:tcW w:w="20" w:type="dxa"/>
            <w:vAlign w:val="bottom"/>
            <w:tcBorders>
              <w:bottom w:val="single" w:sz="8" w:color="E5E5E5"/>
            </w:tcBorders>
          </w:tcPr>
          <w:p>
            <w:pPr>
              <w:spacing w:after="0"/>
              <w:rPr>
                <w:sz w:val="21"/>
                <w:szCs w:val="21"/>
                <w:color w:val="auto"/>
              </w:rPr>
            </w:pPr>
          </w:p>
        </w:tc>
      </w:tr>
      <w:tr>
        <w:trPr>
          <w:trHeight w:val="290"/>
        </w:trPr>
        <w:tc>
          <w:tcPr>
            <w:tcW w:w="7800" w:type="dxa"/>
            <w:vAlign w:val="bottom"/>
            <w:tcBorders>
              <w:bottom w:val="single" w:sz="8" w:color="E5E5E5"/>
              <w:right w:val="single" w:sz="8" w:color="ADADAD"/>
            </w:tcBorders>
            <w:shd w:val="clear" w:color="auto" w:fill="ADADAD"/>
          </w:tcPr>
          <w:p>
            <w:pPr>
              <w:ind w:left="40"/>
              <w:spacing w:after="0"/>
              <w:rPr>
                <w:sz w:val="20"/>
                <w:szCs w:val="20"/>
                <w:color w:val="auto"/>
              </w:rPr>
            </w:pPr>
            <w:r>
              <w:rPr>
                <w:rFonts w:ascii="Arial" w:cs="Arial" w:eastAsia="Arial" w:hAnsi="Arial"/>
                <w:sz w:val="18"/>
                <w:szCs w:val="18"/>
                <w:b w:val="1"/>
                <w:bCs w:val="1"/>
                <w:color w:val="auto"/>
              </w:rPr>
              <w:t>Principal Stockholders</w:t>
            </w:r>
          </w:p>
        </w:tc>
        <w:tc>
          <w:tcPr>
            <w:tcW w:w="1740" w:type="dxa"/>
            <w:vAlign w:val="bottom"/>
            <w:tcBorders>
              <w:bottom w:val="single" w:sz="8" w:color="E5E5E5"/>
              <w:right w:val="single" w:sz="8" w:color="ADADAD"/>
            </w:tcBorders>
            <w:shd w:val="clear" w:color="auto" w:fill="ADADAD"/>
          </w:tcPr>
          <w:p>
            <w:pPr>
              <w:spacing w:after="0"/>
              <w:rPr>
                <w:sz w:val="24"/>
                <w:szCs w:val="24"/>
                <w:color w:val="auto"/>
              </w:rPr>
            </w:pPr>
          </w:p>
        </w:tc>
        <w:tc>
          <w:tcPr>
            <w:tcW w:w="1700" w:type="dxa"/>
            <w:vAlign w:val="bottom"/>
            <w:tcBorders>
              <w:bottom w:val="single" w:sz="8" w:color="E5E5E5"/>
            </w:tcBorders>
            <w:shd w:val="clear" w:color="auto" w:fill="ADADAD"/>
          </w:tcPr>
          <w:p>
            <w:pPr>
              <w:spacing w:after="0"/>
              <w:rPr>
                <w:sz w:val="24"/>
                <w:szCs w:val="24"/>
                <w:color w:val="auto"/>
              </w:rPr>
            </w:pPr>
          </w:p>
        </w:tc>
        <w:tc>
          <w:tcPr>
            <w:tcW w:w="20" w:type="dxa"/>
            <w:vAlign w:val="bottom"/>
            <w:tcBorders>
              <w:bottom w:val="single" w:sz="8" w:color="E5E5E5"/>
            </w:tcBorders>
          </w:tcPr>
          <w:p>
            <w:pPr>
              <w:spacing w:after="0"/>
              <w:rPr>
                <w:sz w:val="24"/>
                <w:szCs w:val="24"/>
                <w:color w:val="auto"/>
              </w:rPr>
            </w:pPr>
          </w:p>
        </w:tc>
      </w:tr>
      <w:tr>
        <w:trPr>
          <w:trHeight w:val="223"/>
        </w:trPr>
        <w:tc>
          <w:tcPr>
            <w:tcW w:w="7800" w:type="dxa"/>
            <w:vAlign w:val="bottom"/>
            <w:tcBorders>
              <w:bottom w:val="single" w:sz="8" w:color="E5E5E5"/>
              <w:right w:val="single" w:sz="8" w:color="E5E5E5"/>
            </w:tcBorders>
            <w:shd w:val="clear" w:color="auto" w:fill="DBDBDB"/>
          </w:tcPr>
          <w:p>
            <w:pPr>
              <w:ind w:left="40"/>
              <w:spacing w:after="0" w:line="223" w:lineRule="exact"/>
              <w:rPr>
                <w:sz w:val="20"/>
                <w:szCs w:val="20"/>
                <w:color w:val="auto"/>
              </w:rPr>
            </w:pPr>
            <w:r>
              <w:rPr>
                <w:rFonts w:ascii="Arial" w:cs="Arial" w:eastAsia="Arial" w:hAnsi="Arial"/>
                <w:sz w:val="18"/>
                <w:szCs w:val="18"/>
                <w:color w:val="auto"/>
              </w:rPr>
              <w:t>BlackRock, Inc.</w:t>
            </w:r>
            <w:r>
              <w:rPr>
                <w:rFonts w:ascii="Arial" w:cs="Arial" w:eastAsia="Arial" w:hAnsi="Arial"/>
                <w:sz w:val="23"/>
                <w:szCs w:val="23"/>
                <w:color w:val="auto"/>
                <w:vertAlign w:val="superscript"/>
              </w:rPr>
              <w:t>(1)</w:t>
            </w:r>
          </w:p>
        </w:tc>
        <w:tc>
          <w:tcPr>
            <w:tcW w:w="1740" w:type="dxa"/>
            <w:vAlign w:val="bottom"/>
            <w:tcBorders>
              <w:bottom w:val="single" w:sz="8" w:color="E5E5E5"/>
              <w:right w:val="single" w:sz="8" w:color="E5E5E5"/>
            </w:tcBorders>
            <w:shd w:val="clear" w:color="auto" w:fill="DBDBDB"/>
          </w:tcPr>
          <w:p>
            <w:pPr>
              <w:jc w:val="center"/>
              <w:spacing w:after="0"/>
              <w:rPr>
                <w:sz w:val="20"/>
                <w:szCs w:val="20"/>
                <w:color w:val="auto"/>
              </w:rPr>
            </w:pPr>
            <w:r>
              <w:rPr>
                <w:rFonts w:ascii="Arial" w:cs="Arial" w:eastAsia="Arial" w:hAnsi="Arial"/>
                <w:sz w:val="18"/>
                <w:szCs w:val="18"/>
                <w:color w:val="auto"/>
                <w:w w:val="99"/>
              </w:rPr>
              <w:t>3,289,602</w:t>
            </w:r>
          </w:p>
        </w:tc>
        <w:tc>
          <w:tcPr>
            <w:tcW w:w="1700" w:type="dxa"/>
            <w:vAlign w:val="bottom"/>
            <w:tcBorders>
              <w:bottom w:val="single" w:sz="8" w:color="E5E5E5"/>
            </w:tcBorders>
            <w:shd w:val="clear" w:color="auto" w:fill="DBDBDB"/>
          </w:tcPr>
          <w:p>
            <w:pPr>
              <w:jc w:val="center"/>
              <w:spacing w:after="0"/>
              <w:rPr>
                <w:sz w:val="20"/>
                <w:szCs w:val="20"/>
                <w:color w:val="auto"/>
              </w:rPr>
            </w:pPr>
            <w:r>
              <w:rPr>
                <w:rFonts w:ascii="Arial" w:cs="Arial" w:eastAsia="Arial" w:hAnsi="Arial"/>
                <w:sz w:val="18"/>
                <w:szCs w:val="18"/>
                <w:color w:val="auto"/>
                <w:w w:val="98"/>
              </w:rPr>
              <w:t>16.73%</w:t>
            </w:r>
          </w:p>
        </w:tc>
        <w:tc>
          <w:tcPr>
            <w:tcW w:w="20" w:type="dxa"/>
            <w:vAlign w:val="bottom"/>
            <w:tcBorders>
              <w:bottom w:val="single" w:sz="8" w:color="E5E5E5"/>
            </w:tcBorders>
          </w:tcPr>
          <w:p>
            <w:pPr>
              <w:spacing w:after="0"/>
              <w:rPr>
                <w:sz w:val="19"/>
                <w:szCs w:val="19"/>
                <w:color w:val="auto"/>
              </w:rPr>
            </w:pPr>
          </w:p>
        </w:tc>
      </w:tr>
      <w:tr>
        <w:trPr>
          <w:trHeight w:val="223"/>
        </w:trPr>
        <w:tc>
          <w:tcPr>
            <w:tcW w:w="7800" w:type="dxa"/>
            <w:vAlign w:val="bottom"/>
            <w:tcBorders>
              <w:bottom w:val="single" w:sz="8" w:color="E5E5E5"/>
              <w:right w:val="single" w:sz="8" w:color="E5E5E5"/>
            </w:tcBorders>
          </w:tcPr>
          <w:p>
            <w:pPr>
              <w:ind w:left="40"/>
              <w:spacing w:after="0" w:line="223" w:lineRule="exact"/>
              <w:rPr>
                <w:sz w:val="20"/>
                <w:szCs w:val="20"/>
                <w:color w:val="auto"/>
              </w:rPr>
            </w:pPr>
            <w:r>
              <w:rPr>
                <w:rFonts w:ascii="Arial" w:cs="Arial" w:eastAsia="Arial" w:hAnsi="Arial"/>
                <w:sz w:val="18"/>
                <w:szCs w:val="18"/>
                <w:color w:val="auto"/>
              </w:rPr>
              <w:t>The Vanguard Group</w:t>
            </w:r>
            <w:r>
              <w:rPr>
                <w:rFonts w:ascii="Arial" w:cs="Arial" w:eastAsia="Arial" w:hAnsi="Arial"/>
                <w:sz w:val="23"/>
                <w:szCs w:val="23"/>
                <w:color w:val="auto"/>
                <w:vertAlign w:val="superscript"/>
              </w:rPr>
              <w:t>(2)</w:t>
            </w:r>
          </w:p>
        </w:tc>
        <w:tc>
          <w:tcPr>
            <w:tcW w:w="1740" w:type="dxa"/>
            <w:vAlign w:val="bottom"/>
            <w:tcBorders>
              <w:bottom w:val="single" w:sz="8" w:color="E5E5E5"/>
              <w:right w:val="single" w:sz="8" w:color="E5E5E5"/>
            </w:tcBorders>
          </w:tcPr>
          <w:p>
            <w:pPr>
              <w:jc w:val="center"/>
              <w:spacing w:after="0"/>
              <w:rPr>
                <w:sz w:val="20"/>
                <w:szCs w:val="20"/>
                <w:color w:val="auto"/>
              </w:rPr>
            </w:pPr>
            <w:r>
              <w:rPr>
                <w:rFonts w:ascii="Arial" w:cs="Arial" w:eastAsia="Arial" w:hAnsi="Arial"/>
                <w:sz w:val="18"/>
                <w:szCs w:val="18"/>
                <w:color w:val="auto"/>
                <w:w w:val="99"/>
              </w:rPr>
              <w:t>2,319,293</w:t>
            </w:r>
          </w:p>
        </w:tc>
        <w:tc>
          <w:tcPr>
            <w:tcW w:w="1700" w:type="dxa"/>
            <w:vAlign w:val="bottom"/>
            <w:tcBorders>
              <w:bottom w:val="single" w:sz="8" w:color="E5E5E5"/>
            </w:tcBorders>
          </w:tcPr>
          <w:p>
            <w:pPr>
              <w:jc w:val="center"/>
              <w:spacing w:after="0"/>
              <w:rPr>
                <w:sz w:val="20"/>
                <w:szCs w:val="20"/>
                <w:color w:val="auto"/>
              </w:rPr>
            </w:pPr>
            <w:r>
              <w:rPr>
                <w:rFonts w:ascii="Arial" w:cs="Arial" w:eastAsia="Arial" w:hAnsi="Arial"/>
                <w:sz w:val="18"/>
                <w:szCs w:val="18"/>
                <w:color w:val="auto"/>
                <w:w w:val="98"/>
              </w:rPr>
              <w:t>11.80%</w:t>
            </w:r>
          </w:p>
        </w:tc>
        <w:tc>
          <w:tcPr>
            <w:tcW w:w="20" w:type="dxa"/>
            <w:vAlign w:val="bottom"/>
            <w:tcBorders>
              <w:bottom w:val="single" w:sz="8" w:color="E5E5E5"/>
            </w:tcBorders>
          </w:tcPr>
          <w:p>
            <w:pPr>
              <w:spacing w:after="0"/>
              <w:rPr>
                <w:sz w:val="19"/>
                <w:szCs w:val="19"/>
                <w:color w:val="auto"/>
              </w:rPr>
            </w:pPr>
          </w:p>
        </w:tc>
      </w:tr>
      <w:tr>
        <w:trPr>
          <w:trHeight w:val="223"/>
        </w:trPr>
        <w:tc>
          <w:tcPr>
            <w:tcW w:w="7800" w:type="dxa"/>
            <w:vAlign w:val="bottom"/>
            <w:tcBorders>
              <w:bottom w:val="single" w:sz="8" w:color="E5E5E5"/>
              <w:right w:val="single" w:sz="8" w:color="E5E5E5"/>
            </w:tcBorders>
            <w:shd w:val="clear" w:color="auto" w:fill="DBDBDB"/>
          </w:tcPr>
          <w:p>
            <w:pPr>
              <w:ind w:left="40"/>
              <w:spacing w:after="0" w:line="223" w:lineRule="exact"/>
              <w:rPr>
                <w:sz w:val="20"/>
                <w:szCs w:val="20"/>
                <w:color w:val="auto"/>
              </w:rPr>
            </w:pPr>
            <w:r>
              <w:rPr>
                <w:rFonts w:ascii="Arial" w:cs="Arial" w:eastAsia="Arial" w:hAnsi="Arial"/>
                <w:sz w:val="18"/>
                <w:szCs w:val="18"/>
                <w:color w:val="auto"/>
              </w:rPr>
              <w:t>Impactive Capital LP</w:t>
            </w:r>
            <w:r>
              <w:rPr>
                <w:rFonts w:ascii="Arial" w:cs="Arial" w:eastAsia="Arial" w:hAnsi="Arial"/>
                <w:sz w:val="23"/>
                <w:szCs w:val="23"/>
                <w:color w:val="auto"/>
                <w:vertAlign w:val="superscript"/>
              </w:rPr>
              <w:t>(3)</w:t>
            </w:r>
          </w:p>
        </w:tc>
        <w:tc>
          <w:tcPr>
            <w:tcW w:w="1740" w:type="dxa"/>
            <w:vAlign w:val="bottom"/>
            <w:tcBorders>
              <w:bottom w:val="single" w:sz="8" w:color="E5E5E5"/>
              <w:right w:val="single" w:sz="8" w:color="E5E5E5"/>
            </w:tcBorders>
            <w:shd w:val="clear" w:color="auto" w:fill="DBDBDB"/>
          </w:tcPr>
          <w:p>
            <w:pPr>
              <w:jc w:val="center"/>
              <w:spacing w:after="0"/>
              <w:rPr>
                <w:sz w:val="20"/>
                <w:szCs w:val="20"/>
                <w:color w:val="auto"/>
              </w:rPr>
            </w:pPr>
            <w:r>
              <w:rPr>
                <w:rFonts w:ascii="Arial" w:cs="Arial" w:eastAsia="Arial" w:hAnsi="Arial"/>
                <w:sz w:val="18"/>
                <w:szCs w:val="18"/>
                <w:color w:val="auto"/>
                <w:w w:val="99"/>
              </w:rPr>
              <w:t>1,492,232</w:t>
            </w:r>
          </w:p>
        </w:tc>
        <w:tc>
          <w:tcPr>
            <w:tcW w:w="1700" w:type="dxa"/>
            <w:vAlign w:val="bottom"/>
            <w:tcBorders>
              <w:bottom w:val="single" w:sz="8" w:color="E5E5E5"/>
            </w:tcBorders>
            <w:shd w:val="clear" w:color="auto" w:fill="DBDBDB"/>
          </w:tcPr>
          <w:p>
            <w:pPr>
              <w:jc w:val="center"/>
              <w:spacing w:after="0"/>
              <w:rPr>
                <w:sz w:val="20"/>
                <w:szCs w:val="20"/>
                <w:color w:val="auto"/>
              </w:rPr>
            </w:pPr>
            <w:r>
              <w:rPr>
                <w:rFonts w:ascii="Arial" w:cs="Arial" w:eastAsia="Arial" w:hAnsi="Arial"/>
                <w:sz w:val="18"/>
                <w:szCs w:val="18"/>
                <w:color w:val="auto"/>
              </w:rPr>
              <w:t>7.59%</w:t>
            </w:r>
          </w:p>
        </w:tc>
        <w:tc>
          <w:tcPr>
            <w:tcW w:w="20" w:type="dxa"/>
            <w:vAlign w:val="bottom"/>
            <w:tcBorders>
              <w:bottom w:val="single" w:sz="8" w:color="E5E5E5"/>
            </w:tcBorders>
          </w:tcPr>
          <w:p>
            <w:pPr>
              <w:spacing w:after="0"/>
              <w:rPr>
                <w:sz w:val="19"/>
                <w:szCs w:val="19"/>
                <w:color w:val="auto"/>
              </w:rPr>
            </w:pPr>
          </w:p>
        </w:tc>
      </w:tr>
      <w:tr>
        <w:trPr>
          <w:trHeight w:val="223"/>
        </w:trPr>
        <w:tc>
          <w:tcPr>
            <w:tcW w:w="7800" w:type="dxa"/>
            <w:vAlign w:val="bottom"/>
            <w:tcBorders>
              <w:bottom w:val="single" w:sz="8" w:color="E5E5E5"/>
              <w:right w:val="single" w:sz="8" w:color="E5E5E5"/>
            </w:tcBorders>
          </w:tcPr>
          <w:p>
            <w:pPr>
              <w:ind w:left="40"/>
              <w:spacing w:after="0" w:line="223" w:lineRule="exact"/>
              <w:rPr>
                <w:sz w:val="20"/>
                <w:szCs w:val="20"/>
                <w:color w:val="auto"/>
              </w:rPr>
            </w:pPr>
            <w:r>
              <w:rPr>
                <w:rFonts w:ascii="Arial" w:cs="Arial" w:eastAsia="Arial" w:hAnsi="Arial"/>
                <w:sz w:val="18"/>
                <w:szCs w:val="18"/>
                <w:color w:val="auto"/>
              </w:rPr>
              <w:t>Abrams Capital Management, LP</w:t>
            </w:r>
            <w:r>
              <w:rPr>
                <w:rFonts w:ascii="Arial" w:cs="Arial" w:eastAsia="Arial" w:hAnsi="Arial"/>
                <w:sz w:val="23"/>
                <w:szCs w:val="23"/>
                <w:color w:val="auto"/>
                <w:vertAlign w:val="superscript"/>
              </w:rPr>
              <w:t>(4)</w:t>
            </w:r>
          </w:p>
        </w:tc>
        <w:tc>
          <w:tcPr>
            <w:tcW w:w="1740" w:type="dxa"/>
            <w:vAlign w:val="bottom"/>
            <w:tcBorders>
              <w:bottom w:val="single" w:sz="8" w:color="E5E5E5"/>
              <w:right w:val="single" w:sz="8" w:color="E5E5E5"/>
            </w:tcBorders>
          </w:tcPr>
          <w:p>
            <w:pPr>
              <w:jc w:val="center"/>
              <w:spacing w:after="0"/>
              <w:rPr>
                <w:sz w:val="20"/>
                <w:szCs w:val="20"/>
                <w:color w:val="auto"/>
              </w:rPr>
            </w:pPr>
            <w:r>
              <w:rPr>
                <w:rFonts w:ascii="Arial" w:cs="Arial" w:eastAsia="Arial" w:hAnsi="Arial"/>
                <w:sz w:val="18"/>
                <w:szCs w:val="18"/>
                <w:color w:val="auto"/>
                <w:w w:val="97"/>
              </w:rPr>
              <w:t>2,116,040</w:t>
            </w:r>
          </w:p>
        </w:tc>
        <w:tc>
          <w:tcPr>
            <w:tcW w:w="1700" w:type="dxa"/>
            <w:vAlign w:val="bottom"/>
            <w:tcBorders>
              <w:bottom w:val="single" w:sz="8" w:color="E5E5E5"/>
            </w:tcBorders>
          </w:tcPr>
          <w:p>
            <w:pPr>
              <w:jc w:val="center"/>
              <w:spacing w:after="0"/>
              <w:rPr>
                <w:sz w:val="20"/>
                <w:szCs w:val="20"/>
                <w:color w:val="auto"/>
              </w:rPr>
            </w:pPr>
            <w:r>
              <w:rPr>
                <w:rFonts w:ascii="Arial" w:cs="Arial" w:eastAsia="Arial" w:hAnsi="Arial"/>
                <w:sz w:val="18"/>
                <w:szCs w:val="18"/>
                <w:color w:val="auto"/>
                <w:w w:val="98"/>
              </w:rPr>
              <w:t>10.76%</w:t>
            </w:r>
          </w:p>
        </w:tc>
        <w:tc>
          <w:tcPr>
            <w:tcW w:w="20" w:type="dxa"/>
            <w:vAlign w:val="bottom"/>
            <w:tcBorders>
              <w:bottom w:val="single" w:sz="8" w:color="E5E5E5"/>
            </w:tcBorders>
          </w:tcPr>
          <w:p>
            <w:pPr>
              <w:spacing w:after="0"/>
              <w:rPr>
                <w:sz w:val="19"/>
                <w:szCs w:val="19"/>
                <w:color w:val="auto"/>
              </w:rPr>
            </w:pPr>
          </w:p>
        </w:tc>
      </w:tr>
      <w:tr>
        <w:trPr>
          <w:trHeight w:val="223"/>
        </w:trPr>
        <w:tc>
          <w:tcPr>
            <w:tcW w:w="7800" w:type="dxa"/>
            <w:vAlign w:val="bottom"/>
            <w:tcBorders>
              <w:bottom w:val="single" w:sz="8" w:color="E5E5E5"/>
              <w:right w:val="single" w:sz="8" w:color="E5E5E5"/>
            </w:tcBorders>
            <w:shd w:val="clear" w:color="auto" w:fill="DBDBDB"/>
          </w:tcPr>
          <w:p>
            <w:pPr>
              <w:ind w:left="40"/>
              <w:spacing w:after="0" w:line="223" w:lineRule="exact"/>
              <w:rPr>
                <w:sz w:val="20"/>
                <w:szCs w:val="20"/>
                <w:color w:val="auto"/>
              </w:rPr>
            </w:pPr>
            <w:r>
              <w:rPr>
                <w:rFonts w:ascii="Arial" w:cs="Arial" w:eastAsia="Arial" w:hAnsi="Arial"/>
                <w:sz w:val="18"/>
                <w:szCs w:val="18"/>
                <w:color w:val="auto"/>
              </w:rPr>
              <w:t>Neuberger Berman Group LLC</w:t>
            </w:r>
            <w:r>
              <w:rPr>
                <w:rFonts w:ascii="Arial" w:cs="Arial" w:eastAsia="Arial" w:hAnsi="Arial"/>
                <w:sz w:val="23"/>
                <w:szCs w:val="23"/>
                <w:color w:val="auto"/>
                <w:vertAlign w:val="superscript"/>
              </w:rPr>
              <w:t>(5)</w:t>
            </w:r>
          </w:p>
        </w:tc>
        <w:tc>
          <w:tcPr>
            <w:tcW w:w="1740" w:type="dxa"/>
            <w:vAlign w:val="bottom"/>
            <w:tcBorders>
              <w:bottom w:val="single" w:sz="8" w:color="E5E5E5"/>
              <w:right w:val="single" w:sz="8" w:color="E5E5E5"/>
            </w:tcBorders>
            <w:shd w:val="clear" w:color="auto" w:fill="DBDBDB"/>
          </w:tcPr>
          <w:p>
            <w:pPr>
              <w:jc w:val="center"/>
              <w:spacing w:after="0"/>
              <w:rPr>
                <w:sz w:val="20"/>
                <w:szCs w:val="20"/>
                <w:color w:val="auto"/>
              </w:rPr>
            </w:pPr>
            <w:r>
              <w:rPr>
                <w:rFonts w:ascii="Arial" w:cs="Arial" w:eastAsia="Arial" w:hAnsi="Arial"/>
                <w:sz w:val="18"/>
                <w:szCs w:val="18"/>
                <w:color w:val="auto"/>
                <w:w w:val="99"/>
              </w:rPr>
              <w:t>1,432,755</w:t>
            </w:r>
          </w:p>
        </w:tc>
        <w:tc>
          <w:tcPr>
            <w:tcW w:w="1700" w:type="dxa"/>
            <w:vAlign w:val="bottom"/>
            <w:tcBorders>
              <w:bottom w:val="single" w:sz="8" w:color="E5E5E5"/>
            </w:tcBorders>
            <w:shd w:val="clear" w:color="auto" w:fill="DBDBDB"/>
          </w:tcPr>
          <w:p>
            <w:pPr>
              <w:jc w:val="center"/>
              <w:spacing w:after="0"/>
              <w:rPr>
                <w:sz w:val="20"/>
                <w:szCs w:val="20"/>
                <w:color w:val="auto"/>
              </w:rPr>
            </w:pPr>
            <w:r>
              <w:rPr>
                <w:rFonts w:ascii="Arial" w:cs="Arial" w:eastAsia="Arial" w:hAnsi="Arial"/>
                <w:sz w:val="18"/>
                <w:szCs w:val="18"/>
                <w:color w:val="auto"/>
              </w:rPr>
              <w:t>7.29%</w:t>
            </w:r>
          </w:p>
        </w:tc>
        <w:tc>
          <w:tcPr>
            <w:tcW w:w="20" w:type="dxa"/>
            <w:vAlign w:val="bottom"/>
            <w:tcBorders>
              <w:bottom w:val="single" w:sz="8" w:color="E5E5E5"/>
            </w:tcBorders>
          </w:tcPr>
          <w:p>
            <w:pPr>
              <w:spacing w:after="0"/>
              <w:rPr>
                <w:sz w:val="19"/>
                <w:szCs w:val="19"/>
                <w:color w:val="auto"/>
              </w:rPr>
            </w:pPr>
          </w:p>
        </w:tc>
      </w:tr>
      <w:tr>
        <w:trPr>
          <w:trHeight w:val="223"/>
        </w:trPr>
        <w:tc>
          <w:tcPr>
            <w:tcW w:w="7800" w:type="dxa"/>
            <w:vAlign w:val="bottom"/>
            <w:tcBorders>
              <w:bottom w:val="single" w:sz="8" w:color="E5E5E5"/>
              <w:right w:val="single" w:sz="8" w:color="E5E5E5"/>
            </w:tcBorders>
          </w:tcPr>
          <w:p>
            <w:pPr>
              <w:ind w:left="40"/>
              <w:spacing w:after="0" w:line="223" w:lineRule="exact"/>
              <w:rPr>
                <w:sz w:val="20"/>
                <w:szCs w:val="20"/>
                <w:color w:val="auto"/>
              </w:rPr>
            </w:pPr>
            <w:r>
              <w:rPr>
                <w:rFonts w:ascii="Arial" w:cs="Arial" w:eastAsia="Arial" w:hAnsi="Arial"/>
                <w:sz w:val="18"/>
                <w:szCs w:val="18"/>
                <w:color w:val="auto"/>
              </w:rPr>
              <w:t>Dimensional Fund Advisors, L.P.</w:t>
            </w:r>
            <w:r>
              <w:rPr>
                <w:rFonts w:ascii="Arial" w:cs="Arial" w:eastAsia="Arial" w:hAnsi="Arial"/>
                <w:sz w:val="23"/>
                <w:szCs w:val="23"/>
                <w:color w:val="auto"/>
                <w:vertAlign w:val="superscript"/>
              </w:rPr>
              <w:t>(6)</w:t>
            </w:r>
          </w:p>
        </w:tc>
        <w:tc>
          <w:tcPr>
            <w:tcW w:w="1740" w:type="dxa"/>
            <w:vAlign w:val="bottom"/>
            <w:tcBorders>
              <w:bottom w:val="single" w:sz="8" w:color="E5E5E5"/>
              <w:right w:val="single" w:sz="8" w:color="E5E5E5"/>
            </w:tcBorders>
          </w:tcPr>
          <w:p>
            <w:pPr>
              <w:jc w:val="center"/>
              <w:spacing w:after="0"/>
              <w:rPr>
                <w:sz w:val="20"/>
                <w:szCs w:val="20"/>
                <w:color w:val="auto"/>
              </w:rPr>
            </w:pPr>
            <w:r>
              <w:rPr>
                <w:rFonts w:ascii="Arial" w:cs="Arial" w:eastAsia="Arial" w:hAnsi="Arial"/>
                <w:sz w:val="18"/>
                <w:szCs w:val="18"/>
                <w:color w:val="auto"/>
                <w:w w:val="99"/>
              </w:rPr>
              <w:t>1,098,488</w:t>
            </w:r>
          </w:p>
        </w:tc>
        <w:tc>
          <w:tcPr>
            <w:tcW w:w="1700" w:type="dxa"/>
            <w:vAlign w:val="bottom"/>
            <w:tcBorders>
              <w:bottom w:val="single" w:sz="8" w:color="E5E5E5"/>
            </w:tcBorders>
          </w:tcPr>
          <w:p>
            <w:pPr>
              <w:jc w:val="center"/>
              <w:spacing w:after="0"/>
              <w:rPr>
                <w:sz w:val="20"/>
                <w:szCs w:val="20"/>
                <w:color w:val="auto"/>
              </w:rPr>
            </w:pPr>
            <w:r>
              <w:rPr>
                <w:rFonts w:ascii="Arial" w:cs="Arial" w:eastAsia="Arial" w:hAnsi="Arial"/>
                <w:sz w:val="18"/>
                <w:szCs w:val="18"/>
                <w:color w:val="auto"/>
              </w:rPr>
              <w:t>5.59%</w:t>
            </w:r>
          </w:p>
        </w:tc>
        <w:tc>
          <w:tcPr>
            <w:tcW w:w="20" w:type="dxa"/>
            <w:vAlign w:val="bottom"/>
            <w:tcBorders>
              <w:bottom w:val="single" w:sz="8" w:color="E5E5E5"/>
            </w:tcBorders>
          </w:tcPr>
          <w:p>
            <w:pPr>
              <w:spacing w:after="0"/>
              <w:rPr>
                <w:sz w:val="19"/>
                <w:szCs w:val="19"/>
                <w:color w:val="auto"/>
              </w:rPr>
            </w:pPr>
          </w:p>
        </w:tc>
      </w:tr>
    </w:tbl>
    <w:p>
      <w:pPr>
        <w:spacing w:after="0" w:line="6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Current Directors, Including Director Nominees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800" w:type="dxa"/>
            <w:vAlign w:val="bottom"/>
            <w:tcBorders>
              <w:top w:val="single" w:sz="8" w:color="DBDBDB"/>
              <w:bottom w:val="single" w:sz="8" w:color="E5E5E5"/>
              <w:right w:val="single" w:sz="8" w:color="E5E5E5"/>
            </w:tcBorders>
            <w:shd w:val="clear" w:color="auto" w:fill="DBDBDB"/>
          </w:tcPr>
          <w:p>
            <w:pPr>
              <w:ind w:left="40"/>
              <w:spacing w:after="0"/>
              <w:rPr>
                <w:sz w:val="20"/>
                <w:szCs w:val="20"/>
                <w:color w:val="auto"/>
              </w:rPr>
            </w:pPr>
            <w:r>
              <w:rPr>
                <w:rFonts w:ascii="Arial" w:cs="Arial" w:eastAsia="Arial" w:hAnsi="Arial"/>
                <w:sz w:val="18"/>
                <w:szCs w:val="18"/>
                <w:color w:val="auto"/>
              </w:rPr>
              <w:t>Joel Alsfine</w:t>
            </w:r>
          </w:p>
        </w:tc>
        <w:tc>
          <w:tcPr>
            <w:tcW w:w="1740" w:type="dxa"/>
            <w:vAlign w:val="bottom"/>
            <w:tcBorders>
              <w:top w:val="single" w:sz="8" w:color="DBDBDB"/>
              <w:bottom w:val="single" w:sz="8" w:color="E5E5E5"/>
              <w:right w:val="single" w:sz="8" w:color="E5E5E5"/>
            </w:tcBorders>
            <w:shd w:val="clear" w:color="auto" w:fill="DBDBDB"/>
          </w:tcPr>
          <w:p>
            <w:pPr>
              <w:jc w:val="center"/>
              <w:spacing w:after="0"/>
              <w:rPr>
                <w:sz w:val="20"/>
                <w:szCs w:val="20"/>
                <w:color w:val="auto"/>
              </w:rPr>
            </w:pPr>
            <w:r>
              <w:rPr>
                <w:rFonts w:ascii="Arial" w:cs="Arial" w:eastAsia="Arial" w:hAnsi="Arial"/>
                <w:sz w:val="18"/>
                <w:szCs w:val="18"/>
                <w:color w:val="auto"/>
              </w:rPr>
              <w:t>9,448</w:t>
            </w:r>
          </w:p>
        </w:tc>
        <w:tc>
          <w:tcPr>
            <w:tcW w:w="1700" w:type="dxa"/>
            <w:vAlign w:val="bottom"/>
            <w:tcBorders>
              <w:top w:val="single" w:sz="8" w:color="DBDBDB"/>
              <w:bottom w:val="single" w:sz="8" w:color="E5E5E5"/>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E5E5E5"/>
              <w:bottom w:val="single" w:sz="8" w:color="E5E5E5"/>
            </w:tcBorders>
          </w:tcPr>
          <w:p>
            <w:pPr>
              <w:spacing w:after="0"/>
              <w:rPr>
                <w:sz w:val="19"/>
                <w:szCs w:val="19"/>
                <w:color w:val="auto"/>
              </w:rPr>
            </w:pPr>
          </w:p>
        </w:tc>
      </w:tr>
      <w:tr>
        <w:trPr>
          <w:trHeight w:val="223"/>
        </w:trPr>
        <w:tc>
          <w:tcPr>
            <w:tcW w:w="7800" w:type="dxa"/>
            <w:vAlign w:val="bottom"/>
            <w:tcBorders>
              <w:bottom w:val="single" w:sz="8" w:color="E5E5E5"/>
              <w:right w:val="single" w:sz="8" w:color="E5E5E5"/>
            </w:tcBorders>
          </w:tcPr>
          <w:p>
            <w:pPr>
              <w:ind w:left="40"/>
              <w:spacing w:after="0"/>
              <w:rPr>
                <w:sz w:val="20"/>
                <w:szCs w:val="20"/>
                <w:color w:val="auto"/>
              </w:rPr>
            </w:pPr>
            <w:r>
              <w:rPr>
                <w:rFonts w:ascii="Arial" w:cs="Arial" w:eastAsia="Arial" w:hAnsi="Arial"/>
                <w:sz w:val="18"/>
                <w:szCs w:val="18"/>
                <w:color w:val="auto"/>
              </w:rPr>
              <w:t>William D. Fay</w:t>
            </w:r>
          </w:p>
        </w:tc>
        <w:tc>
          <w:tcPr>
            <w:tcW w:w="1740" w:type="dxa"/>
            <w:vAlign w:val="bottom"/>
            <w:tcBorders>
              <w:bottom w:val="single" w:sz="8" w:color="E5E5E5"/>
              <w:right w:val="single" w:sz="8" w:color="E5E5E5"/>
            </w:tcBorders>
          </w:tcPr>
          <w:p>
            <w:pPr>
              <w:jc w:val="center"/>
              <w:spacing w:after="0"/>
              <w:rPr>
                <w:sz w:val="20"/>
                <w:szCs w:val="20"/>
                <w:color w:val="auto"/>
              </w:rPr>
            </w:pPr>
            <w:r>
              <w:rPr>
                <w:rFonts w:ascii="Arial" w:cs="Arial" w:eastAsia="Arial" w:hAnsi="Arial"/>
                <w:sz w:val="18"/>
                <w:szCs w:val="18"/>
                <w:color w:val="auto"/>
              </w:rPr>
              <w:t>3,435</w:t>
            </w:r>
          </w:p>
        </w:tc>
        <w:tc>
          <w:tcPr>
            <w:tcW w:w="1700" w:type="dxa"/>
            <w:vAlign w:val="bottom"/>
            <w:tcBorders>
              <w:bottom w:val="single" w:sz="8" w:color="E5E5E5"/>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E5E5E5"/>
            </w:tcBorders>
          </w:tcPr>
          <w:p>
            <w:pPr>
              <w:spacing w:after="0"/>
              <w:rPr>
                <w:sz w:val="19"/>
                <w:szCs w:val="19"/>
                <w:color w:val="auto"/>
              </w:rPr>
            </w:pPr>
          </w:p>
        </w:tc>
      </w:tr>
      <w:tr>
        <w:trPr>
          <w:trHeight w:val="223"/>
        </w:trPr>
        <w:tc>
          <w:tcPr>
            <w:tcW w:w="7800" w:type="dxa"/>
            <w:vAlign w:val="bottom"/>
            <w:tcBorders>
              <w:bottom w:val="single" w:sz="8" w:color="E5E5E5"/>
              <w:right w:val="single" w:sz="8" w:color="E5E5E5"/>
            </w:tcBorders>
            <w:shd w:val="clear" w:color="auto" w:fill="DBDBDB"/>
          </w:tcPr>
          <w:p>
            <w:pPr>
              <w:ind w:left="40"/>
              <w:spacing w:after="0"/>
              <w:rPr>
                <w:sz w:val="20"/>
                <w:szCs w:val="20"/>
                <w:color w:val="auto"/>
              </w:rPr>
            </w:pPr>
            <w:r>
              <w:rPr>
                <w:rFonts w:ascii="Arial" w:cs="Arial" w:eastAsia="Arial" w:hAnsi="Arial"/>
                <w:sz w:val="18"/>
                <w:szCs w:val="18"/>
                <w:color w:val="auto"/>
              </w:rPr>
              <w:t>David W. Hult</w:t>
            </w:r>
          </w:p>
        </w:tc>
        <w:tc>
          <w:tcPr>
            <w:tcW w:w="1740" w:type="dxa"/>
            <w:vAlign w:val="bottom"/>
            <w:tcBorders>
              <w:bottom w:val="single" w:sz="8" w:color="E5E5E5"/>
              <w:right w:val="single" w:sz="8" w:color="E5E5E5"/>
            </w:tcBorders>
            <w:shd w:val="clear" w:color="auto" w:fill="DBDBDB"/>
          </w:tcPr>
          <w:p>
            <w:pPr>
              <w:jc w:val="center"/>
              <w:spacing w:after="0"/>
              <w:rPr>
                <w:sz w:val="20"/>
                <w:szCs w:val="20"/>
                <w:color w:val="auto"/>
              </w:rPr>
            </w:pPr>
            <w:r>
              <w:rPr>
                <w:rFonts w:ascii="Arial" w:cs="Arial" w:eastAsia="Arial" w:hAnsi="Arial"/>
                <w:sz w:val="18"/>
                <w:szCs w:val="18"/>
                <w:color w:val="auto"/>
              </w:rPr>
              <w:t>42,842</w:t>
            </w:r>
          </w:p>
        </w:tc>
        <w:tc>
          <w:tcPr>
            <w:tcW w:w="1700" w:type="dxa"/>
            <w:vAlign w:val="bottom"/>
            <w:tcBorders>
              <w:bottom w:val="single" w:sz="8" w:color="E5E5E5"/>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E5E5E5"/>
            </w:tcBorders>
          </w:tcPr>
          <w:p>
            <w:pPr>
              <w:spacing w:after="0"/>
              <w:rPr>
                <w:sz w:val="19"/>
                <w:szCs w:val="19"/>
                <w:color w:val="auto"/>
              </w:rPr>
            </w:pPr>
          </w:p>
        </w:tc>
      </w:tr>
      <w:tr>
        <w:trPr>
          <w:trHeight w:val="223"/>
        </w:trPr>
        <w:tc>
          <w:tcPr>
            <w:tcW w:w="7800" w:type="dxa"/>
            <w:vAlign w:val="bottom"/>
            <w:tcBorders>
              <w:bottom w:val="single" w:sz="8" w:color="E5E5E5"/>
              <w:right w:val="single" w:sz="8" w:color="E5E5E5"/>
            </w:tcBorders>
          </w:tcPr>
          <w:p>
            <w:pPr>
              <w:ind w:left="40"/>
              <w:spacing w:after="0"/>
              <w:rPr>
                <w:sz w:val="20"/>
                <w:szCs w:val="20"/>
                <w:color w:val="auto"/>
              </w:rPr>
            </w:pPr>
            <w:r>
              <w:rPr>
                <w:rFonts w:ascii="Arial" w:cs="Arial" w:eastAsia="Arial" w:hAnsi="Arial"/>
                <w:sz w:val="18"/>
                <w:szCs w:val="18"/>
                <w:color w:val="auto"/>
              </w:rPr>
              <w:t>Juanita T. James</w:t>
            </w:r>
          </w:p>
        </w:tc>
        <w:tc>
          <w:tcPr>
            <w:tcW w:w="1740" w:type="dxa"/>
            <w:vAlign w:val="bottom"/>
            <w:tcBorders>
              <w:bottom w:val="single" w:sz="8" w:color="E5E5E5"/>
              <w:right w:val="single" w:sz="8" w:color="E5E5E5"/>
            </w:tcBorders>
          </w:tcPr>
          <w:p>
            <w:pPr>
              <w:jc w:val="center"/>
              <w:spacing w:after="0"/>
              <w:rPr>
                <w:sz w:val="20"/>
                <w:szCs w:val="20"/>
                <w:color w:val="auto"/>
              </w:rPr>
            </w:pPr>
            <w:r>
              <w:rPr>
                <w:rFonts w:ascii="Arial" w:cs="Arial" w:eastAsia="Arial" w:hAnsi="Arial"/>
                <w:sz w:val="18"/>
                <w:szCs w:val="18"/>
                <w:color w:val="auto"/>
              </w:rPr>
              <w:t>7,569</w:t>
            </w:r>
          </w:p>
        </w:tc>
        <w:tc>
          <w:tcPr>
            <w:tcW w:w="1700" w:type="dxa"/>
            <w:vAlign w:val="bottom"/>
            <w:tcBorders>
              <w:bottom w:val="single" w:sz="8" w:color="E5E5E5"/>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E5E5E5"/>
            </w:tcBorders>
          </w:tcPr>
          <w:p>
            <w:pPr>
              <w:spacing w:after="0"/>
              <w:rPr>
                <w:sz w:val="19"/>
                <w:szCs w:val="19"/>
                <w:color w:val="auto"/>
              </w:rPr>
            </w:pPr>
          </w:p>
        </w:tc>
      </w:tr>
      <w:tr>
        <w:trPr>
          <w:trHeight w:val="223"/>
        </w:trPr>
        <w:tc>
          <w:tcPr>
            <w:tcW w:w="7800" w:type="dxa"/>
            <w:vAlign w:val="bottom"/>
            <w:tcBorders>
              <w:bottom w:val="single" w:sz="8" w:color="E5E5E5"/>
              <w:right w:val="single" w:sz="8" w:color="E5E5E5"/>
            </w:tcBorders>
            <w:shd w:val="clear" w:color="auto" w:fill="DBDBDB"/>
          </w:tcPr>
          <w:p>
            <w:pPr>
              <w:ind w:left="40"/>
              <w:spacing w:after="0"/>
              <w:rPr>
                <w:sz w:val="20"/>
                <w:szCs w:val="20"/>
                <w:color w:val="auto"/>
              </w:rPr>
            </w:pPr>
            <w:r>
              <w:rPr>
                <w:rFonts w:ascii="Arial" w:cs="Arial" w:eastAsia="Arial" w:hAnsi="Arial"/>
                <w:sz w:val="18"/>
                <w:szCs w:val="18"/>
                <w:color w:val="auto"/>
              </w:rPr>
              <w:t>Philip F. Maritz</w:t>
            </w:r>
          </w:p>
        </w:tc>
        <w:tc>
          <w:tcPr>
            <w:tcW w:w="1740" w:type="dxa"/>
            <w:vAlign w:val="bottom"/>
            <w:tcBorders>
              <w:bottom w:val="single" w:sz="8" w:color="E5E5E5"/>
              <w:right w:val="single" w:sz="8" w:color="E5E5E5"/>
            </w:tcBorders>
            <w:shd w:val="clear" w:color="auto" w:fill="DBDBDB"/>
          </w:tcPr>
          <w:p>
            <w:pPr>
              <w:jc w:val="center"/>
              <w:spacing w:after="0"/>
              <w:rPr>
                <w:sz w:val="20"/>
                <w:szCs w:val="20"/>
                <w:color w:val="auto"/>
              </w:rPr>
            </w:pPr>
            <w:r>
              <w:rPr>
                <w:rFonts w:ascii="Arial" w:cs="Arial" w:eastAsia="Arial" w:hAnsi="Arial"/>
                <w:sz w:val="18"/>
                <w:szCs w:val="18"/>
                <w:color w:val="auto"/>
              </w:rPr>
              <w:t>6,932</w:t>
            </w:r>
          </w:p>
        </w:tc>
        <w:tc>
          <w:tcPr>
            <w:tcW w:w="1700" w:type="dxa"/>
            <w:vAlign w:val="bottom"/>
            <w:tcBorders>
              <w:bottom w:val="single" w:sz="8" w:color="E5E5E5"/>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E5E5E5"/>
            </w:tcBorders>
          </w:tcPr>
          <w:p>
            <w:pPr>
              <w:spacing w:after="0"/>
              <w:rPr>
                <w:sz w:val="19"/>
                <w:szCs w:val="19"/>
                <w:color w:val="auto"/>
              </w:rPr>
            </w:pPr>
          </w:p>
        </w:tc>
      </w:tr>
      <w:tr>
        <w:trPr>
          <w:trHeight w:val="223"/>
        </w:trPr>
        <w:tc>
          <w:tcPr>
            <w:tcW w:w="7800" w:type="dxa"/>
            <w:vAlign w:val="bottom"/>
            <w:tcBorders>
              <w:bottom w:val="single" w:sz="8" w:color="E5E5E5"/>
              <w:right w:val="single" w:sz="8" w:color="E5E5E5"/>
            </w:tcBorders>
          </w:tcPr>
          <w:p>
            <w:pPr>
              <w:ind w:left="40"/>
              <w:spacing w:after="0"/>
              <w:rPr>
                <w:sz w:val="20"/>
                <w:szCs w:val="20"/>
                <w:color w:val="auto"/>
              </w:rPr>
            </w:pPr>
            <w:r>
              <w:rPr>
                <w:rFonts w:ascii="Arial" w:cs="Arial" w:eastAsia="Arial" w:hAnsi="Arial"/>
                <w:sz w:val="18"/>
                <w:szCs w:val="18"/>
                <w:color w:val="auto"/>
              </w:rPr>
              <w:t>Maureen F. Morrison</w:t>
            </w:r>
          </w:p>
        </w:tc>
        <w:tc>
          <w:tcPr>
            <w:tcW w:w="1740" w:type="dxa"/>
            <w:vAlign w:val="bottom"/>
            <w:tcBorders>
              <w:bottom w:val="single" w:sz="8" w:color="E5E5E5"/>
              <w:right w:val="single" w:sz="8" w:color="E5E5E5"/>
            </w:tcBorders>
          </w:tcPr>
          <w:p>
            <w:pPr>
              <w:jc w:val="center"/>
              <w:spacing w:after="0"/>
              <w:rPr>
                <w:sz w:val="20"/>
                <w:szCs w:val="20"/>
                <w:color w:val="auto"/>
              </w:rPr>
            </w:pPr>
            <w:r>
              <w:rPr>
                <w:rFonts w:ascii="Arial" w:cs="Arial" w:eastAsia="Arial" w:hAnsi="Arial"/>
                <w:sz w:val="18"/>
                <w:szCs w:val="18"/>
                <w:color w:val="auto"/>
              </w:rPr>
              <w:t>6,624</w:t>
            </w:r>
          </w:p>
        </w:tc>
        <w:tc>
          <w:tcPr>
            <w:tcW w:w="1700" w:type="dxa"/>
            <w:vAlign w:val="bottom"/>
            <w:tcBorders>
              <w:bottom w:val="single" w:sz="8" w:color="E5E5E5"/>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E5E5E5"/>
            </w:tcBorders>
          </w:tcPr>
          <w:p>
            <w:pPr>
              <w:spacing w:after="0"/>
              <w:rPr>
                <w:sz w:val="19"/>
                <w:szCs w:val="19"/>
                <w:color w:val="auto"/>
              </w:rPr>
            </w:pPr>
          </w:p>
        </w:tc>
      </w:tr>
      <w:tr>
        <w:trPr>
          <w:trHeight w:val="223"/>
        </w:trPr>
        <w:tc>
          <w:tcPr>
            <w:tcW w:w="7800" w:type="dxa"/>
            <w:vAlign w:val="bottom"/>
            <w:tcBorders>
              <w:bottom w:val="single" w:sz="8" w:color="E5E5E5"/>
              <w:right w:val="single" w:sz="8" w:color="E5E5E5"/>
            </w:tcBorders>
            <w:shd w:val="clear" w:color="auto" w:fill="DBDBDB"/>
          </w:tcPr>
          <w:p>
            <w:pPr>
              <w:ind w:left="40"/>
              <w:spacing w:after="0"/>
              <w:rPr>
                <w:sz w:val="20"/>
                <w:szCs w:val="20"/>
                <w:color w:val="auto"/>
              </w:rPr>
            </w:pPr>
            <w:r>
              <w:rPr>
                <w:rFonts w:ascii="Arial" w:cs="Arial" w:eastAsia="Arial" w:hAnsi="Arial"/>
                <w:sz w:val="18"/>
                <w:szCs w:val="18"/>
                <w:color w:val="auto"/>
              </w:rPr>
              <w:t>Shamla Naidoo</w:t>
            </w:r>
          </w:p>
        </w:tc>
        <w:tc>
          <w:tcPr>
            <w:tcW w:w="1740" w:type="dxa"/>
            <w:vAlign w:val="bottom"/>
            <w:tcBorders>
              <w:bottom w:val="single" w:sz="8" w:color="E5E5E5"/>
              <w:right w:val="single" w:sz="8" w:color="E5E5E5"/>
            </w:tcBorders>
            <w:shd w:val="clear" w:color="auto" w:fill="DBDBDB"/>
          </w:tcPr>
          <w:p>
            <w:pPr>
              <w:jc w:val="center"/>
              <w:spacing w:after="0"/>
              <w:rPr>
                <w:sz w:val="20"/>
                <w:szCs w:val="20"/>
                <w:color w:val="auto"/>
              </w:rPr>
            </w:pPr>
            <w:r>
              <w:rPr>
                <w:rFonts w:ascii="Arial" w:cs="Arial" w:eastAsia="Arial" w:hAnsi="Arial"/>
                <w:sz w:val="18"/>
                <w:szCs w:val="18"/>
                <w:color w:val="auto"/>
                <w:w w:val="99"/>
              </w:rPr>
              <w:t>463</w:t>
            </w:r>
          </w:p>
        </w:tc>
        <w:tc>
          <w:tcPr>
            <w:tcW w:w="1700" w:type="dxa"/>
            <w:vAlign w:val="bottom"/>
            <w:tcBorders>
              <w:bottom w:val="single" w:sz="8" w:color="E5E5E5"/>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E5E5E5"/>
            </w:tcBorders>
          </w:tcPr>
          <w:p>
            <w:pPr>
              <w:spacing w:after="0"/>
              <w:rPr>
                <w:sz w:val="19"/>
                <w:szCs w:val="19"/>
                <w:color w:val="auto"/>
              </w:rPr>
            </w:pPr>
          </w:p>
        </w:tc>
      </w:tr>
      <w:tr>
        <w:trPr>
          <w:trHeight w:val="223"/>
        </w:trPr>
        <w:tc>
          <w:tcPr>
            <w:tcW w:w="7800" w:type="dxa"/>
            <w:vAlign w:val="bottom"/>
            <w:tcBorders>
              <w:bottom w:val="single" w:sz="8" w:color="E5E5E5"/>
              <w:right w:val="single" w:sz="8" w:color="E5E5E5"/>
            </w:tcBorders>
          </w:tcPr>
          <w:p>
            <w:pPr>
              <w:ind w:left="40"/>
              <w:spacing w:after="0"/>
              <w:rPr>
                <w:sz w:val="20"/>
                <w:szCs w:val="20"/>
                <w:color w:val="auto"/>
              </w:rPr>
            </w:pPr>
            <w:r>
              <w:rPr>
                <w:rFonts w:ascii="Arial" w:cs="Arial" w:eastAsia="Arial" w:hAnsi="Arial"/>
                <w:sz w:val="18"/>
                <w:szCs w:val="18"/>
                <w:color w:val="auto"/>
              </w:rPr>
              <w:t>Thomas J. Reddin</w:t>
            </w:r>
          </w:p>
        </w:tc>
        <w:tc>
          <w:tcPr>
            <w:tcW w:w="1740" w:type="dxa"/>
            <w:vAlign w:val="bottom"/>
            <w:tcBorders>
              <w:bottom w:val="single" w:sz="8" w:color="E5E5E5"/>
              <w:right w:val="single" w:sz="8" w:color="E5E5E5"/>
            </w:tcBorders>
          </w:tcPr>
          <w:p>
            <w:pPr>
              <w:jc w:val="center"/>
              <w:spacing w:after="0"/>
              <w:rPr>
                <w:sz w:val="20"/>
                <w:szCs w:val="20"/>
                <w:color w:val="auto"/>
              </w:rPr>
            </w:pPr>
            <w:r>
              <w:rPr>
                <w:rFonts w:ascii="Arial" w:cs="Arial" w:eastAsia="Arial" w:hAnsi="Arial"/>
                <w:sz w:val="18"/>
                <w:szCs w:val="18"/>
                <w:color w:val="auto"/>
              </w:rPr>
              <w:t>10,865</w:t>
            </w:r>
          </w:p>
        </w:tc>
        <w:tc>
          <w:tcPr>
            <w:tcW w:w="1700" w:type="dxa"/>
            <w:vAlign w:val="bottom"/>
            <w:tcBorders>
              <w:bottom w:val="single" w:sz="8" w:color="E5E5E5"/>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E5E5E5"/>
            </w:tcBorders>
          </w:tcPr>
          <w:p>
            <w:pPr>
              <w:spacing w:after="0"/>
              <w:rPr>
                <w:sz w:val="19"/>
                <w:szCs w:val="19"/>
                <w:color w:val="auto"/>
              </w:rPr>
            </w:pPr>
          </w:p>
        </w:tc>
      </w:tr>
      <w:tr>
        <w:trPr>
          <w:trHeight w:val="223"/>
        </w:trPr>
        <w:tc>
          <w:tcPr>
            <w:tcW w:w="7800" w:type="dxa"/>
            <w:vAlign w:val="bottom"/>
            <w:tcBorders>
              <w:bottom w:val="single" w:sz="8" w:color="E5E5E5"/>
              <w:right w:val="single" w:sz="8" w:color="E5E5E5"/>
            </w:tcBorders>
            <w:shd w:val="clear" w:color="auto" w:fill="DBDBDB"/>
          </w:tcPr>
          <w:p>
            <w:pPr>
              <w:ind w:left="40"/>
              <w:spacing w:after="0"/>
              <w:rPr>
                <w:sz w:val="20"/>
                <w:szCs w:val="20"/>
                <w:color w:val="auto"/>
              </w:rPr>
            </w:pPr>
            <w:r>
              <w:rPr>
                <w:rFonts w:ascii="Arial" w:cs="Arial" w:eastAsia="Arial" w:hAnsi="Arial"/>
                <w:sz w:val="18"/>
                <w:szCs w:val="18"/>
                <w:color w:val="auto"/>
              </w:rPr>
              <w:t>Bridget Ryan-Berman</w:t>
            </w:r>
          </w:p>
        </w:tc>
        <w:tc>
          <w:tcPr>
            <w:tcW w:w="1740" w:type="dxa"/>
            <w:vAlign w:val="bottom"/>
            <w:tcBorders>
              <w:bottom w:val="single" w:sz="8" w:color="E5E5E5"/>
              <w:right w:val="single" w:sz="8" w:color="E5E5E5"/>
            </w:tcBorders>
            <w:shd w:val="clear" w:color="auto" w:fill="DBDBDB"/>
          </w:tcPr>
          <w:p>
            <w:pPr>
              <w:jc w:val="center"/>
              <w:spacing w:after="0"/>
              <w:rPr>
                <w:sz w:val="20"/>
                <w:szCs w:val="20"/>
                <w:color w:val="auto"/>
              </w:rPr>
            </w:pPr>
            <w:r>
              <w:rPr>
                <w:rFonts w:ascii="Arial" w:cs="Arial" w:eastAsia="Arial" w:hAnsi="Arial"/>
                <w:sz w:val="18"/>
                <w:szCs w:val="18"/>
                <w:color w:val="auto"/>
              </w:rPr>
              <w:t>6,965</w:t>
            </w:r>
          </w:p>
        </w:tc>
        <w:tc>
          <w:tcPr>
            <w:tcW w:w="1700" w:type="dxa"/>
            <w:vAlign w:val="bottom"/>
            <w:tcBorders>
              <w:bottom w:val="single" w:sz="8" w:color="E5E5E5"/>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E5E5E5"/>
            </w:tcBorders>
          </w:tcPr>
          <w:p>
            <w:pPr>
              <w:spacing w:after="0"/>
              <w:rPr>
                <w:sz w:val="19"/>
                <w:szCs w:val="19"/>
                <w:color w:val="auto"/>
              </w:rPr>
            </w:pPr>
          </w:p>
        </w:tc>
      </w:tr>
      <w:tr>
        <w:trPr>
          <w:trHeight w:val="223"/>
        </w:trPr>
        <w:tc>
          <w:tcPr>
            <w:tcW w:w="7800" w:type="dxa"/>
            <w:vAlign w:val="bottom"/>
            <w:tcBorders>
              <w:bottom w:val="single" w:sz="8" w:color="E5E5E5"/>
              <w:right w:val="single" w:sz="8" w:color="E5E5E5"/>
            </w:tcBorders>
          </w:tcPr>
          <w:p>
            <w:pPr>
              <w:ind w:left="40"/>
              <w:spacing w:after="0"/>
              <w:rPr>
                <w:sz w:val="20"/>
                <w:szCs w:val="20"/>
                <w:color w:val="auto"/>
              </w:rPr>
            </w:pPr>
            <w:r>
              <w:rPr>
                <w:rFonts w:ascii="Arial" w:cs="Arial" w:eastAsia="Arial" w:hAnsi="Arial"/>
                <w:sz w:val="18"/>
                <w:szCs w:val="18"/>
                <w:color w:val="auto"/>
              </w:rPr>
              <w:t>Hilliard C. Terry, III</w:t>
            </w:r>
          </w:p>
        </w:tc>
        <w:tc>
          <w:tcPr>
            <w:tcW w:w="1740" w:type="dxa"/>
            <w:vAlign w:val="bottom"/>
            <w:tcBorders>
              <w:bottom w:val="single" w:sz="8" w:color="E5E5E5"/>
              <w:right w:val="single" w:sz="8" w:color="E5E5E5"/>
            </w:tcBorders>
          </w:tcPr>
          <w:p>
            <w:pPr>
              <w:jc w:val="center"/>
              <w:spacing w:after="0"/>
              <w:rPr>
                <w:sz w:val="20"/>
                <w:szCs w:val="20"/>
                <w:color w:val="auto"/>
              </w:rPr>
            </w:pPr>
            <w:r>
              <w:rPr>
                <w:rFonts w:ascii="Arial" w:cs="Arial" w:eastAsia="Arial" w:hAnsi="Arial"/>
                <w:sz w:val="18"/>
                <w:szCs w:val="18"/>
                <w:color w:val="auto"/>
              </w:rPr>
              <w:t>2,957</w:t>
            </w:r>
          </w:p>
        </w:tc>
        <w:tc>
          <w:tcPr>
            <w:tcW w:w="1700" w:type="dxa"/>
            <w:vAlign w:val="bottom"/>
            <w:tcBorders>
              <w:bottom w:val="single" w:sz="8" w:color="E5E5E5"/>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E5E5E5"/>
            </w:tcBorders>
          </w:tcPr>
          <w:p>
            <w:pPr>
              <w:spacing w:after="0"/>
              <w:rPr>
                <w:sz w:val="19"/>
                <w:szCs w:val="19"/>
                <w:color w:val="auto"/>
              </w:rPr>
            </w:pPr>
          </w:p>
        </w:tc>
      </w:tr>
      <w:tr>
        <w:trPr>
          <w:trHeight w:val="290"/>
        </w:trPr>
        <w:tc>
          <w:tcPr>
            <w:tcW w:w="7800" w:type="dxa"/>
            <w:vAlign w:val="bottom"/>
            <w:tcBorders>
              <w:bottom w:val="single" w:sz="8" w:color="E5E5E5"/>
              <w:right w:val="single" w:sz="8" w:color="ADADAD"/>
            </w:tcBorders>
            <w:shd w:val="clear" w:color="auto" w:fill="ADADAD"/>
          </w:tcPr>
          <w:p>
            <w:pPr>
              <w:ind w:left="40"/>
              <w:spacing w:after="0"/>
              <w:rPr>
                <w:sz w:val="20"/>
                <w:szCs w:val="20"/>
                <w:color w:val="auto"/>
              </w:rPr>
            </w:pPr>
            <w:r>
              <w:rPr>
                <w:rFonts w:ascii="Arial" w:cs="Arial" w:eastAsia="Arial" w:hAnsi="Arial"/>
                <w:sz w:val="18"/>
                <w:szCs w:val="18"/>
                <w:b w:val="1"/>
                <w:bCs w:val="1"/>
                <w:color w:val="auto"/>
              </w:rPr>
              <w:t>Named Executive Officers Who Are Not Directors</w:t>
            </w:r>
          </w:p>
        </w:tc>
        <w:tc>
          <w:tcPr>
            <w:tcW w:w="1740" w:type="dxa"/>
            <w:vAlign w:val="bottom"/>
            <w:tcBorders>
              <w:bottom w:val="single" w:sz="8" w:color="E5E5E5"/>
              <w:right w:val="single" w:sz="8" w:color="ADADAD"/>
            </w:tcBorders>
            <w:shd w:val="clear" w:color="auto" w:fill="ADADAD"/>
          </w:tcPr>
          <w:p>
            <w:pPr>
              <w:spacing w:after="0"/>
              <w:rPr>
                <w:sz w:val="24"/>
                <w:szCs w:val="24"/>
                <w:color w:val="auto"/>
              </w:rPr>
            </w:pPr>
          </w:p>
        </w:tc>
        <w:tc>
          <w:tcPr>
            <w:tcW w:w="1700" w:type="dxa"/>
            <w:vAlign w:val="bottom"/>
            <w:tcBorders>
              <w:bottom w:val="single" w:sz="8" w:color="E5E5E5"/>
            </w:tcBorders>
            <w:shd w:val="clear" w:color="auto" w:fill="ADADAD"/>
          </w:tcPr>
          <w:p>
            <w:pPr>
              <w:spacing w:after="0"/>
              <w:rPr>
                <w:sz w:val="24"/>
                <w:szCs w:val="24"/>
                <w:color w:val="auto"/>
              </w:rPr>
            </w:pPr>
          </w:p>
        </w:tc>
        <w:tc>
          <w:tcPr>
            <w:tcW w:w="20" w:type="dxa"/>
            <w:vAlign w:val="bottom"/>
            <w:tcBorders>
              <w:bottom w:val="single" w:sz="8" w:color="E5E5E5"/>
            </w:tcBorders>
          </w:tcPr>
          <w:p>
            <w:pPr>
              <w:spacing w:after="0"/>
              <w:rPr>
                <w:sz w:val="24"/>
                <w:szCs w:val="24"/>
                <w:color w:val="auto"/>
              </w:rPr>
            </w:pPr>
          </w:p>
        </w:tc>
      </w:tr>
      <w:tr>
        <w:trPr>
          <w:trHeight w:val="223"/>
        </w:trPr>
        <w:tc>
          <w:tcPr>
            <w:tcW w:w="7800" w:type="dxa"/>
            <w:vAlign w:val="bottom"/>
            <w:tcBorders>
              <w:bottom w:val="single" w:sz="8" w:color="E5E5E5"/>
              <w:right w:val="single" w:sz="8" w:color="E5E5E5"/>
            </w:tcBorders>
            <w:shd w:val="clear" w:color="auto" w:fill="DBDBDB"/>
          </w:tcPr>
          <w:p>
            <w:pPr>
              <w:ind w:left="40"/>
              <w:spacing w:after="0"/>
              <w:rPr>
                <w:sz w:val="20"/>
                <w:szCs w:val="20"/>
                <w:color w:val="auto"/>
              </w:rPr>
            </w:pPr>
            <w:r>
              <w:rPr>
                <w:rFonts w:ascii="Arial" w:cs="Arial" w:eastAsia="Arial" w:hAnsi="Arial"/>
                <w:sz w:val="18"/>
                <w:szCs w:val="18"/>
                <w:color w:val="auto"/>
              </w:rPr>
              <w:t>Daniel Clara</w:t>
            </w:r>
          </w:p>
        </w:tc>
        <w:tc>
          <w:tcPr>
            <w:tcW w:w="1740" w:type="dxa"/>
            <w:vAlign w:val="bottom"/>
            <w:tcBorders>
              <w:bottom w:val="single" w:sz="8" w:color="E5E5E5"/>
              <w:right w:val="single" w:sz="8" w:color="E5E5E5"/>
            </w:tcBorders>
            <w:shd w:val="clear" w:color="auto" w:fill="DBDBDB"/>
          </w:tcPr>
          <w:p>
            <w:pPr>
              <w:jc w:val="center"/>
              <w:spacing w:after="0"/>
              <w:rPr>
                <w:sz w:val="20"/>
                <w:szCs w:val="20"/>
                <w:color w:val="auto"/>
              </w:rPr>
            </w:pPr>
            <w:r>
              <w:rPr>
                <w:rFonts w:ascii="Arial" w:cs="Arial" w:eastAsia="Arial" w:hAnsi="Arial"/>
                <w:sz w:val="18"/>
                <w:szCs w:val="18"/>
                <w:color w:val="auto"/>
              </w:rPr>
              <w:t>1,466</w:t>
            </w:r>
          </w:p>
        </w:tc>
        <w:tc>
          <w:tcPr>
            <w:tcW w:w="1700" w:type="dxa"/>
            <w:vAlign w:val="bottom"/>
            <w:tcBorders>
              <w:bottom w:val="single" w:sz="8" w:color="E5E5E5"/>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E5E5E5"/>
            </w:tcBorders>
          </w:tcPr>
          <w:p>
            <w:pPr>
              <w:spacing w:after="0"/>
              <w:rPr>
                <w:sz w:val="19"/>
                <w:szCs w:val="19"/>
                <w:color w:val="auto"/>
              </w:rPr>
            </w:pPr>
          </w:p>
        </w:tc>
      </w:tr>
      <w:tr>
        <w:trPr>
          <w:trHeight w:val="223"/>
        </w:trPr>
        <w:tc>
          <w:tcPr>
            <w:tcW w:w="7800" w:type="dxa"/>
            <w:vAlign w:val="bottom"/>
            <w:tcBorders>
              <w:bottom w:val="single" w:sz="8" w:color="E5E5E5"/>
              <w:right w:val="single" w:sz="8" w:color="E5E5E5"/>
            </w:tcBorders>
          </w:tcPr>
          <w:p>
            <w:pPr>
              <w:ind w:left="40"/>
              <w:spacing w:after="0"/>
              <w:rPr>
                <w:sz w:val="20"/>
                <w:szCs w:val="20"/>
                <w:color w:val="auto"/>
              </w:rPr>
            </w:pPr>
            <w:r>
              <w:rPr>
                <w:rFonts w:ascii="Arial" w:cs="Arial" w:eastAsia="Arial" w:hAnsi="Arial"/>
                <w:sz w:val="18"/>
                <w:szCs w:val="18"/>
                <w:color w:val="auto"/>
              </w:rPr>
              <w:t>Dean Calloway</w:t>
            </w:r>
          </w:p>
        </w:tc>
        <w:tc>
          <w:tcPr>
            <w:tcW w:w="1740" w:type="dxa"/>
            <w:vAlign w:val="bottom"/>
            <w:tcBorders>
              <w:bottom w:val="single" w:sz="8" w:color="E5E5E5"/>
              <w:right w:val="single" w:sz="8" w:color="E5E5E5"/>
            </w:tcBorders>
          </w:tcPr>
          <w:p>
            <w:pPr>
              <w:jc w:val="center"/>
              <w:spacing w:after="0"/>
              <w:rPr>
                <w:sz w:val="20"/>
                <w:szCs w:val="20"/>
                <w:color w:val="auto"/>
              </w:rPr>
            </w:pPr>
            <w:r>
              <w:rPr>
                <w:rFonts w:ascii="Arial" w:cs="Arial" w:eastAsia="Arial" w:hAnsi="Arial"/>
                <w:sz w:val="18"/>
                <w:szCs w:val="18"/>
                <w:color w:val="auto"/>
                <w:w w:val="93"/>
              </w:rPr>
              <w:t>2,111</w:t>
            </w:r>
          </w:p>
        </w:tc>
        <w:tc>
          <w:tcPr>
            <w:tcW w:w="1700" w:type="dxa"/>
            <w:vAlign w:val="bottom"/>
            <w:tcBorders>
              <w:bottom w:val="single" w:sz="8" w:color="E5E5E5"/>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E5E5E5"/>
            </w:tcBorders>
          </w:tcPr>
          <w:p>
            <w:pPr>
              <w:spacing w:after="0"/>
              <w:rPr>
                <w:sz w:val="19"/>
                <w:szCs w:val="19"/>
                <w:color w:val="auto"/>
              </w:rPr>
            </w:pPr>
          </w:p>
        </w:tc>
      </w:tr>
      <w:tr>
        <w:trPr>
          <w:trHeight w:val="223"/>
        </w:trPr>
        <w:tc>
          <w:tcPr>
            <w:tcW w:w="7800" w:type="dxa"/>
            <w:vAlign w:val="bottom"/>
            <w:tcBorders>
              <w:bottom w:val="single" w:sz="8" w:color="E5E5E5"/>
              <w:right w:val="single" w:sz="8" w:color="E5E5E5"/>
            </w:tcBorders>
            <w:shd w:val="clear" w:color="auto" w:fill="DBDBDB"/>
          </w:tcPr>
          <w:p>
            <w:pPr>
              <w:ind w:left="40"/>
              <w:spacing w:after="0"/>
              <w:rPr>
                <w:sz w:val="20"/>
                <w:szCs w:val="20"/>
                <w:color w:val="auto"/>
              </w:rPr>
            </w:pPr>
            <w:r>
              <w:rPr>
                <w:rFonts w:ascii="Arial" w:cs="Arial" w:eastAsia="Arial" w:hAnsi="Arial"/>
                <w:sz w:val="18"/>
                <w:szCs w:val="18"/>
                <w:color w:val="auto"/>
              </w:rPr>
              <w:t>Jed Milstein</w:t>
            </w:r>
          </w:p>
        </w:tc>
        <w:tc>
          <w:tcPr>
            <w:tcW w:w="1740" w:type="dxa"/>
            <w:vAlign w:val="bottom"/>
            <w:tcBorders>
              <w:bottom w:val="single" w:sz="8" w:color="E5E5E5"/>
              <w:right w:val="single" w:sz="8" w:color="E5E5E5"/>
            </w:tcBorders>
            <w:shd w:val="clear" w:color="auto" w:fill="DBDBDB"/>
          </w:tcPr>
          <w:p>
            <w:pPr>
              <w:jc w:val="center"/>
              <w:spacing w:after="0"/>
              <w:rPr>
                <w:sz w:val="20"/>
                <w:szCs w:val="20"/>
                <w:color w:val="auto"/>
              </w:rPr>
            </w:pPr>
            <w:r>
              <w:rPr>
                <w:rFonts w:ascii="Arial" w:cs="Arial" w:eastAsia="Arial" w:hAnsi="Arial"/>
                <w:sz w:val="18"/>
                <w:szCs w:val="18"/>
                <w:color w:val="auto"/>
              </w:rPr>
              <w:t>7,264</w:t>
            </w:r>
          </w:p>
        </w:tc>
        <w:tc>
          <w:tcPr>
            <w:tcW w:w="1700" w:type="dxa"/>
            <w:vAlign w:val="bottom"/>
            <w:tcBorders>
              <w:bottom w:val="single" w:sz="8" w:color="E5E5E5"/>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E5E5E5"/>
            </w:tcBorders>
          </w:tcPr>
          <w:p>
            <w:pPr>
              <w:spacing w:after="0"/>
              <w:rPr>
                <w:sz w:val="19"/>
                <w:szCs w:val="19"/>
                <w:color w:val="auto"/>
              </w:rPr>
            </w:pPr>
          </w:p>
        </w:tc>
      </w:tr>
      <w:tr>
        <w:trPr>
          <w:trHeight w:val="223"/>
        </w:trPr>
        <w:tc>
          <w:tcPr>
            <w:tcW w:w="7800" w:type="dxa"/>
            <w:vAlign w:val="bottom"/>
            <w:tcBorders>
              <w:bottom w:val="single" w:sz="8" w:color="E5E5E5"/>
              <w:right w:val="single" w:sz="8" w:color="E5E5E5"/>
            </w:tcBorders>
          </w:tcPr>
          <w:p>
            <w:pPr>
              <w:ind w:left="40"/>
              <w:spacing w:after="0"/>
              <w:rPr>
                <w:sz w:val="20"/>
                <w:szCs w:val="20"/>
                <w:color w:val="auto"/>
              </w:rPr>
            </w:pPr>
            <w:r>
              <w:rPr>
                <w:rFonts w:ascii="Arial" w:cs="Arial" w:eastAsia="Arial" w:hAnsi="Arial"/>
                <w:sz w:val="18"/>
                <w:szCs w:val="18"/>
                <w:color w:val="auto"/>
              </w:rPr>
              <w:t>Michael Welch</w:t>
            </w:r>
          </w:p>
        </w:tc>
        <w:tc>
          <w:tcPr>
            <w:tcW w:w="1740" w:type="dxa"/>
            <w:vAlign w:val="bottom"/>
            <w:tcBorders>
              <w:bottom w:val="single" w:sz="8" w:color="E5E5E5"/>
              <w:right w:val="single" w:sz="8" w:color="E5E5E5"/>
            </w:tcBorders>
          </w:tcPr>
          <w:p>
            <w:pPr>
              <w:jc w:val="center"/>
              <w:spacing w:after="0"/>
              <w:rPr>
                <w:sz w:val="20"/>
                <w:szCs w:val="20"/>
                <w:color w:val="auto"/>
              </w:rPr>
            </w:pPr>
            <w:r>
              <w:rPr>
                <w:rFonts w:ascii="Arial" w:cs="Arial" w:eastAsia="Arial" w:hAnsi="Arial"/>
                <w:sz w:val="18"/>
                <w:szCs w:val="18"/>
                <w:color w:val="auto"/>
              </w:rPr>
              <w:t>6,840</w:t>
            </w:r>
          </w:p>
        </w:tc>
        <w:tc>
          <w:tcPr>
            <w:tcW w:w="1700" w:type="dxa"/>
            <w:vAlign w:val="bottom"/>
            <w:tcBorders>
              <w:bottom w:val="single" w:sz="8" w:color="E5E5E5"/>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E5E5E5"/>
            </w:tcBorders>
          </w:tcPr>
          <w:p>
            <w:pPr>
              <w:spacing w:after="0"/>
              <w:rPr>
                <w:sz w:val="19"/>
                <w:szCs w:val="19"/>
                <w:color w:val="auto"/>
              </w:rPr>
            </w:pPr>
          </w:p>
        </w:tc>
      </w:tr>
      <w:tr>
        <w:trPr>
          <w:trHeight w:val="223"/>
        </w:trPr>
        <w:tc>
          <w:tcPr>
            <w:tcW w:w="7800" w:type="dxa"/>
            <w:vAlign w:val="bottom"/>
            <w:tcBorders>
              <w:bottom w:val="single" w:sz="8" w:color="E5E5E5"/>
              <w:right w:val="single" w:sz="8" w:color="E5E5E5"/>
            </w:tcBorders>
            <w:shd w:val="clear" w:color="auto" w:fill="DBDBDB"/>
          </w:tcPr>
          <w:p>
            <w:pPr>
              <w:ind w:left="40"/>
              <w:spacing w:after="0" w:line="223" w:lineRule="exact"/>
              <w:rPr>
                <w:sz w:val="20"/>
                <w:szCs w:val="20"/>
                <w:color w:val="auto"/>
              </w:rPr>
            </w:pPr>
            <w:r>
              <w:rPr>
                <w:rFonts w:ascii="Arial" w:cs="Arial" w:eastAsia="Arial" w:hAnsi="Arial"/>
                <w:sz w:val="18"/>
                <w:szCs w:val="18"/>
                <w:color w:val="auto"/>
              </w:rPr>
              <w:t>George A. Villasana</w:t>
            </w:r>
            <w:r>
              <w:rPr>
                <w:rFonts w:ascii="Arial" w:cs="Arial" w:eastAsia="Arial" w:hAnsi="Arial"/>
                <w:sz w:val="23"/>
                <w:szCs w:val="23"/>
                <w:color w:val="auto"/>
                <w:vertAlign w:val="superscript"/>
              </w:rPr>
              <w:t>(7)</w:t>
            </w:r>
          </w:p>
        </w:tc>
        <w:tc>
          <w:tcPr>
            <w:tcW w:w="1740" w:type="dxa"/>
            <w:vAlign w:val="bottom"/>
            <w:tcBorders>
              <w:bottom w:val="single" w:sz="8" w:color="E5E5E5"/>
              <w:right w:val="single" w:sz="8" w:color="E5E5E5"/>
            </w:tcBorders>
            <w:shd w:val="clear" w:color="auto" w:fill="DBDBDB"/>
          </w:tcPr>
          <w:p>
            <w:pPr>
              <w:jc w:val="center"/>
              <w:spacing w:after="0"/>
              <w:rPr>
                <w:sz w:val="20"/>
                <w:szCs w:val="20"/>
                <w:color w:val="auto"/>
              </w:rPr>
            </w:pPr>
            <w:r>
              <w:rPr>
                <w:rFonts w:ascii="Arial" w:cs="Arial" w:eastAsia="Arial" w:hAnsi="Arial"/>
                <w:sz w:val="18"/>
                <w:szCs w:val="18"/>
                <w:color w:val="auto"/>
              </w:rPr>
              <w:t>6,857</w:t>
            </w:r>
          </w:p>
        </w:tc>
        <w:tc>
          <w:tcPr>
            <w:tcW w:w="1700" w:type="dxa"/>
            <w:vAlign w:val="bottom"/>
            <w:tcBorders>
              <w:bottom w:val="single" w:sz="8" w:color="E5E5E5"/>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E5E5E5"/>
            </w:tcBorders>
          </w:tcPr>
          <w:p>
            <w:pPr>
              <w:spacing w:after="0"/>
              <w:rPr>
                <w:sz w:val="19"/>
                <w:szCs w:val="19"/>
                <w:color w:val="auto"/>
              </w:rPr>
            </w:pPr>
          </w:p>
        </w:tc>
      </w:tr>
      <w:tr>
        <w:trPr>
          <w:trHeight w:val="223"/>
        </w:trPr>
        <w:tc>
          <w:tcPr>
            <w:tcW w:w="7800" w:type="dxa"/>
            <w:vAlign w:val="bottom"/>
            <w:tcBorders>
              <w:bottom w:val="single" w:sz="8" w:color="E5E5E5"/>
              <w:right w:val="single" w:sz="8" w:color="E5E5E5"/>
            </w:tcBorders>
          </w:tcPr>
          <w:p>
            <w:pPr>
              <w:ind w:left="40"/>
              <w:spacing w:after="0" w:line="223" w:lineRule="exact"/>
              <w:rPr>
                <w:sz w:val="20"/>
                <w:szCs w:val="20"/>
                <w:color w:val="auto"/>
              </w:rPr>
            </w:pPr>
            <w:r>
              <w:rPr>
                <w:rFonts w:ascii="Arial" w:cs="Arial" w:eastAsia="Arial" w:hAnsi="Arial"/>
                <w:sz w:val="18"/>
                <w:szCs w:val="18"/>
                <w:color w:val="auto"/>
              </w:rPr>
              <w:t>Miran Maric</w:t>
            </w:r>
            <w:r>
              <w:rPr>
                <w:rFonts w:ascii="Arial" w:cs="Arial" w:eastAsia="Arial" w:hAnsi="Arial"/>
                <w:sz w:val="23"/>
                <w:szCs w:val="23"/>
                <w:color w:val="auto"/>
                <w:vertAlign w:val="superscript"/>
              </w:rPr>
              <w:t>(8)</w:t>
            </w:r>
          </w:p>
        </w:tc>
        <w:tc>
          <w:tcPr>
            <w:tcW w:w="1740" w:type="dxa"/>
            <w:vAlign w:val="bottom"/>
            <w:tcBorders>
              <w:bottom w:val="single" w:sz="8" w:color="E5E5E5"/>
              <w:right w:val="single" w:sz="8" w:color="E5E5E5"/>
            </w:tcBorders>
          </w:tcPr>
          <w:p>
            <w:pPr>
              <w:jc w:val="center"/>
              <w:spacing w:after="0"/>
              <w:rPr>
                <w:sz w:val="20"/>
                <w:szCs w:val="20"/>
                <w:color w:val="auto"/>
              </w:rPr>
            </w:pPr>
            <w:r>
              <w:rPr>
                <w:rFonts w:ascii="Arial" w:cs="Arial" w:eastAsia="Arial" w:hAnsi="Arial"/>
                <w:sz w:val="18"/>
                <w:szCs w:val="18"/>
                <w:color w:val="auto"/>
                <w:w w:val="99"/>
              </w:rPr>
              <w:t>1</w:t>
            </w:r>
          </w:p>
        </w:tc>
        <w:tc>
          <w:tcPr>
            <w:tcW w:w="1700" w:type="dxa"/>
            <w:vAlign w:val="bottom"/>
            <w:tcBorders>
              <w:bottom w:val="single" w:sz="8" w:color="E5E5E5"/>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E5E5E5"/>
            </w:tcBorders>
          </w:tcPr>
          <w:p>
            <w:pPr>
              <w:spacing w:after="0"/>
              <w:rPr>
                <w:sz w:val="19"/>
                <w:szCs w:val="19"/>
                <w:color w:val="auto"/>
              </w:rPr>
            </w:pPr>
          </w:p>
        </w:tc>
      </w:tr>
      <w:tr>
        <w:trPr>
          <w:trHeight w:val="290"/>
        </w:trPr>
        <w:tc>
          <w:tcPr>
            <w:tcW w:w="7800" w:type="dxa"/>
            <w:vAlign w:val="bottom"/>
            <w:tcBorders>
              <w:bottom w:val="single" w:sz="8" w:color="E5E5E5"/>
              <w:right w:val="single" w:sz="8" w:color="ADADAD"/>
            </w:tcBorders>
            <w:shd w:val="clear" w:color="auto" w:fill="ADADAD"/>
          </w:tcPr>
          <w:p>
            <w:pPr>
              <w:ind w:left="40"/>
              <w:spacing w:after="0"/>
              <w:rPr>
                <w:sz w:val="20"/>
                <w:szCs w:val="20"/>
                <w:color w:val="auto"/>
              </w:rPr>
            </w:pPr>
            <w:r>
              <w:rPr>
                <w:rFonts w:ascii="Arial" w:cs="Arial" w:eastAsia="Arial" w:hAnsi="Arial"/>
                <w:sz w:val="18"/>
                <w:szCs w:val="18"/>
                <w:b w:val="1"/>
                <w:bCs w:val="1"/>
                <w:color w:val="auto"/>
              </w:rPr>
              <w:t>Current Directors &amp; Executive Officers</w:t>
            </w:r>
          </w:p>
        </w:tc>
        <w:tc>
          <w:tcPr>
            <w:tcW w:w="1740" w:type="dxa"/>
            <w:vAlign w:val="bottom"/>
            <w:tcBorders>
              <w:bottom w:val="single" w:sz="8" w:color="E5E5E5"/>
              <w:right w:val="single" w:sz="8" w:color="ADADAD"/>
            </w:tcBorders>
            <w:shd w:val="clear" w:color="auto" w:fill="ADADAD"/>
          </w:tcPr>
          <w:p>
            <w:pPr>
              <w:spacing w:after="0"/>
              <w:rPr>
                <w:sz w:val="24"/>
                <w:szCs w:val="24"/>
                <w:color w:val="auto"/>
              </w:rPr>
            </w:pPr>
          </w:p>
        </w:tc>
        <w:tc>
          <w:tcPr>
            <w:tcW w:w="1700" w:type="dxa"/>
            <w:vAlign w:val="bottom"/>
            <w:tcBorders>
              <w:bottom w:val="single" w:sz="8" w:color="E5E5E5"/>
            </w:tcBorders>
            <w:shd w:val="clear" w:color="auto" w:fill="ADADAD"/>
          </w:tcPr>
          <w:p>
            <w:pPr>
              <w:spacing w:after="0"/>
              <w:rPr>
                <w:sz w:val="24"/>
                <w:szCs w:val="24"/>
                <w:color w:val="auto"/>
              </w:rPr>
            </w:pPr>
          </w:p>
        </w:tc>
        <w:tc>
          <w:tcPr>
            <w:tcW w:w="20" w:type="dxa"/>
            <w:vAlign w:val="bottom"/>
            <w:tcBorders>
              <w:bottom w:val="single" w:sz="8" w:color="E5E5E5"/>
            </w:tcBorders>
          </w:tcPr>
          <w:p>
            <w:pPr>
              <w:spacing w:after="0"/>
              <w:rPr>
                <w:sz w:val="24"/>
                <w:szCs w:val="24"/>
                <w:color w:val="auto"/>
              </w:rPr>
            </w:pPr>
          </w:p>
        </w:tc>
      </w:tr>
      <w:tr>
        <w:trPr>
          <w:trHeight w:val="223"/>
        </w:trPr>
        <w:tc>
          <w:tcPr>
            <w:tcW w:w="7800" w:type="dxa"/>
            <w:vAlign w:val="bottom"/>
            <w:tcBorders>
              <w:bottom w:val="single" w:sz="8" w:color="E5E5E5"/>
              <w:right w:val="single" w:sz="8" w:color="DBDBDB"/>
            </w:tcBorders>
            <w:shd w:val="clear" w:color="auto" w:fill="DBDBDB"/>
          </w:tcPr>
          <w:p>
            <w:pPr>
              <w:ind w:left="40"/>
              <w:spacing w:after="0"/>
              <w:rPr>
                <w:sz w:val="20"/>
                <w:szCs w:val="20"/>
                <w:color w:val="auto"/>
              </w:rPr>
            </w:pPr>
            <w:r>
              <w:rPr>
                <w:rFonts w:ascii="Arial" w:cs="Arial" w:eastAsia="Arial" w:hAnsi="Arial"/>
                <w:sz w:val="18"/>
                <w:szCs w:val="18"/>
                <w:color w:val="auto"/>
              </w:rPr>
              <w:t>As a group (14 persons)</w:t>
            </w:r>
          </w:p>
        </w:tc>
        <w:tc>
          <w:tcPr>
            <w:tcW w:w="1740" w:type="dxa"/>
            <w:vAlign w:val="bottom"/>
            <w:tcBorders>
              <w:bottom w:val="single" w:sz="8" w:color="E5E5E5"/>
              <w:right w:val="single" w:sz="8" w:color="E5E5E5"/>
            </w:tcBorders>
            <w:shd w:val="clear" w:color="auto" w:fill="DBDBDB"/>
          </w:tcPr>
          <w:p>
            <w:pPr>
              <w:jc w:val="center"/>
              <w:spacing w:after="0"/>
              <w:rPr>
                <w:sz w:val="20"/>
                <w:szCs w:val="20"/>
                <w:color w:val="auto"/>
              </w:rPr>
            </w:pPr>
            <w:r>
              <w:rPr>
                <w:rFonts w:ascii="Arial" w:cs="Arial" w:eastAsia="Arial" w:hAnsi="Arial"/>
                <w:sz w:val="18"/>
                <w:szCs w:val="18"/>
                <w:color w:val="auto"/>
                <w:w w:val="98"/>
              </w:rPr>
              <w:t>115,781</w:t>
            </w:r>
          </w:p>
        </w:tc>
        <w:tc>
          <w:tcPr>
            <w:tcW w:w="1700" w:type="dxa"/>
            <w:vAlign w:val="bottom"/>
            <w:tcBorders>
              <w:bottom w:val="single" w:sz="8" w:color="E5E5E5"/>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E5E5E5"/>
            </w:tcBorders>
          </w:tcPr>
          <w:p>
            <w:pPr>
              <w:spacing w:after="0"/>
              <w:rPr>
                <w:sz w:val="19"/>
                <w:szCs w:val="19"/>
                <w:color w:val="auto"/>
              </w:rPr>
            </w:pPr>
          </w:p>
        </w:tc>
      </w:tr>
    </w:tbl>
    <w:p>
      <w:pPr>
        <w:spacing w:after="0" w:line="188" w:lineRule="exact"/>
        <w:rPr>
          <w:sz w:val="20"/>
          <w:szCs w:val="20"/>
          <w:color w:val="auto"/>
        </w:rPr>
      </w:pPr>
    </w:p>
    <w:p>
      <w:pPr>
        <w:ind w:left="340" w:right="100" w:hanging="332"/>
        <w:spacing w:after="0" w:line="259" w:lineRule="auto"/>
        <w:tabs>
          <w:tab w:leader="none" w:pos="335"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number of shares beneficially owned is determined under rules promulgated by the Securities and Exchange Commission (the “SEC”), and the information is not necessarily indicative of beneficial ownership for any other purpose. Under such rules, beneficial ownership includes any shares as to which the individual has sole or shared voting power or investment power and also any shares which the individual has the right to acquire within</w:t>
      </w:r>
    </w:p>
    <w:p>
      <w:pPr>
        <w:ind w:left="340" w:right="40"/>
        <w:spacing w:after="0" w:line="258" w:lineRule="auto"/>
        <w:rPr>
          <w:rFonts w:ascii="Arial" w:cs="Arial" w:eastAsia="Arial" w:hAnsi="Arial"/>
          <w:sz w:val="16"/>
          <w:szCs w:val="16"/>
          <w:color w:val="auto"/>
        </w:rPr>
      </w:pPr>
      <w:r>
        <w:rPr>
          <w:rFonts w:ascii="Arial" w:cs="Arial" w:eastAsia="Arial" w:hAnsi="Arial"/>
          <w:sz w:val="16"/>
          <w:szCs w:val="16"/>
          <w:color w:val="auto"/>
        </w:rPr>
        <w:t>60 days after the Record Date, including shares issuable upon the vesting of performance share units and restricted share units within 60 days after the Record Date. Inclusion in the table of such shares, however, does not constitute an admission that the director, director-nominee, named executive officer or other executive officer is a direct or indirect beneficial owner of such shares. Except as otherwise indicated, the persons listed in the table have sole voting and investment power with respect to the securities included in the table.</w:t>
      </w:r>
    </w:p>
    <w:p>
      <w:pPr>
        <w:spacing w:after="0" w:line="30" w:lineRule="exact"/>
        <w:rPr>
          <w:sz w:val="20"/>
          <w:szCs w:val="20"/>
          <w:color w:val="auto"/>
        </w:rPr>
      </w:pPr>
    </w:p>
    <w:p>
      <w:pPr>
        <w:spacing w:after="0"/>
        <w:tabs>
          <w:tab w:leader="none" w:pos="300" w:val="left"/>
        </w:tabs>
        <w:rPr>
          <w:sz w:val="20"/>
          <w:szCs w:val="20"/>
          <w:color w:val="auto"/>
        </w:rPr>
      </w:pPr>
      <w:r>
        <w:rPr>
          <w:rFonts w:ascii="Arial" w:cs="Arial" w:eastAsia="Arial" w:hAnsi="Arial"/>
          <w:sz w:val="16"/>
          <w:szCs w:val="16"/>
          <w:color w:val="auto"/>
        </w:rPr>
        <w:t>(*)</w:t>
        <w:tab/>
        <w:t>Denotes less than 1% of the Company’s common stock.</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3" w:lineRule="exact"/>
        <w:rPr>
          <w:sz w:val="20"/>
          <w:szCs w:val="20"/>
          <w:color w:val="auto"/>
        </w:rPr>
      </w:pPr>
    </w:p>
    <w:p>
      <w:pPr>
        <w:ind w:left="340" w:right="140" w:hanging="332"/>
        <w:spacing w:after="0" w:line="286" w:lineRule="auto"/>
        <w:tabs>
          <w:tab w:leader="none" w:pos="335"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a Schedule 13G/A filed with the SEC on January 22, 2024. BlackRock, Inc. has sole voting power with respect to 3,222,808 shares and sole dispositive power with respect to 3,289,602 shares. The business address of BlackRock, Inc. is 50 Hudson Yards, New York, NY 10001.</w:t>
      </w:r>
    </w:p>
    <w:p>
      <w:pPr>
        <w:spacing w:after="0" w:line="7" w:lineRule="exact"/>
        <w:rPr>
          <w:rFonts w:ascii="Arial" w:cs="Arial" w:eastAsia="Arial" w:hAnsi="Arial"/>
          <w:sz w:val="16"/>
          <w:szCs w:val="16"/>
          <w:color w:val="auto"/>
        </w:rPr>
      </w:pPr>
    </w:p>
    <w:p>
      <w:pPr>
        <w:ind w:left="340" w:hanging="332"/>
        <w:spacing w:after="0" w:line="275" w:lineRule="auto"/>
        <w:tabs>
          <w:tab w:leader="none" w:pos="335"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a Schedule 13G/A filed with the SEC on February 13, 2024. The Vanguard Group has sole dispositive power with respect to 2,282,674 shares, shared voting power with respective to 15,658 shares and shared dispositive power with respect to 36,619 shares. The business address of The Vanguard Group is 100 Vanguard Boulevard, Malvern, PA 19355.</w:t>
      </w:r>
    </w:p>
    <w:p>
      <w:pPr>
        <w:spacing w:after="0" w:line="2" w:lineRule="exact"/>
        <w:rPr>
          <w:rFonts w:ascii="Arial" w:cs="Arial" w:eastAsia="Arial" w:hAnsi="Arial"/>
          <w:sz w:val="16"/>
          <w:szCs w:val="16"/>
          <w:color w:val="auto"/>
        </w:rPr>
      </w:pPr>
    </w:p>
    <w:p>
      <w:pPr>
        <w:ind w:left="340" w:right="40" w:hanging="332"/>
        <w:spacing w:after="0" w:line="261" w:lineRule="auto"/>
        <w:tabs>
          <w:tab w:leader="none" w:pos="335"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a Schedule 13D/A filed with the SEC on January 17, 2025 by (i) Impactive Capital LP, a Delaware limited partnership ("Impactive Capital"), as the investment manager of certain funds and/or accounts (the "Impactive Funds"), with respect to the Shares directly owned by the Impactive Funds, (ii) Impactive Capital LLC, a Delaware limited liability company ("Impactive Capital GP"), as the general partner of Impactive Capital, and (iii) Lauren Taylor Wolfe and Christian Asmar, each a Managing Member of Impactive Capital GP. The reporting entities and persons each reported the shared voting power and shared dispositive power with respect to 1,492,232 shares. The business address for the reporting entities and persons is 450 West 14th Street, 12th Floor, New York, New York 10014.</w:t>
      </w:r>
    </w:p>
    <w:p>
      <w:pPr>
        <w:spacing w:after="0" w:line="14" w:lineRule="exact"/>
        <w:rPr>
          <w:rFonts w:ascii="Arial" w:cs="Arial" w:eastAsia="Arial" w:hAnsi="Arial"/>
          <w:sz w:val="16"/>
          <w:szCs w:val="16"/>
          <w:color w:val="auto"/>
        </w:rPr>
      </w:pPr>
    </w:p>
    <w:p>
      <w:pPr>
        <w:ind w:left="340" w:right="20" w:hanging="332"/>
        <w:spacing w:after="0" w:line="258" w:lineRule="auto"/>
        <w:tabs>
          <w:tab w:leader="none" w:pos="335"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a Schedule 13G/A filed with the SEC on February 9, 2024 by Abrams Capital Management L.P. (“Abrams CM LP”). Represents shares owned by and on behalf of each of Abrams Capital Partners II, L.P. (“ACP II”), Abrams Capital, LLC (“Abrams Capital”), Abrams Capital Management, LLC (“Abrams CM LLC”), Abrams CM LP and David Abrams. Abrams Capital serves as general partner for a number of private investment funds. Abrams CM LP serves as investment manager for a number of private investment funds. Abrams CM LLC is the general partner of Abrams CM LP. Mr. Abrams is the managing member of Abrams Capital and Abrams CM LLC and may be deemed to have voting and dispositive power over shares held for the accounts of the private investment funds managed by him. ACP II has shared voting and dispositive power with respect to 1,716,441 shares. Abrams Capital has shared voting and dispositive power with respect to 2,025,144 shares. Abrams CM LLC and Abrams CM LP have shared voting and dispositive power with respect to 2,108,540 shares. Mr. Abrams has shared voting and dispositive power with respect to all 2,116,040 shares. The business address of ACP II, Abrams Capital, Abrams CM LLC, Abrams CM LP and Mr. Abrams is 222 Berkeley Street, 21st Floor, Boston, MA 02116.</w:t>
      </w:r>
    </w:p>
    <w:p>
      <w:pPr>
        <w:spacing w:after="0" w:line="28" w:lineRule="exact"/>
        <w:rPr>
          <w:rFonts w:ascii="Arial" w:cs="Arial" w:eastAsia="Arial" w:hAnsi="Arial"/>
          <w:sz w:val="16"/>
          <w:szCs w:val="16"/>
          <w:color w:val="auto"/>
        </w:rPr>
      </w:pPr>
    </w:p>
    <w:p>
      <w:pPr>
        <w:ind w:left="340" w:right="40" w:hanging="332"/>
        <w:spacing w:after="0" w:line="265" w:lineRule="auto"/>
        <w:tabs>
          <w:tab w:leader="none" w:pos="335"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a Schedule 13G/A filed with the SEC on February 12, 2024. Represents shares owned by and on behalf of each of Neuberger Berman Group LLC (“Neuberger Group”) and Neuberger Berman Investment Advisers LLC (“Neuberger Investment”). Neuberger Group and Neuberger Investment have shared voting power with respect to 1,418,665 shares and shared dispositive power with respect to 1,432,755 shares. The business address of Neuberger Group and Neuberger Investment is 1290 Avenue of the Americas, New York, NY 10104.</w:t>
      </w:r>
    </w:p>
    <w:p>
      <w:pPr>
        <w:spacing w:after="0" w:line="10" w:lineRule="exact"/>
        <w:rPr>
          <w:rFonts w:ascii="Arial" w:cs="Arial" w:eastAsia="Arial" w:hAnsi="Arial"/>
          <w:sz w:val="16"/>
          <w:szCs w:val="16"/>
          <w:color w:val="auto"/>
        </w:rPr>
      </w:pPr>
    </w:p>
    <w:p>
      <w:pPr>
        <w:ind w:left="340" w:right="120" w:hanging="332"/>
        <w:spacing w:after="0" w:line="275" w:lineRule="auto"/>
        <w:tabs>
          <w:tab w:leader="none" w:pos="335"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a Schedule 13G filed with the SEC on October 31, 2024 by Dimensional Fund Advisors, L.P. ("Dimensional Fund"). Dimensional Fund has sole voting power with respect to 1,064,939 shares and sole dispositive power with respect to 1,098,488 shares. The business address of Dimensional Fund is 6300 Bee Cave Road, Building One, Austin, TX 78746.</w:t>
      </w:r>
    </w:p>
    <w:p>
      <w:pPr>
        <w:spacing w:after="0" w:line="15" w:lineRule="exact"/>
        <w:rPr>
          <w:rFonts w:ascii="Arial" w:cs="Arial" w:eastAsia="Arial" w:hAnsi="Arial"/>
          <w:sz w:val="16"/>
          <w:szCs w:val="16"/>
          <w:color w:val="auto"/>
        </w:rPr>
      </w:pPr>
    </w:p>
    <w:p>
      <w:pPr>
        <w:ind w:left="320" w:hanging="312"/>
        <w:spacing w:after="0"/>
        <w:tabs>
          <w:tab w:leader="none" w:pos="3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Mr. Villasana retired as Senior Vice President, Chief Legal Officer &amp; Secretary effective June 30, 2024.</w:t>
      </w:r>
    </w:p>
    <w:p>
      <w:pPr>
        <w:spacing w:after="0" w:line="59" w:lineRule="exact"/>
        <w:rPr>
          <w:rFonts w:ascii="Arial" w:cs="Arial" w:eastAsia="Arial" w:hAnsi="Arial"/>
          <w:sz w:val="16"/>
          <w:szCs w:val="16"/>
          <w:color w:val="auto"/>
        </w:rPr>
      </w:pPr>
    </w:p>
    <w:p>
      <w:pPr>
        <w:ind w:left="320" w:hanging="312"/>
        <w:spacing w:after="0"/>
        <w:tabs>
          <w:tab w:leader="none" w:pos="3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Mr. Maric resigned as Senior Vice President, Strategy &amp; Innovation effective November 14, 2024.</w:t>
      </w: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Equity Ownership Guidelines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We have adopted equity ownership guidelines that are applicable to our directors and named executive officers. Under our guidelines: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each director is expected to own at least five times their annual retainer in value of Asbury shares;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our Chief Executive Officer is expected to own at least five times his base salary in value of Asbury shares;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our Chief Financial Officer is expected to own at least three times his base salary in value of Asbury shares; and</w:t>
      </w:r>
    </w:p>
    <w:p>
      <w:pPr>
        <w:spacing w:after="0" w:line="117" w:lineRule="exact"/>
        <w:rPr>
          <w:sz w:val="20"/>
          <w:szCs w:val="20"/>
          <w:color w:val="auto"/>
        </w:rPr>
      </w:pPr>
    </w:p>
    <w:p>
      <w:pPr>
        <w:ind w:right="580" w:firstLine="324"/>
        <w:spacing w:after="0" w:line="375" w:lineRule="auto"/>
        <w:rPr>
          <w:sz w:val="20"/>
          <w:szCs w:val="20"/>
          <w:color w:val="auto"/>
        </w:rPr>
      </w:pPr>
      <w:r>
        <w:rPr>
          <w:rFonts w:ascii="Arial" w:cs="Arial" w:eastAsia="Arial" w:hAnsi="Arial"/>
          <w:sz w:val="18"/>
          <w:szCs w:val="18"/>
          <w:color w:val="auto"/>
        </w:rPr>
        <w:t>– our current other named executive officers are expected to own at least two times their base salary in value of Asbury shares. Equity ownership, for the purposes of these guidelines, includes the following:</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owned shares;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unvested restricted shares and unvested restricted share units; and</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earned, but unvested, performance share units.</w:t>
      </w:r>
    </w:p>
    <w:p>
      <w:pPr>
        <w:spacing w:after="0" w:line="117"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We expect our directors and named executive officers to comply with these guidelines within five years after the date of their election or appointment. All of our current directors and named executive officers have achieved their ownership requirements or have additional time under these guidelines to achieve them.</w:t>
      </w:r>
    </w:p>
    <w:p>
      <w:pPr>
        <w:spacing w:after="0" w:line="63" w:lineRule="exact"/>
        <w:rPr>
          <w:sz w:val="20"/>
          <w:szCs w:val="20"/>
          <w:color w:val="auto"/>
        </w:rPr>
      </w:pPr>
    </w:p>
    <w:p>
      <w:pPr>
        <w:ind w:right="1140"/>
        <w:spacing w:after="0" w:line="287" w:lineRule="auto"/>
        <w:rPr>
          <w:sz w:val="20"/>
          <w:szCs w:val="20"/>
          <w:color w:val="auto"/>
        </w:rPr>
      </w:pPr>
      <w:r>
        <w:rPr>
          <w:rFonts w:ascii="Arial" w:cs="Arial" w:eastAsia="Arial" w:hAnsi="Arial"/>
          <w:sz w:val="18"/>
          <w:szCs w:val="18"/>
          <w:color w:val="auto"/>
        </w:rPr>
        <w:t xml:space="preserve">Our equity ownership guidelines are contained in our Corporate Governance Guidelines, which can be found on our website at </w:t>
      </w:r>
      <w:r>
        <w:rPr>
          <w:rFonts w:ascii="Arial" w:cs="Arial" w:eastAsia="Arial" w:hAnsi="Arial"/>
          <w:sz w:val="18"/>
          <w:szCs w:val="18"/>
          <w:i w:val="1"/>
          <w:iCs w:val="1"/>
          <w:u w:val="single" w:color="auto"/>
          <w:color w:val="auto"/>
        </w:rPr>
        <w:t>https://investors.asburyauto.com/corporate-governance</w:t>
      </w:r>
      <w:r>
        <w:rPr>
          <w:rFonts w:ascii="Arial" w:cs="Arial" w:eastAsia="Arial" w:hAnsi="Arial"/>
          <w:sz w:val="18"/>
          <w:szCs w:val="18"/>
          <w:color w:val="auto"/>
        </w:rPr>
        <w:t>.</w:t>
      </w:r>
    </w:p>
    <w:p>
      <w:pPr>
        <w:spacing w:after="0" w:line="1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Policy Regarding Hedging or Pledging of Asbury Stock</w:t>
      </w:r>
    </w:p>
    <w:p>
      <w:pPr>
        <w:spacing w:after="0" w:line="96"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Insiders of Asbury are strongly discouraged from trading in Asbury common stock on a short-term basis. In addition, Asbury prohibits its directors and officers who are subject to the reporting requirements of the Securities Exchange Act of 1934, as amended (the "Exchange Act"), from pledging Asbury common stock or otherwise hedging or subjecting Asbury common stock to margin calls or the ability to be sold outside of the owner’s control. All insiders of Asbury are prohibited from engaging in hedging activities involving Asbury common stock.</w:t>
      </w:r>
    </w:p>
    <w:p>
      <w:pPr>
        <w:spacing w:after="0" w:line="3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Insider Trading Policy</w:t>
      </w:r>
    </w:p>
    <w:p>
      <w:pPr>
        <w:spacing w:after="0" w:line="1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To preserve Asbury's reputation and integrity, we have adopted an Insider Trading Policy governing transactions in our securities by our directors, officers and employees that we believe is reasonably designed to promote compliance with the applicable laws, rules and regulations of the SEC and the New York Stock Exchange ("NYSE"). Asbury also follows these procedures for the repurchase of its securities. The foregoing summary of the Insider Trading Policy does not purport to be complete and is qualified in its entirety by reference to the full text of the Insider Trading Policy attached as Exhibit 19.1 to the Company’s Annual Report on Form 10-K for the year ended December 31, 2024.</w:t>
      </w:r>
    </w:p>
    <w:p>
      <w:pPr>
        <w:spacing w:after="0" w:line="4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Delinquent Section 16(a) Reports</w:t>
      </w:r>
    </w:p>
    <w:p>
      <w:pPr>
        <w:spacing w:after="0" w:line="11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Section 16(a) of the Exchange Act requires the Company’s directors, executive officers and persons who beneficially own more than 10% of a registered class of the Company’s equity securities to file with the SEC reports on Forms 3, 4 and 5 concerning their ownership of, and transactions in, the Common Stock and other equity securities of the Company. As a practical matter, the Company assists its directors and executive officers with completing and filing Section 16(a) reports on their behalf. Based solely on the Company’s review of copies of such reports filed with the SEC and written representations from its directors and executive officers, we believe all Section 16(a) filing requirements were met during the year ended December 31, 2024.</w:t>
      </w:r>
    </w:p>
    <w:p>
      <w:pPr>
        <w:spacing w:after="0" w:line="3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PROPOSAL 1 - ELECTION OF DIRECTORS</w:t>
      </w:r>
    </w:p>
    <w:p>
      <w:pPr>
        <w:spacing w:after="0" w:line="8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Nominees for Election as Directors</w:t>
      </w:r>
    </w:p>
    <w:p>
      <w:pPr>
        <w:spacing w:after="0" w:line="8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Directors are elected by a plurality of the votes cast, and the authorized number of directors is ten. This means that each of the ten director-nominees will be elected if they receive more affirmative votes than any other person. The director voting policy in our Corporate Governance Guidelines states that in an uncontested election, any nominee for director who is a current director and who receives a greater number of votes “withheld” from their election than votes “for” their election shall tender their resignation as a director to the Board promptly following the certification of the election results. The Governance &amp; Nominating Committee will consider each resignation tendered and recommend to the Board whether to accept or reject it. The Board will act on each tendered resignation within 90 days following the certification of the election results.</w:t>
      </w:r>
    </w:p>
    <w:p>
      <w:pPr>
        <w:spacing w:after="0" w:line="75"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Each director-nominee, has consented to being named in this proxy statement and has agreed to serve if elected. Management has no reason to believe that the director-nominees will not serve if elected. If a director-nominee is unable or unwilling to stand for election, the Board may designate a substitute director-nominee or may choose to reduce the size of the Board. If a substitute director-nominee is designated, the proxy holders will vote your shares for the substitute director-nominee, unless you have withheld authority for the director-nominee who is not standing for election.</w:t>
      </w:r>
    </w:p>
    <w:p>
      <w:pPr>
        <w:spacing w:after="0" w:line="71"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On the pages that follow is certain information about our director-nominees, their principal occupation, business experience as well as other matters, and the Board’s assessment of their individual qualifications to serve on our Board. For certain additional information regarding the director-nominees, see the sections entitled “Securities Owned by Management &amp; Certain Beneficial Owners,” and “Governance of the Company” in this proxy statement.</w:t>
      </w:r>
    </w:p>
    <w:p>
      <w:pPr>
        <w:spacing w:after="0" w:line="68" w:lineRule="exact"/>
        <w:rPr>
          <w:sz w:val="20"/>
          <w:szCs w:val="20"/>
          <w:color w:val="auto"/>
        </w:rPr>
      </w:pPr>
    </w:p>
    <w:p>
      <w:pPr>
        <w:ind w:right="20"/>
        <w:spacing w:after="0" w:line="282" w:lineRule="auto"/>
        <w:rPr>
          <w:sz w:val="20"/>
          <w:szCs w:val="20"/>
          <w:color w:val="auto"/>
        </w:rPr>
      </w:pPr>
      <w:r>
        <w:rPr>
          <w:rFonts w:ascii="Arial" w:cs="Arial" w:eastAsia="Arial" w:hAnsi="Arial"/>
          <w:sz w:val="17"/>
          <w:szCs w:val="17"/>
          <w:color w:val="auto"/>
        </w:rPr>
        <w:t xml:space="preserve">The terms of office of all current directors will expire at the </w:t>
      </w:r>
      <w:r>
        <w:rPr>
          <w:rFonts w:ascii="Arial" w:cs="Arial" w:eastAsia="Arial" w:hAnsi="Arial"/>
          <w:sz w:val="15"/>
          <w:szCs w:val="15"/>
          <w:color w:val="auto"/>
        </w:rPr>
        <w:t>2025</w:t>
      </w:r>
      <w:r>
        <w:rPr>
          <w:rFonts w:ascii="Arial" w:cs="Arial" w:eastAsia="Arial" w:hAnsi="Arial"/>
          <w:sz w:val="17"/>
          <w:szCs w:val="17"/>
          <w:color w:val="auto"/>
        </w:rPr>
        <w:t xml:space="preserve"> Annual Meeting. Upon the recommendation of the Governance &amp; Nominating Committee, our Board has nominated each of the ten director-nominees listed below to stand for election for a term expiring at the 2026 Annual Meeting of Stockholders or until their successors are duly elected and qualified. Ms. Naidoo was appointed to the Board effective on January 1, 2025. Other than Ms. Naidoo, each nominee was elected by the stockholders at the Company’s most recent annual meeting.</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3"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FFFFFF"/>
        </w:rPr>
        <w:t>Thomas J. Reddin, Non-Executive Board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40575" cy="39433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0575" cy="3943350"/>
                    </a:xfrm>
                    <a:prstGeom prst="rect">
                      <a:avLst/>
                    </a:prstGeom>
                    <a:noFill/>
                  </pic:spPr>
                </pic:pic>
              </a:graphicData>
            </a:graphic>
          </wp:anchor>
        </w:drawing>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640" w:type="dxa"/>
            <w:vAlign w:val="bottom"/>
            <w:tcBorders>
              <w:top w:val="single" w:sz="8" w:color="D91E18"/>
              <w:right w:val="single" w:sz="8" w:color="D91E18"/>
            </w:tcBorders>
            <w:shd w:val="clear" w:color="auto" w:fill="E5E5E5"/>
          </w:tcPr>
          <w:p>
            <w:pPr>
              <w:spacing w:after="0"/>
              <w:rPr>
                <w:sz w:val="18"/>
                <w:szCs w:val="18"/>
                <w:color w:val="auto"/>
              </w:rPr>
            </w:pPr>
          </w:p>
        </w:tc>
        <w:tc>
          <w:tcPr>
            <w:tcW w:w="8620" w:type="dxa"/>
            <w:vAlign w:val="bottom"/>
            <w:tcBorders>
              <w:top w:val="single" w:sz="8" w:color="D91E18"/>
            </w:tcBorders>
          </w:tcPr>
          <w:p>
            <w:pPr>
              <w:spacing w:after="0"/>
              <w:rPr>
                <w:sz w:val="20"/>
                <w:szCs w:val="20"/>
                <w:color w:val="auto"/>
              </w:rPr>
            </w:pPr>
            <w:r>
              <w:rPr>
                <w:rFonts w:ascii="Arial" w:cs="Arial" w:eastAsia="Arial" w:hAnsi="Arial"/>
                <w:sz w:val="18"/>
                <w:szCs w:val="18"/>
                <w:color w:val="auto"/>
              </w:rPr>
              <w:t>Mr. Reddin is the managing partner of Red Dog Ventures LLC, a venture capital and advisory firm he</w:t>
            </w:r>
          </w:p>
        </w:tc>
        <w:tc>
          <w:tcPr>
            <w:tcW w:w="0" w:type="dxa"/>
            <w:vAlign w:val="bottom"/>
          </w:tcPr>
          <w:p>
            <w:pPr>
              <w:spacing w:after="0"/>
              <w:rPr>
                <w:sz w:val="1"/>
                <w:szCs w:val="1"/>
                <w:color w:val="auto"/>
              </w:rPr>
            </w:pPr>
          </w:p>
        </w:tc>
      </w:tr>
      <w:tr>
        <w:trPr>
          <w:trHeight w:val="216"/>
        </w:trPr>
        <w:tc>
          <w:tcPr>
            <w:tcW w:w="2640" w:type="dxa"/>
            <w:vAlign w:val="bottom"/>
            <w:tcBorders>
              <w:right w:val="single" w:sz="8" w:color="D91E18"/>
            </w:tcBorders>
            <w:shd w:val="clear" w:color="auto" w:fill="E5E5E5"/>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founded in 2007. Red Dog Ventures focuses on helping grow early-stage digital companies, and its portfolio</w:t>
            </w:r>
          </w:p>
        </w:tc>
        <w:tc>
          <w:tcPr>
            <w:tcW w:w="0" w:type="dxa"/>
            <w:vAlign w:val="bottom"/>
          </w:tcPr>
          <w:p>
            <w:pPr>
              <w:spacing w:after="0"/>
              <w:rPr>
                <w:sz w:val="1"/>
                <w:szCs w:val="1"/>
                <w:color w:val="auto"/>
              </w:rPr>
            </w:pPr>
          </w:p>
        </w:tc>
      </w:tr>
      <w:tr>
        <w:trPr>
          <w:trHeight w:val="216"/>
        </w:trPr>
        <w:tc>
          <w:tcPr>
            <w:tcW w:w="2640" w:type="dxa"/>
            <w:vAlign w:val="bottom"/>
            <w:tcBorders>
              <w:right w:val="single" w:sz="8" w:color="D91E18"/>
            </w:tcBorders>
            <w:shd w:val="clear" w:color="auto" w:fill="E5E5E5"/>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has included positions in data, data analytics, AI/machine learning, internet lead generation, search engine</w:t>
            </w:r>
          </w:p>
        </w:tc>
        <w:tc>
          <w:tcPr>
            <w:tcW w:w="0" w:type="dxa"/>
            <w:vAlign w:val="bottom"/>
          </w:tcPr>
          <w:p>
            <w:pPr>
              <w:spacing w:after="0"/>
              <w:rPr>
                <w:sz w:val="1"/>
                <w:szCs w:val="1"/>
                <w:color w:val="auto"/>
              </w:rPr>
            </w:pPr>
          </w:p>
        </w:tc>
      </w:tr>
      <w:tr>
        <w:trPr>
          <w:trHeight w:val="216"/>
        </w:trPr>
        <w:tc>
          <w:tcPr>
            <w:tcW w:w="2640" w:type="dxa"/>
            <w:vAlign w:val="bottom"/>
            <w:tcBorders>
              <w:right w:val="single" w:sz="8" w:color="D91E18"/>
            </w:tcBorders>
            <w:shd w:val="clear" w:color="auto" w:fill="E5E5E5"/>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optimization, native advertising and data center management. Mr. Reddin was an early-stage member of</w:t>
            </w:r>
          </w:p>
        </w:tc>
        <w:tc>
          <w:tcPr>
            <w:tcW w:w="0" w:type="dxa"/>
            <w:vAlign w:val="bottom"/>
          </w:tcPr>
          <w:p>
            <w:pPr>
              <w:spacing w:after="0"/>
              <w:rPr>
                <w:sz w:val="1"/>
                <w:szCs w:val="1"/>
                <w:color w:val="auto"/>
              </w:rPr>
            </w:pPr>
          </w:p>
        </w:tc>
      </w:tr>
      <w:tr>
        <w:trPr>
          <w:trHeight w:val="216"/>
        </w:trPr>
        <w:tc>
          <w:tcPr>
            <w:tcW w:w="2640" w:type="dxa"/>
            <w:vAlign w:val="bottom"/>
            <w:tcBorders>
              <w:right w:val="single" w:sz="8" w:color="D91E18"/>
            </w:tcBorders>
            <w:shd w:val="clear" w:color="auto" w:fill="E5E5E5"/>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the team that built LendingTree.com, a leader in online lending and e-commerce, and from 1999 to 2007 he</w:t>
            </w:r>
          </w:p>
        </w:tc>
        <w:tc>
          <w:tcPr>
            <w:tcW w:w="0" w:type="dxa"/>
            <w:vAlign w:val="bottom"/>
          </w:tcPr>
          <w:p>
            <w:pPr>
              <w:spacing w:after="0"/>
              <w:rPr>
                <w:sz w:val="1"/>
                <w:szCs w:val="1"/>
                <w:color w:val="auto"/>
              </w:rPr>
            </w:pPr>
          </w:p>
        </w:tc>
      </w:tr>
      <w:tr>
        <w:trPr>
          <w:trHeight w:val="216"/>
        </w:trPr>
        <w:tc>
          <w:tcPr>
            <w:tcW w:w="2640" w:type="dxa"/>
            <w:vAlign w:val="bottom"/>
            <w:tcBorders>
              <w:right w:val="single" w:sz="8" w:color="D91E18"/>
            </w:tcBorders>
            <w:shd w:val="clear" w:color="auto" w:fill="E5E5E5"/>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held various senior executive positions, including Chief Executive Officer, President &amp; Operating Officer,</w:t>
            </w:r>
          </w:p>
        </w:tc>
        <w:tc>
          <w:tcPr>
            <w:tcW w:w="0" w:type="dxa"/>
            <w:vAlign w:val="bottom"/>
          </w:tcPr>
          <w:p>
            <w:pPr>
              <w:spacing w:after="0"/>
              <w:rPr>
                <w:sz w:val="1"/>
                <w:szCs w:val="1"/>
                <w:color w:val="auto"/>
              </w:rPr>
            </w:pPr>
          </w:p>
        </w:tc>
      </w:tr>
      <w:tr>
        <w:trPr>
          <w:trHeight w:val="216"/>
        </w:trPr>
        <w:tc>
          <w:tcPr>
            <w:tcW w:w="2640" w:type="dxa"/>
            <w:vAlign w:val="bottom"/>
            <w:tcBorders>
              <w:right w:val="single" w:sz="8" w:color="D91E18"/>
            </w:tcBorders>
            <w:shd w:val="clear" w:color="auto" w:fill="E5E5E5"/>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and Chief Marketing Officer. Mr. Reddin also previously worked in the consumer goods industry, spending 5</w:t>
            </w:r>
          </w:p>
        </w:tc>
        <w:tc>
          <w:tcPr>
            <w:tcW w:w="0" w:type="dxa"/>
            <w:vAlign w:val="bottom"/>
          </w:tcPr>
          <w:p>
            <w:pPr>
              <w:spacing w:after="0"/>
              <w:rPr>
                <w:sz w:val="1"/>
                <w:szCs w:val="1"/>
                <w:color w:val="auto"/>
              </w:rPr>
            </w:pPr>
          </w:p>
        </w:tc>
      </w:tr>
      <w:tr>
        <w:trPr>
          <w:trHeight w:val="221"/>
        </w:trPr>
        <w:tc>
          <w:tcPr>
            <w:tcW w:w="2640" w:type="dxa"/>
            <w:vAlign w:val="bottom"/>
            <w:tcBorders>
              <w:right w:val="single" w:sz="8" w:color="D91E18"/>
            </w:tcBorders>
            <w:shd w:val="clear" w:color="auto" w:fill="E5E5E5"/>
          </w:tcPr>
          <w:p>
            <w:pPr>
              <w:ind w:left="40"/>
              <w:spacing w:after="0"/>
              <w:rPr>
                <w:sz w:val="20"/>
                <w:szCs w:val="20"/>
                <w:color w:val="auto"/>
              </w:rPr>
            </w:pPr>
            <w:r>
              <w:rPr>
                <w:rFonts w:ascii="Arial" w:cs="Arial" w:eastAsia="Arial" w:hAnsi="Arial"/>
                <w:sz w:val="18"/>
                <w:szCs w:val="18"/>
                <w:b w:val="1"/>
                <w:bCs w:val="1"/>
                <w:color w:val="auto"/>
              </w:rPr>
              <w:t>Independent Director</w:t>
            </w:r>
          </w:p>
        </w:tc>
        <w:tc>
          <w:tcPr>
            <w:tcW w:w="8620" w:type="dxa"/>
            <w:vAlign w:val="bottom"/>
          </w:tcPr>
          <w:p>
            <w:pPr>
              <w:spacing w:after="0"/>
              <w:rPr>
                <w:sz w:val="20"/>
                <w:szCs w:val="20"/>
                <w:color w:val="auto"/>
              </w:rPr>
            </w:pPr>
            <w:r>
              <w:rPr>
                <w:rFonts w:ascii="Arial" w:cs="Arial" w:eastAsia="Arial" w:hAnsi="Arial"/>
                <w:sz w:val="18"/>
                <w:szCs w:val="18"/>
                <w:color w:val="auto"/>
              </w:rPr>
              <w:t>years at Coca-Cola USA where he was responsible for the Coca-Cola brand and played a lead role in the</w:t>
            </w:r>
          </w:p>
        </w:tc>
        <w:tc>
          <w:tcPr>
            <w:tcW w:w="0" w:type="dxa"/>
            <w:vAlign w:val="bottom"/>
          </w:tcPr>
          <w:p>
            <w:pPr>
              <w:spacing w:after="0"/>
              <w:rPr>
                <w:sz w:val="1"/>
                <w:szCs w:val="1"/>
                <w:color w:val="auto"/>
              </w:rPr>
            </w:pPr>
          </w:p>
        </w:tc>
      </w:tr>
      <w:tr>
        <w:trPr>
          <w:trHeight w:val="211"/>
        </w:trPr>
        <w:tc>
          <w:tcPr>
            <w:tcW w:w="2640" w:type="dxa"/>
            <w:vAlign w:val="bottom"/>
            <w:tcBorders>
              <w:right w:val="single" w:sz="8" w:color="D91E18"/>
            </w:tcBorders>
            <w:vMerge w:val="restart"/>
            <w:shd w:val="clear" w:color="auto" w:fill="E5E5E5"/>
          </w:tcPr>
          <w:p>
            <w:pPr>
              <w:ind w:left="4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64</w:t>
            </w:r>
          </w:p>
        </w:tc>
        <w:tc>
          <w:tcPr>
            <w:tcW w:w="8620" w:type="dxa"/>
            <w:vAlign w:val="bottom"/>
          </w:tcPr>
          <w:p>
            <w:pPr>
              <w:spacing w:after="0"/>
              <w:rPr>
                <w:sz w:val="20"/>
                <w:szCs w:val="20"/>
                <w:color w:val="auto"/>
              </w:rPr>
            </w:pPr>
            <w:r>
              <w:rPr>
                <w:rFonts w:ascii="Arial" w:cs="Arial" w:eastAsia="Arial" w:hAnsi="Arial"/>
                <w:sz w:val="18"/>
                <w:szCs w:val="18"/>
                <w:color w:val="auto"/>
              </w:rPr>
              <w:t>company’s entry into the bottled water category. He also spent 12 years at Kraft General Foods in various</w:t>
            </w:r>
          </w:p>
        </w:tc>
        <w:tc>
          <w:tcPr>
            <w:tcW w:w="0" w:type="dxa"/>
            <w:vAlign w:val="bottom"/>
          </w:tcPr>
          <w:p>
            <w:pPr>
              <w:spacing w:after="0"/>
              <w:rPr>
                <w:sz w:val="1"/>
                <w:szCs w:val="1"/>
                <w:color w:val="auto"/>
              </w:rPr>
            </w:pPr>
          </w:p>
        </w:tc>
      </w:tr>
      <w:tr>
        <w:trPr>
          <w:trHeight w:val="216"/>
        </w:trPr>
        <w:tc>
          <w:tcPr>
            <w:tcW w:w="2640" w:type="dxa"/>
            <w:vAlign w:val="bottom"/>
            <w:tcBorders>
              <w:right w:val="single" w:sz="8" w:color="D91E18"/>
            </w:tcBorders>
            <w:vMerge w:val="continue"/>
            <w:shd w:val="clear" w:color="auto" w:fill="E5E5E5"/>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capacities related to brand management and finance. Mr. Reddin serves as a director, Chair of the</w:t>
            </w:r>
          </w:p>
        </w:tc>
        <w:tc>
          <w:tcPr>
            <w:tcW w:w="0" w:type="dxa"/>
            <w:vAlign w:val="bottom"/>
          </w:tcPr>
          <w:p>
            <w:pPr>
              <w:spacing w:after="0"/>
              <w:rPr>
                <w:sz w:val="1"/>
                <w:szCs w:val="1"/>
                <w:color w:val="auto"/>
              </w:rPr>
            </w:pPr>
          </w:p>
        </w:tc>
      </w:tr>
      <w:tr>
        <w:trPr>
          <w:trHeight w:val="221"/>
        </w:trPr>
        <w:tc>
          <w:tcPr>
            <w:tcW w:w="2640" w:type="dxa"/>
            <w:vAlign w:val="bottom"/>
            <w:tcBorders>
              <w:right w:val="single" w:sz="8" w:color="D91E18"/>
            </w:tcBorders>
            <w:shd w:val="clear" w:color="auto" w:fill="E5E5E5"/>
          </w:tcPr>
          <w:p>
            <w:pPr>
              <w:ind w:left="4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2014</w:t>
            </w:r>
          </w:p>
        </w:tc>
        <w:tc>
          <w:tcPr>
            <w:tcW w:w="8620" w:type="dxa"/>
            <w:vAlign w:val="bottom"/>
          </w:tcPr>
          <w:p>
            <w:pPr>
              <w:spacing w:after="0"/>
              <w:rPr>
                <w:sz w:val="20"/>
                <w:szCs w:val="20"/>
                <w:color w:val="auto"/>
              </w:rPr>
            </w:pPr>
            <w:r>
              <w:rPr>
                <w:rFonts w:ascii="Arial" w:cs="Arial" w:eastAsia="Arial" w:hAnsi="Arial"/>
                <w:sz w:val="18"/>
                <w:szCs w:val="18"/>
                <w:color w:val="auto"/>
              </w:rPr>
              <w:t>Compensation Committee, and member of the Nominating &amp; Governance Committee of Tanger, Inc. He</w:t>
            </w:r>
          </w:p>
        </w:tc>
        <w:tc>
          <w:tcPr>
            <w:tcW w:w="0" w:type="dxa"/>
            <w:vAlign w:val="bottom"/>
          </w:tcPr>
          <w:p>
            <w:pPr>
              <w:spacing w:after="0"/>
              <w:rPr>
                <w:sz w:val="1"/>
                <w:szCs w:val="1"/>
                <w:color w:val="auto"/>
              </w:rPr>
            </w:pPr>
          </w:p>
        </w:tc>
      </w:tr>
      <w:tr>
        <w:trPr>
          <w:trHeight w:val="211"/>
        </w:trPr>
        <w:tc>
          <w:tcPr>
            <w:tcW w:w="2640" w:type="dxa"/>
            <w:vAlign w:val="bottom"/>
            <w:tcBorders>
              <w:right w:val="single" w:sz="8" w:color="D91E18"/>
            </w:tcBorders>
            <w:vMerge w:val="restart"/>
            <w:shd w:val="clear" w:color="auto" w:fill="E5E5E5"/>
          </w:tcPr>
          <w:p>
            <w:pPr>
              <w:ind w:left="40"/>
              <w:spacing w:after="0"/>
              <w:rPr>
                <w:sz w:val="20"/>
                <w:szCs w:val="20"/>
                <w:color w:val="auto"/>
              </w:rPr>
            </w:pPr>
            <w:r>
              <w:rPr>
                <w:rFonts w:ascii="Arial" w:cs="Arial" w:eastAsia="Arial" w:hAnsi="Arial"/>
                <w:sz w:val="18"/>
                <w:szCs w:val="18"/>
                <w:b w:val="1"/>
                <w:bCs w:val="1"/>
                <w:color w:val="auto"/>
              </w:rPr>
              <w:t>Committees:</w:t>
            </w:r>
          </w:p>
        </w:tc>
        <w:tc>
          <w:tcPr>
            <w:tcW w:w="8620" w:type="dxa"/>
            <w:vAlign w:val="bottom"/>
          </w:tcPr>
          <w:p>
            <w:pPr>
              <w:spacing w:after="0"/>
              <w:rPr>
                <w:sz w:val="20"/>
                <w:szCs w:val="20"/>
                <w:color w:val="auto"/>
              </w:rPr>
            </w:pPr>
            <w:r>
              <w:rPr>
                <w:rFonts w:ascii="Arial" w:cs="Arial" w:eastAsia="Arial" w:hAnsi="Arial"/>
                <w:sz w:val="18"/>
                <w:szCs w:val="18"/>
                <w:color w:val="auto"/>
              </w:rPr>
              <w:t>also serves as a director, Chair of the Governance Committee and member of the Compensation</w:t>
            </w:r>
          </w:p>
        </w:tc>
        <w:tc>
          <w:tcPr>
            <w:tcW w:w="0" w:type="dxa"/>
            <w:vAlign w:val="bottom"/>
          </w:tcPr>
          <w:p>
            <w:pPr>
              <w:spacing w:after="0"/>
              <w:rPr>
                <w:sz w:val="1"/>
                <w:szCs w:val="1"/>
                <w:color w:val="auto"/>
              </w:rPr>
            </w:pPr>
          </w:p>
        </w:tc>
      </w:tr>
      <w:tr>
        <w:trPr>
          <w:trHeight w:val="216"/>
        </w:trPr>
        <w:tc>
          <w:tcPr>
            <w:tcW w:w="2640" w:type="dxa"/>
            <w:vAlign w:val="bottom"/>
            <w:tcBorders>
              <w:right w:val="single" w:sz="8" w:color="D91E18"/>
            </w:tcBorders>
            <w:vMerge w:val="continue"/>
            <w:shd w:val="clear" w:color="auto" w:fill="E5E5E5"/>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Committee of Deluxe Corporation. Mr. Reddin previously served on the board of Premier Farnell plc from</w:t>
            </w:r>
          </w:p>
        </w:tc>
        <w:tc>
          <w:tcPr>
            <w:tcW w:w="0" w:type="dxa"/>
            <w:vAlign w:val="bottom"/>
          </w:tcPr>
          <w:p>
            <w:pPr>
              <w:spacing w:after="0"/>
              <w:rPr>
                <w:sz w:val="1"/>
                <w:szCs w:val="1"/>
                <w:color w:val="auto"/>
              </w:rPr>
            </w:pPr>
          </w:p>
        </w:tc>
      </w:tr>
      <w:tr>
        <w:trPr>
          <w:trHeight w:val="221"/>
        </w:trPr>
        <w:tc>
          <w:tcPr>
            <w:tcW w:w="2640" w:type="dxa"/>
            <w:vAlign w:val="bottom"/>
            <w:tcBorders>
              <w:right w:val="single" w:sz="8" w:color="D91E18"/>
            </w:tcBorders>
            <w:shd w:val="clear" w:color="auto" w:fill="E5E5E5"/>
          </w:tcPr>
          <w:p>
            <w:pPr>
              <w:ind w:left="40"/>
              <w:spacing w:after="0"/>
              <w:rPr>
                <w:sz w:val="20"/>
                <w:szCs w:val="20"/>
                <w:color w:val="auto"/>
              </w:rPr>
            </w:pPr>
            <w:r>
              <w:rPr>
                <w:rFonts w:ascii="Arial" w:cs="Arial" w:eastAsia="Arial" w:hAnsi="Arial"/>
                <w:sz w:val="18"/>
                <w:szCs w:val="18"/>
                <w:color w:val="auto"/>
              </w:rPr>
              <w:t>– Capital Allocation &amp; Risk</w:t>
            </w:r>
          </w:p>
        </w:tc>
        <w:tc>
          <w:tcPr>
            <w:tcW w:w="8620" w:type="dxa"/>
            <w:vAlign w:val="bottom"/>
          </w:tcPr>
          <w:p>
            <w:pPr>
              <w:spacing w:after="0"/>
              <w:rPr>
                <w:sz w:val="20"/>
                <w:szCs w:val="20"/>
                <w:color w:val="auto"/>
              </w:rPr>
            </w:pPr>
            <w:r>
              <w:rPr>
                <w:rFonts w:ascii="Arial" w:cs="Arial" w:eastAsia="Arial" w:hAnsi="Arial"/>
                <w:sz w:val="18"/>
                <w:szCs w:val="18"/>
                <w:color w:val="auto"/>
              </w:rPr>
              <w:t>September 2010 to October 2016, on the Board of Valassis Communications Inc. from July 2010 to</w:t>
            </w:r>
          </w:p>
        </w:tc>
        <w:tc>
          <w:tcPr>
            <w:tcW w:w="0" w:type="dxa"/>
            <w:vAlign w:val="bottom"/>
          </w:tcPr>
          <w:p>
            <w:pPr>
              <w:spacing w:after="0"/>
              <w:rPr>
                <w:sz w:val="1"/>
                <w:szCs w:val="1"/>
                <w:color w:val="auto"/>
              </w:rPr>
            </w:pPr>
          </w:p>
        </w:tc>
      </w:tr>
      <w:tr>
        <w:trPr>
          <w:trHeight w:val="274"/>
        </w:trPr>
        <w:tc>
          <w:tcPr>
            <w:tcW w:w="2640" w:type="dxa"/>
            <w:vAlign w:val="bottom"/>
            <w:tcBorders>
              <w:right w:val="single" w:sz="8" w:color="D91E18"/>
            </w:tcBorders>
            <w:shd w:val="clear" w:color="auto" w:fill="E5E5E5"/>
          </w:tcPr>
          <w:p>
            <w:pPr>
              <w:ind w:left="200"/>
              <w:spacing w:after="0"/>
              <w:rPr>
                <w:sz w:val="20"/>
                <w:szCs w:val="20"/>
                <w:color w:val="auto"/>
              </w:rPr>
            </w:pPr>
            <w:r>
              <w:rPr>
                <w:rFonts w:ascii="Arial" w:cs="Arial" w:eastAsia="Arial" w:hAnsi="Arial"/>
                <w:sz w:val="18"/>
                <w:szCs w:val="18"/>
                <w:color w:val="auto"/>
              </w:rPr>
              <w:t>Management</w:t>
            </w:r>
          </w:p>
        </w:tc>
        <w:tc>
          <w:tcPr>
            <w:tcW w:w="8620" w:type="dxa"/>
            <w:vAlign w:val="bottom"/>
          </w:tcPr>
          <w:p>
            <w:pPr>
              <w:spacing w:after="0"/>
              <w:rPr>
                <w:sz w:val="20"/>
                <w:szCs w:val="20"/>
                <w:color w:val="auto"/>
              </w:rPr>
            </w:pPr>
            <w:r>
              <w:rPr>
                <w:rFonts w:ascii="Arial" w:cs="Arial" w:eastAsia="Arial" w:hAnsi="Arial"/>
                <w:sz w:val="18"/>
                <w:szCs w:val="18"/>
                <w:color w:val="auto"/>
              </w:rPr>
              <w:t>February 2014 and on the board of R.H. Donnelley from July 2007 to January 2010.</w:t>
            </w:r>
          </w:p>
        </w:tc>
        <w:tc>
          <w:tcPr>
            <w:tcW w:w="0" w:type="dxa"/>
            <w:vAlign w:val="bottom"/>
          </w:tcPr>
          <w:p>
            <w:pPr>
              <w:spacing w:after="0"/>
              <w:rPr>
                <w:sz w:val="1"/>
                <w:szCs w:val="1"/>
                <w:color w:val="auto"/>
              </w:rPr>
            </w:pPr>
          </w:p>
        </w:tc>
      </w:tr>
      <w:tr>
        <w:trPr>
          <w:trHeight w:val="274"/>
        </w:trPr>
        <w:tc>
          <w:tcPr>
            <w:tcW w:w="2640" w:type="dxa"/>
            <w:vAlign w:val="bottom"/>
            <w:tcBorders>
              <w:right w:val="single" w:sz="8" w:color="D91E18"/>
            </w:tcBorders>
            <w:shd w:val="clear" w:color="auto" w:fill="E5E5E5"/>
          </w:tcPr>
          <w:p>
            <w:pPr>
              <w:ind w:left="40"/>
              <w:spacing w:after="0"/>
              <w:rPr>
                <w:sz w:val="20"/>
                <w:szCs w:val="20"/>
                <w:color w:val="auto"/>
              </w:rPr>
            </w:pPr>
            <w:r>
              <w:rPr>
                <w:rFonts w:ascii="Arial" w:cs="Arial" w:eastAsia="Arial" w:hAnsi="Arial"/>
                <w:sz w:val="18"/>
                <w:szCs w:val="18"/>
                <w:color w:val="auto"/>
              </w:rPr>
              <w:t>– Compensation &amp; Human</w:t>
            </w:r>
          </w:p>
        </w:tc>
        <w:tc>
          <w:tcPr>
            <w:tcW w:w="8620" w:type="dxa"/>
            <w:vAlign w:val="bottom"/>
          </w:tcPr>
          <w:p>
            <w:pPr>
              <w:spacing w:after="0"/>
              <w:rPr>
                <w:sz w:val="20"/>
                <w:szCs w:val="20"/>
                <w:color w:val="auto"/>
              </w:rPr>
            </w:pPr>
            <w:r>
              <w:rPr>
                <w:rFonts w:ascii="Arial" w:cs="Arial" w:eastAsia="Arial" w:hAnsi="Arial"/>
                <w:sz w:val="18"/>
                <w:szCs w:val="18"/>
                <w:color w:val="auto"/>
              </w:rPr>
              <w:t>Mr. Reddin brings over 30 years of executive and management experience in consumer marketing, e-</w:t>
            </w:r>
          </w:p>
        </w:tc>
        <w:tc>
          <w:tcPr>
            <w:tcW w:w="0" w:type="dxa"/>
            <w:vAlign w:val="bottom"/>
          </w:tcPr>
          <w:p>
            <w:pPr>
              <w:spacing w:after="0"/>
              <w:rPr>
                <w:sz w:val="1"/>
                <w:szCs w:val="1"/>
                <w:color w:val="auto"/>
              </w:rPr>
            </w:pPr>
          </w:p>
        </w:tc>
      </w:tr>
      <w:tr>
        <w:trPr>
          <w:trHeight w:val="216"/>
        </w:trPr>
        <w:tc>
          <w:tcPr>
            <w:tcW w:w="2640" w:type="dxa"/>
            <w:vAlign w:val="bottom"/>
            <w:tcBorders>
              <w:right w:val="single" w:sz="8" w:color="D91E18"/>
            </w:tcBorders>
            <w:shd w:val="clear" w:color="auto" w:fill="E5E5E5"/>
          </w:tcPr>
          <w:p>
            <w:pPr>
              <w:ind w:left="200"/>
              <w:spacing w:after="0"/>
              <w:rPr>
                <w:sz w:val="20"/>
                <w:szCs w:val="20"/>
                <w:color w:val="auto"/>
              </w:rPr>
            </w:pPr>
            <w:r>
              <w:rPr>
                <w:rFonts w:ascii="Arial" w:cs="Arial" w:eastAsia="Arial" w:hAnsi="Arial"/>
                <w:sz w:val="18"/>
                <w:szCs w:val="18"/>
                <w:color w:val="auto"/>
              </w:rPr>
              <w:t>Resources</w:t>
            </w:r>
          </w:p>
        </w:tc>
        <w:tc>
          <w:tcPr>
            <w:tcW w:w="8620" w:type="dxa"/>
            <w:vAlign w:val="bottom"/>
          </w:tcPr>
          <w:p>
            <w:pPr>
              <w:spacing w:after="0"/>
              <w:rPr>
                <w:sz w:val="20"/>
                <w:szCs w:val="20"/>
                <w:color w:val="auto"/>
              </w:rPr>
            </w:pPr>
            <w:r>
              <w:rPr>
                <w:rFonts w:ascii="Arial" w:cs="Arial" w:eastAsia="Arial" w:hAnsi="Arial"/>
                <w:sz w:val="18"/>
                <w:szCs w:val="18"/>
                <w:color w:val="auto"/>
              </w:rPr>
              <w:t>commerce and lending, and has spent 17 years in brand management and finance capacities in his</w:t>
            </w:r>
          </w:p>
        </w:tc>
        <w:tc>
          <w:tcPr>
            <w:tcW w:w="0" w:type="dxa"/>
            <w:vAlign w:val="bottom"/>
          </w:tcPr>
          <w:p>
            <w:pPr>
              <w:spacing w:after="0"/>
              <w:rPr>
                <w:sz w:val="1"/>
                <w:szCs w:val="1"/>
                <w:color w:val="auto"/>
              </w:rPr>
            </w:pPr>
          </w:p>
        </w:tc>
      </w:tr>
      <w:tr>
        <w:trPr>
          <w:trHeight w:val="216"/>
        </w:trPr>
        <w:tc>
          <w:tcPr>
            <w:tcW w:w="2640" w:type="dxa"/>
            <w:vAlign w:val="bottom"/>
            <w:tcBorders>
              <w:right w:val="single" w:sz="8" w:color="D91E18"/>
            </w:tcBorders>
            <w:vMerge w:val="restart"/>
            <w:shd w:val="clear" w:color="auto" w:fill="E5E5E5"/>
          </w:tcPr>
          <w:p>
            <w:pPr>
              <w:ind w:left="40"/>
              <w:spacing w:after="0"/>
              <w:rPr>
                <w:sz w:val="20"/>
                <w:szCs w:val="20"/>
                <w:color w:val="auto"/>
              </w:rPr>
            </w:pPr>
            <w:r>
              <w:rPr>
                <w:rFonts w:ascii="Arial" w:cs="Arial" w:eastAsia="Arial" w:hAnsi="Arial"/>
                <w:sz w:val="18"/>
                <w:szCs w:val="18"/>
                <w:color w:val="auto"/>
              </w:rPr>
              <w:t>– Governance &amp; Nominating</w:t>
            </w:r>
          </w:p>
        </w:tc>
        <w:tc>
          <w:tcPr>
            <w:tcW w:w="8620" w:type="dxa"/>
            <w:vAlign w:val="bottom"/>
          </w:tcPr>
          <w:p>
            <w:pPr>
              <w:spacing w:after="0"/>
              <w:rPr>
                <w:sz w:val="20"/>
                <w:szCs w:val="20"/>
                <w:color w:val="auto"/>
              </w:rPr>
            </w:pPr>
            <w:r>
              <w:rPr>
                <w:rFonts w:ascii="Arial" w:cs="Arial" w:eastAsia="Arial" w:hAnsi="Arial"/>
                <w:sz w:val="18"/>
                <w:szCs w:val="18"/>
                <w:color w:val="auto"/>
              </w:rPr>
              <w:t>previous roles. He also has cybersecurity experience as evidenced by a CERT Certification in</w:t>
            </w:r>
          </w:p>
        </w:tc>
        <w:tc>
          <w:tcPr>
            <w:tcW w:w="0" w:type="dxa"/>
            <w:vAlign w:val="bottom"/>
          </w:tcPr>
          <w:p>
            <w:pPr>
              <w:spacing w:after="0"/>
              <w:rPr>
                <w:sz w:val="1"/>
                <w:szCs w:val="1"/>
                <w:color w:val="auto"/>
              </w:rPr>
            </w:pPr>
          </w:p>
        </w:tc>
      </w:tr>
      <w:tr>
        <w:trPr>
          <w:trHeight w:val="158"/>
        </w:trPr>
        <w:tc>
          <w:tcPr>
            <w:tcW w:w="2640" w:type="dxa"/>
            <w:vAlign w:val="bottom"/>
            <w:tcBorders>
              <w:right w:val="single" w:sz="8" w:color="D91E18"/>
            </w:tcBorders>
            <w:vMerge w:val="continue"/>
            <w:shd w:val="clear" w:color="auto" w:fill="E5E5E5"/>
          </w:tcPr>
          <w:p>
            <w:pPr>
              <w:spacing w:after="0"/>
              <w:rPr>
                <w:sz w:val="13"/>
                <w:szCs w:val="13"/>
                <w:color w:val="auto"/>
              </w:rPr>
            </w:pPr>
          </w:p>
        </w:tc>
        <w:tc>
          <w:tcPr>
            <w:tcW w:w="8620" w:type="dxa"/>
            <w:vAlign w:val="bottom"/>
            <w:vMerge w:val="restart"/>
          </w:tcPr>
          <w:p>
            <w:pPr>
              <w:spacing w:after="0"/>
              <w:rPr>
                <w:sz w:val="20"/>
                <w:szCs w:val="20"/>
                <w:color w:val="auto"/>
              </w:rPr>
            </w:pPr>
            <w:r>
              <w:rPr>
                <w:rFonts w:ascii="Arial" w:cs="Arial" w:eastAsia="Arial" w:hAnsi="Arial"/>
                <w:sz w:val="18"/>
                <w:szCs w:val="18"/>
                <w:color w:val="auto"/>
              </w:rPr>
              <w:t>Cybersecurity Oversight, which he obtained from Carnegie Mellon University, Software Engineering</w:t>
            </w:r>
          </w:p>
        </w:tc>
        <w:tc>
          <w:tcPr>
            <w:tcW w:w="0" w:type="dxa"/>
            <w:vAlign w:val="bottom"/>
          </w:tcPr>
          <w:p>
            <w:pPr>
              <w:spacing w:after="0"/>
              <w:rPr>
                <w:sz w:val="1"/>
                <w:szCs w:val="1"/>
                <w:color w:val="auto"/>
              </w:rPr>
            </w:pPr>
          </w:p>
        </w:tc>
      </w:tr>
      <w:tr>
        <w:trPr>
          <w:trHeight w:val="58"/>
        </w:trPr>
        <w:tc>
          <w:tcPr>
            <w:tcW w:w="2640" w:type="dxa"/>
            <w:vAlign w:val="bottom"/>
            <w:tcBorders>
              <w:right w:val="single" w:sz="8" w:color="D91E18"/>
            </w:tcBorders>
            <w:shd w:val="clear" w:color="auto" w:fill="E5E5E5"/>
          </w:tcPr>
          <w:p>
            <w:pPr>
              <w:spacing w:after="0"/>
              <w:rPr>
                <w:sz w:val="5"/>
                <w:szCs w:val="5"/>
                <w:color w:val="auto"/>
              </w:rPr>
            </w:pPr>
          </w:p>
        </w:tc>
        <w:tc>
          <w:tcPr>
            <w:tcW w:w="8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640" w:type="dxa"/>
            <w:vAlign w:val="bottom"/>
            <w:tcBorders>
              <w:right w:val="single" w:sz="8" w:color="D91E18"/>
            </w:tcBorders>
            <w:shd w:val="clear" w:color="auto" w:fill="E5E5E5"/>
          </w:tcPr>
          <w:p>
            <w:pPr>
              <w:ind w:left="40"/>
              <w:spacing w:after="0"/>
              <w:rPr>
                <w:sz w:val="20"/>
                <w:szCs w:val="20"/>
                <w:color w:val="auto"/>
              </w:rPr>
            </w:pPr>
            <w:r>
              <w:rPr>
                <w:rFonts w:ascii="Arial" w:cs="Arial" w:eastAsia="Arial" w:hAnsi="Arial"/>
                <w:sz w:val="18"/>
                <w:szCs w:val="18"/>
                <w:color w:val="auto"/>
              </w:rPr>
              <w:t>– Executive</w:t>
            </w:r>
          </w:p>
        </w:tc>
        <w:tc>
          <w:tcPr>
            <w:tcW w:w="8620" w:type="dxa"/>
            <w:vAlign w:val="bottom"/>
          </w:tcPr>
          <w:p>
            <w:pPr>
              <w:spacing w:after="0"/>
              <w:rPr>
                <w:sz w:val="20"/>
                <w:szCs w:val="20"/>
                <w:color w:val="auto"/>
              </w:rPr>
            </w:pPr>
            <w:r>
              <w:rPr>
                <w:rFonts w:ascii="Arial" w:cs="Arial" w:eastAsia="Arial" w:hAnsi="Arial"/>
                <w:sz w:val="18"/>
                <w:szCs w:val="18"/>
                <w:color w:val="auto"/>
              </w:rPr>
              <w:t>Institute. His extensive experience in emerging digital technology provides a significant insight into sales</w:t>
            </w:r>
          </w:p>
        </w:tc>
        <w:tc>
          <w:tcPr>
            <w:tcW w:w="0" w:type="dxa"/>
            <w:vAlign w:val="bottom"/>
          </w:tcPr>
          <w:p>
            <w:pPr>
              <w:spacing w:after="0"/>
              <w:rPr>
                <w:sz w:val="1"/>
                <w:szCs w:val="1"/>
                <w:color w:val="auto"/>
              </w:rPr>
            </w:pPr>
          </w:p>
        </w:tc>
      </w:tr>
      <w:tr>
        <w:trPr>
          <w:trHeight w:val="216"/>
        </w:trPr>
        <w:tc>
          <w:tcPr>
            <w:tcW w:w="2640" w:type="dxa"/>
            <w:vAlign w:val="bottom"/>
            <w:tcBorders>
              <w:right w:val="single" w:sz="8" w:color="D91E18"/>
            </w:tcBorders>
            <w:vMerge w:val="restart"/>
            <w:shd w:val="clear" w:color="auto" w:fill="E5E5E5"/>
          </w:tcPr>
          <w:p>
            <w:pPr>
              <w:ind w:left="40"/>
              <w:spacing w:after="0"/>
              <w:rPr>
                <w:sz w:val="20"/>
                <w:szCs w:val="20"/>
                <w:color w:val="auto"/>
              </w:rPr>
            </w:pPr>
            <w:r>
              <w:rPr>
                <w:rFonts w:ascii="Arial" w:cs="Arial" w:eastAsia="Arial" w:hAnsi="Arial"/>
                <w:sz w:val="18"/>
                <w:szCs w:val="18"/>
                <w:color w:val="auto"/>
              </w:rPr>
              <w:t>– Transaction</w:t>
            </w:r>
          </w:p>
        </w:tc>
        <w:tc>
          <w:tcPr>
            <w:tcW w:w="8620" w:type="dxa"/>
            <w:vAlign w:val="bottom"/>
          </w:tcPr>
          <w:p>
            <w:pPr>
              <w:spacing w:after="0"/>
              <w:rPr>
                <w:sz w:val="20"/>
                <w:szCs w:val="20"/>
                <w:color w:val="auto"/>
              </w:rPr>
            </w:pPr>
            <w:r>
              <w:rPr>
                <w:rFonts w:ascii="Arial" w:cs="Arial" w:eastAsia="Arial" w:hAnsi="Arial"/>
                <w:sz w:val="18"/>
                <w:szCs w:val="18"/>
                <w:color w:val="auto"/>
              </w:rPr>
              <w:t>and marketing which are critical to the automotive retail industry. In addition, given his current and past</w:t>
            </w:r>
          </w:p>
        </w:tc>
        <w:tc>
          <w:tcPr>
            <w:tcW w:w="0" w:type="dxa"/>
            <w:vAlign w:val="bottom"/>
          </w:tcPr>
          <w:p>
            <w:pPr>
              <w:spacing w:after="0"/>
              <w:rPr>
                <w:sz w:val="1"/>
                <w:szCs w:val="1"/>
                <w:color w:val="auto"/>
              </w:rPr>
            </w:pPr>
          </w:p>
        </w:tc>
      </w:tr>
      <w:tr>
        <w:trPr>
          <w:trHeight w:val="158"/>
        </w:trPr>
        <w:tc>
          <w:tcPr>
            <w:tcW w:w="2640" w:type="dxa"/>
            <w:vAlign w:val="bottom"/>
            <w:tcBorders>
              <w:right w:val="single" w:sz="8" w:color="D91E18"/>
            </w:tcBorders>
            <w:vMerge w:val="continue"/>
            <w:shd w:val="clear" w:color="auto" w:fill="E5E5E5"/>
          </w:tcPr>
          <w:p>
            <w:pPr>
              <w:spacing w:after="0"/>
              <w:rPr>
                <w:sz w:val="13"/>
                <w:szCs w:val="13"/>
                <w:color w:val="auto"/>
              </w:rPr>
            </w:pPr>
          </w:p>
        </w:tc>
        <w:tc>
          <w:tcPr>
            <w:tcW w:w="8620" w:type="dxa"/>
            <w:vAlign w:val="bottom"/>
            <w:vMerge w:val="restart"/>
          </w:tcPr>
          <w:p>
            <w:pPr>
              <w:spacing w:after="0"/>
              <w:rPr>
                <w:sz w:val="20"/>
                <w:szCs w:val="20"/>
                <w:color w:val="auto"/>
              </w:rPr>
            </w:pPr>
            <w:r>
              <w:rPr>
                <w:rFonts w:ascii="Arial" w:cs="Arial" w:eastAsia="Arial" w:hAnsi="Arial"/>
                <w:sz w:val="18"/>
                <w:szCs w:val="18"/>
                <w:color w:val="auto"/>
              </w:rPr>
              <w:t>experience serving as a director of public companies, the Board has determined that he has a broad range</w:t>
            </w:r>
          </w:p>
        </w:tc>
        <w:tc>
          <w:tcPr>
            <w:tcW w:w="0" w:type="dxa"/>
            <w:vAlign w:val="bottom"/>
          </w:tcPr>
          <w:p>
            <w:pPr>
              <w:spacing w:after="0"/>
              <w:rPr>
                <w:sz w:val="1"/>
                <w:szCs w:val="1"/>
                <w:color w:val="auto"/>
              </w:rPr>
            </w:pPr>
          </w:p>
        </w:tc>
      </w:tr>
      <w:tr>
        <w:trPr>
          <w:trHeight w:val="58"/>
        </w:trPr>
        <w:tc>
          <w:tcPr>
            <w:tcW w:w="2640" w:type="dxa"/>
            <w:vAlign w:val="bottom"/>
            <w:tcBorders>
              <w:right w:val="single" w:sz="8" w:color="D91E18"/>
            </w:tcBorders>
            <w:shd w:val="clear" w:color="auto" w:fill="E5E5E5"/>
          </w:tcPr>
          <w:p>
            <w:pPr>
              <w:spacing w:after="0"/>
              <w:rPr>
                <w:sz w:val="5"/>
                <w:szCs w:val="5"/>
                <w:color w:val="auto"/>
              </w:rPr>
            </w:pPr>
          </w:p>
        </w:tc>
        <w:tc>
          <w:tcPr>
            <w:tcW w:w="8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640" w:type="dxa"/>
            <w:vAlign w:val="bottom"/>
            <w:tcBorders>
              <w:right w:val="single" w:sz="8" w:color="D91E18"/>
            </w:tcBorders>
            <w:shd w:val="clear" w:color="auto" w:fill="E5E5E5"/>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of experience as a director and a deep understanding of board oversight upon which to draw as he serves</w:t>
            </w:r>
          </w:p>
        </w:tc>
        <w:tc>
          <w:tcPr>
            <w:tcW w:w="0" w:type="dxa"/>
            <w:vAlign w:val="bottom"/>
          </w:tcPr>
          <w:p>
            <w:pPr>
              <w:spacing w:after="0"/>
              <w:rPr>
                <w:sz w:val="1"/>
                <w:szCs w:val="1"/>
                <w:color w:val="auto"/>
              </w:rPr>
            </w:pPr>
          </w:p>
        </w:tc>
      </w:tr>
      <w:tr>
        <w:trPr>
          <w:trHeight w:val="216"/>
        </w:trPr>
        <w:tc>
          <w:tcPr>
            <w:tcW w:w="2640" w:type="dxa"/>
            <w:vAlign w:val="bottom"/>
            <w:tcBorders>
              <w:right w:val="single" w:sz="8" w:color="D91E18"/>
            </w:tcBorders>
            <w:shd w:val="clear" w:color="auto" w:fill="E5E5E5"/>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as the Non-Executive Board Chair, and as a member of our Governance &amp; Nominating Committee,</w:t>
            </w:r>
          </w:p>
        </w:tc>
        <w:tc>
          <w:tcPr>
            <w:tcW w:w="0" w:type="dxa"/>
            <w:vAlign w:val="bottom"/>
          </w:tcPr>
          <w:p>
            <w:pPr>
              <w:spacing w:after="0"/>
              <w:rPr>
                <w:sz w:val="1"/>
                <w:szCs w:val="1"/>
                <w:color w:val="auto"/>
              </w:rPr>
            </w:pPr>
          </w:p>
        </w:tc>
      </w:tr>
      <w:tr>
        <w:trPr>
          <w:trHeight w:val="216"/>
        </w:trPr>
        <w:tc>
          <w:tcPr>
            <w:tcW w:w="2640" w:type="dxa"/>
            <w:vAlign w:val="bottom"/>
            <w:tcBorders>
              <w:right w:val="single" w:sz="8" w:color="D91E18"/>
            </w:tcBorders>
            <w:shd w:val="clear" w:color="auto" w:fill="E5E5E5"/>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Compensation &amp; Human Resources Committee, Capital Allocation &amp; Risk Management Committee,</w:t>
            </w:r>
          </w:p>
        </w:tc>
        <w:tc>
          <w:tcPr>
            <w:tcW w:w="0" w:type="dxa"/>
            <w:vAlign w:val="bottom"/>
          </w:tcPr>
          <w:p>
            <w:pPr>
              <w:spacing w:after="0"/>
              <w:rPr>
                <w:sz w:val="1"/>
                <w:szCs w:val="1"/>
                <w:color w:val="auto"/>
              </w:rPr>
            </w:pPr>
          </w:p>
        </w:tc>
      </w:tr>
      <w:tr>
        <w:trPr>
          <w:trHeight w:val="239"/>
        </w:trPr>
        <w:tc>
          <w:tcPr>
            <w:tcW w:w="2640" w:type="dxa"/>
            <w:vAlign w:val="bottom"/>
            <w:tcBorders>
              <w:right w:val="single" w:sz="8" w:color="D91E18"/>
            </w:tcBorders>
            <w:shd w:val="clear" w:color="auto" w:fill="E5E5E5"/>
          </w:tcPr>
          <w:p>
            <w:pPr>
              <w:spacing w:after="0"/>
              <w:rPr>
                <w:sz w:val="20"/>
                <w:szCs w:val="20"/>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Executive Committee and Transaction Committee.</w:t>
            </w:r>
          </w:p>
        </w:tc>
        <w:tc>
          <w:tcPr>
            <w:tcW w:w="0" w:type="dxa"/>
            <w:vAlign w:val="bottom"/>
          </w:tcPr>
          <w:p>
            <w:pPr>
              <w:spacing w:after="0"/>
              <w:rPr>
                <w:sz w:val="1"/>
                <w:szCs w:val="1"/>
                <w:color w:val="auto"/>
              </w:rPr>
            </w:pPr>
          </w:p>
        </w:tc>
      </w:tr>
      <w:tr>
        <w:trPr>
          <w:trHeight w:val="131"/>
        </w:trPr>
        <w:tc>
          <w:tcPr>
            <w:tcW w:w="2640" w:type="dxa"/>
            <w:vAlign w:val="bottom"/>
            <w:tcBorders>
              <w:bottom w:val="single" w:sz="8" w:color="D91E18"/>
              <w:right w:val="single" w:sz="8" w:color="D91E18"/>
            </w:tcBorders>
            <w:shd w:val="clear" w:color="auto" w:fill="E5E5E5"/>
          </w:tcPr>
          <w:p>
            <w:pPr>
              <w:spacing w:after="0"/>
              <w:rPr>
                <w:sz w:val="11"/>
                <w:szCs w:val="11"/>
                <w:color w:val="auto"/>
              </w:rPr>
            </w:pPr>
          </w:p>
        </w:tc>
        <w:tc>
          <w:tcPr>
            <w:tcW w:w="8620" w:type="dxa"/>
            <w:vAlign w:val="bottom"/>
            <w:tcBorders>
              <w:bottom w:val="single" w:sz="8" w:color="D91E18"/>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9"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FFFFFF"/>
        </w:rPr>
        <w:t>Joel Alsfine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40575" cy="27946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0575" cy="2794635"/>
                    </a:xfrm>
                    <a:prstGeom prst="rect">
                      <a:avLst/>
                    </a:prstGeom>
                    <a:noFill/>
                  </pic:spPr>
                </pic:pic>
              </a:graphicData>
            </a:graphic>
          </wp:anchor>
        </w:drawing>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640" w:type="dxa"/>
            <w:vAlign w:val="bottom"/>
            <w:tcBorders>
              <w:top w:val="single" w:sz="8" w:color="D91E18"/>
              <w:right w:val="single" w:sz="8" w:color="D91E18"/>
            </w:tcBorders>
            <w:shd w:val="clear" w:color="auto" w:fill="E5E5E5"/>
          </w:tcPr>
          <w:p>
            <w:pPr>
              <w:spacing w:after="0"/>
              <w:rPr>
                <w:sz w:val="18"/>
                <w:szCs w:val="18"/>
                <w:color w:val="auto"/>
              </w:rPr>
            </w:pPr>
          </w:p>
        </w:tc>
        <w:tc>
          <w:tcPr>
            <w:tcW w:w="8620" w:type="dxa"/>
            <w:vAlign w:val="bottom"/>
            <w:tcBorders>
              <w:top w:val="single" w:sz="8" w:color="D91E18"/>
            </w:tcBorders>
          </w:tcPr>
          <w:p>
            <w:pPr>
              <w:spacing w:after="0"/>
              <w:rPr>
                <w:sz w:val="20"/>
                <w:szCs w:val="20"/>
                <w:color w:val="auto"/>
              </w:rPr>
            </w:pPr>
            <w:r>
              <w:rPr>
                <w:rFonts w:ascii="Arial" w:cs="Arial" w:eastAsia="Arial" w:hAnsi="Arial"/>
                <w:sz w:val="18"/>
                <w:szCs w:val="18"/>
                <w:color w:val="auto"/>
              </w:rPr>
              <w:t>Mr. Alsfine is the Chief Investment Officer of Rugger Management, LLC. Prior to joining Rugger</w:t>
            </w:r>
          </w:p>
        </w:tc>
        <w:tc>
          <w:tcPr>
            <w:tcW w:w="0" w:type="dxa"/>
            <w:vAlign w:val="bottom"/>
          </w:tcPr>
          <w:p>
            <w:pPr>
              <w:spacing w:after="0"/>
              <w:rPr>
                <w:sz w:val="1"/>
                <w:szCs w:val="1"/>
                <w:color w:val="auto"/>
              </w:rPr>
            </w:pPr>
          </w:p>
        </w:tc>
      </w:tr>
      <w:tr>
        <w:trPr>
          <w:trHeight w:val="216"/>
        </w:trPr>
        <w:tc>
          <w:tcPr>
            <w:tcW w:w="2640" w:type="dxa"/>
            <w:vAlign w:val="bottom"/>
            <w:tcBorders>
              <w:right w:val="single" w:sz="8" w:color="D91E18"/>
            </w:tcBorders>
            <w:shd w:val="clear" w:color="auto" w:fill="E5E5E5"/>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Management, LLC, Mr. Alsfine spent 21 years with MSD Capital L.P., the investment firm formed in 1998 to</w:t>
            </w:r>
          </w:p>
        </w:tc>
        <w:tc>
          <w:tcPr>
            <w:tcW w:w="0" w:type="dxa"/>
            <w:vAlign w:val="bottom"/>
          </w:tcPr>
          <w:p>
            <w:pPr>
              <w:spacing w:after="0"/>
              <w:rPr>
                <w:sz w:val="1"/>
                <w:szCs w:val="1"/>
                <w:color w:val="auto"/>
              </w:rPr>
            </w:pPr>
          </w:p>
        </w:tc>
      </w:tr>
      <w:tr>
        <w:trPr>
          <w:trHeight w:val="216"/>
        </w:trPr>
        <w:tc>
          <w:tcPr>
            <w:tcW w:w="2640" w:type="dxa"/>
            <w:vAlign w:val="bottom"/>
            <w:tcBorders>
              <w:right w:val="single" w:sz="8" w:color="D91E18"/>
            </w:tcBorders>
            <w:shd w:val="clear" w:color="auto" w:fill="E5E5E5"/>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exclusively manage the capital of Michael Dell and his family. Mr. Alsfine joined MSD Capital L.P. in 2002,</w:t>
            </w:r>
          </w:p>
        </w:tc>
        <w:tc>
          <w:tcPr>
            <w:tcW w:w="0" w:type="dxa"/>
            <w:vAlign w:val="bottom"/>
          </w:tcPr>
          <w:p>
            <w:pPr>
              <w:spacing w:after="0"/>
              <w:rPr>
                <w:sz w:val="1"/>
                <w:szCs w:val="1"/>
                <w:color w:val="auto"/>
              </w:rPr>
            </w:pPr>
          </w:p>
        </w:tc>
      </w:tr>
      <w:tr>
        <w:trPr>
          <w:trHeight w:val="216"/>
        </w:trPr>
        <w:tc>
          <w:tcPr>
            <w:tcW w:w="2640" w:type="dxa"/>
            <w:vAlign w:val="bottom"/>
            <w:tcBorders>
              <w:right w:val="single" w:sz="8" w:color="D91E18"/>
            </w:tcBorders>
            <w:shd w:val="clear" w:color="auto" w:fill="E5E5E5"/>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served as a partner from 2014 to 2020 and as senior advisor from 2020 to 2023. From 2000 to 2002, Mr.</w:t>
            </w:r>
          </w:p>
        </w:tc>
        <w:tc>
          <w:tcPr>
            <w:tcW w:w="0" w:type="dxa"/>
            <w:vAlign w:val="bottom"/>
          </w:tcPr>
          <w:p>
            <w:pPr>
              <w:spacing w:after="0"/>
              <w:rPr>
                <w:sz w:val="1"/>
                <w:szCs w:val="1"/>
                <w:color w:val="auto"/>
              </w:rPr>
            </w:pPr>
          </w:p>
        </w:tc>
      </w:tr>
      <w:tr>
        <w:trPr>
          <w:trHeight w:val="216"/>
        </w:trPr>
        <w:tc>
          <w:tcPr>
            <w:tcW w:w="2640" w:type="dxa"/>
            <w:vAlign w:val="bottom"/>
            <w:tcBorders>
              <w:right w:val="single" w:sz="8" w:color="D91E18"/>
            </w:tcBorders>
            <w:shd w:val="clear" w:color="auto" w:fill="E5E5E5"/>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Alsfine was Managing Director of TG Capital Corp. in Florida. Prior to 2000, he held the post of</w:t>
            </w:r>
          </w:p>
        </w:tc>
        <w:tc>
          <w:tcPr>
            <w:tcW w:w="0" w:type="dxa"/>
            <w:vAlign w:val="bottom"/>
          </w:tcPr>
          <w:p>
            <w:pPr>
              <w:spacing w:after="0"/>
              <w:rPr>
                <w:sz w:val="1"/>
                <w:szCs w:val="1"/>
                <w:color w:val="auto"/>
              </w:rPr>
            </w:pPr>
          </w:p>
        </w:tc>
      </w:tr>
      <w:tr>
        <w:trPr>
          <w:trHeight w:val="216"/>
        </w:trPr>
        <w:tc>
          <w:tcPr>
            <w:tcW w:w="2640" w:type="dxa"/>
            <w:vAlign w:val="bottom"/>
            <w:tcBorders>
              <w:right w:val="single" w:sz="8" w:color="D91E18"/>
            </w:tcBorders>
            <w:shd w:val="clear" w:color="auto" w:fill="E5E5E5"/>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Engagement Manager with McKinsey &amp; Co. in New York and also worked with Fisher Hoffman Stride in</w:t>
            </w:r>
          </w:p>
        </w:tc>
        <w:tc>
          <w:tcPr>
            <w:tcW w:w="0" w:type="dxa"/>
            <w:vAlign w:val="bottom"/>
          </w:tcPr>
          <w:p>
            <w:pPr>
              <w:spacing w:after="0"/>
              <w:rPr>
                <w:sz w:val="1"/>
                <w:szCs w:val="1"/>
                <w:color w:val="auto"/>
              </w:rPr>
            </w:pPr>
          </w:p>
        </w:tc>
      </w:tr>
      <w:tr>
        <w:trPr>
          <w:trHeight w:val="216"/>
        </w:trPr>
        <w:tc>
          <w:tcPr>
            <w:tcW w:w="2640" w:type="dxa"/>
            <w:vAlign w:val="bottom"/>
            <w:tcBorders>
              <w:right w:val="single" w:sz="8" w:color="D91E18"/>
            </w:tcBorders>
            <w:shd w:val="clear" w:color="auto" w:fill="E5E5E5"/>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Johannesburg, South Africa. Mr. Alsfine serves as a director and member of the Audit Committee and</w:t>
            </w:r>
          </w:p>
        </w:tc>
        <w:tc>
          <w:tcPr>
            <w:tcW w:w="0" w:type="dxa"/>
            <w:vAlign w:val="bottom"/>
          </w:tcPr>
          <w:p>
            <w:pPr>
              <w:spacing w:after="0"/>
              <w:rPr>
                <w:sz w:val="1"/>
                <w:szCs w:val="1"/>
                <w:color w:val="auto"/>
              </w:rPr>
            </w:pPr>
          </w:p>
        </w:tc>
      </w:tr>
      <w:tr>
        <w:trPr>
          <w:trHeight w:val="274"/>
        </w:trPr>
        <w:tc>
          <w:tcPr>
            <w:tcW w:w="2640" w:type="dxa"/>
            <w:vAlign w:val="bottom"/>
            <w:tcBorders>
              <w:right w:val="single" w:sz="8" w:color="D91E18"/>
            </w:tcBorders>
            <w:shd w:val="clear" w:color="auto" w:fill="E5E5E5"/>
          </w:tcPr>
          <w:p>
            <w:pPr>
              <w:ind w:left="40"/>
              <w:spacing w:after="0"/>
              <w:rPr>
                <w:sz w:val="20"/>
                <w:szCs w:val="20"/>
                <w:color w:val="auto"/>
              </w:rPr>
            </w:pPr>
            <w:r>
              <w:rPr>
                <w:rFonts w:ascii="Arial" w:cs="Arial" w:eastAsia="Arial" w:hAnsi="Arial"/>
                <w:sz w:val="18"/>
                <w:szCs w:val="18"/>
                <w:b w:val="1"/>
                <w:bCs w:val="1"/>
                <w:color w:val="auto"/>
              </w:rPr>
              <w:t>Independent Director</w:t>
            </w:r>
          </w:p>
        </w:tc>
        <w:tc>
          <w:tcPr>
            <w:tcW w:w="8620" w:type="dxa"/>
            <w:vAlign w:val="bottom"/>
          </w:tcPr>
          <w:p>
            <w:pPr>
              <w:spacing w:after="0"/>
              <w:rPr>
                <w:sz w:val="20"/>
                <w:szCs w:val="20"/>
                <w:color w:val="auto"/>
              </w:rPr>
            </w:pPr>
            <w:r>
              <w:rPr>
                <w:rFonts w:ascii="Arial" w:cs="Arial" w:eastAsia="Arial" w:hAnsi="Arial"/>
                <w:sz w:val="18"/>
                <w:szCs w:val="18"/>
                <w:color w:val="auto"/>
              </w:rPr>
              <w:t>Capital Allocation Committee of Life Time Group Holdings Inc.</w:t>
            </w:r>
          </w:p>
        </w:tc>
        <w:tc>
          <w:tcPr>
            <w:tcW w:w="0" w:type="dxa"/>
            <w:vAlign w:val="bottom"/>
          </w:tcPr>
          <w:p>
            <w:pPr>
              <w:spacing w:after="0"/>
              <w:rPr>
                <w:sz w:val="1"/>
                <w:szCs w:val="1"/>
                <w:color w:val="auto"/>
              </w:rPr>
            </w:pPr>
          </w:p>
        </w:tc>
      </w:tr>
      <w:tr>
        <w:trPr>
          <w:trHeight w:val="266"/>
        </w:trPr>
        <w:tc>
          <w:tcPr>
            <w:tcW w:w="2640" w:type="dxa"/>
            <w:vAlign w:val="bottom"/>
            <w:tcBorders>
              <w:right w:val="single" w:sz="8" w:color="D91E18"/>
            </w:tcBorders>
            <w:shd w:val="clear" w:color="auto" w:fill="E5E5E5"/>
          </w:tcPr>
          <w:p>
            <w:pPr>
              <w:ind w:left="4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55</w:t>
            </w:r>
          </w:p>
        </w:tc>
        <w:tc>
          <w:tcPr>
            <w:tcW w:w="8620" w:type="dxa"/>
            <w:vAlign w:val="bottom"/>
          </w:tcPr>
          <w:p>
            <w:pPr>
              <w:spacing w:after="0"/>
              <w:rPr>
                <w:sz w:val="20"/>
                <w:szCs w:val="20"/>
                <w:color w:val="auto"/>
              </w:rPr>
            </w:pPr>
            <w:r>
              <w:rPr>
                <w:rFonts w:ascii="Arial" w:cs="Arial" w:eastAsia="Arial" w:hAnsi="Arial"/>
                <w:sz w:val="18"/>
                <w:szCs w:val="18"/>
                <w:color w:val="auto"/>
              </w:rPr>
              <w:t>With his extensive capital markets experience and financial and investment experience as a senior advisor</w:t>
            </w:r>
          </w:p>
        </w:tc>
        <w:tc>
          <w:tcPr>
            <w:tcW w:w="0" w:type="dxa"/>
            <w:vAlign w:val="bottom"/>
          </w:tcPr>
          <w:p>
            <w:pPr>
              <w:spacing w:after="0"/>
              <w:rPr>
                <w:sz w:val="1"/>
                <w:szCs w:val="1"/>
                <w:color w:val="auto"/>
              </w:rPr>
            </w:pPr>
          </w:p>
        </w:tc>
      </w:tr>
      <w:tr>
        <w:trPr>
          <w:trHeight w:val="216"/>
        </w:trPr>
        <w:tc>
          <w:tcPr>
            <w:tcW w:w="2640" w:type="dxa"/>
            <w:vAlign w:val="bottom"/>
            <w:tcBorders>
              <w:right w:val="single" w:sz="8" w:color="D91E18"/>
            </w:tcBorders>
            <w:vMerge w:val="restart"/>
            <w:shd w:val="clear" w:color="auto" w:fill="E5E5E5"/>
          </w:tcPr>
          <w:p>
            <w:pPr>
              <w:ind w:left="4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2015</w:t>
            </w:r>
          </w:p>
        </w:tc>
        <w:tc>
          <w:tcPr>
            <w:tcW w:w="8620" w:type="dxa"/>
            <w:vAlign w:val="bottom"/>
          </w:tcPr>
          <w:p>
            <w:pPr>
              <w:spacing w:after="0"/>
              <w:rPr>
                <w:sz w:val="20"/>
                <w:szCs w:val="20"/>
                <w:color w:val="auto"/>
              </w:rPr>
            </w:pPr>
            <w:r>
              <w:rPr>
                <w:rFonts w:ascii="Arial" w:cs="Arial" w:eastAsia="Arial" w:hAnsi="Arial"/>
                <w:sz w:val="18"/>
                <w:szCs w:val="18"/>
                <w:color w:val="auto"/>
              </w:rPr>
              <w:t>and former partner at MSD Capital, the Board has determined that Mr. Alsfine has an astute understanding</w:t>
            </w:r>
          </w:p>
        </w:tc>
        <w:tc>
          <w:tcPr>
            <w:tcW w:w="0" w:type="dxa"/>
            <w:vAlign w:val="bottom"/>
          </w:tcPr>
          <w:p>
            <w:pPr>
              <w:spacing w:after="0"/>
              <w:rPr>
                <w:sz w:val="1"/>
                <w:szCs w:val="1"/>
                <w:color w:val="auto"/>
              </w:rPr>
            </w:pPr>
          </w:p>
        </w:tc>
      </w:tr>
      <w:tr>
        <w:trPr>
          <w:trHeight w:val="166"/>
        </w:trPr>
        <w:tc>
          <w:tcPr>
            <w:tcW w:w="2640" w:type="dxa"/>
            <w:vAlign w:val="bottom"/>
            <w:tcBorders>
              <w:right w:val="single" w:sz="8" w:color="D91E18"/>
            </w:tcBorders>
            <w:vMerge w:val="continue"/>
            <w:shd w:val="clear" w:color="auto" w:fill="E5E5E5"/>
          </w:tcPr>
          <w:p>
            <w:pPr>
              <w:spacing w:after="0"/>
              <w:rPr>
                <w:sz w:val="14"/>
                <w:szCs w:val="14"/>
                <w:color w:val="auto"/>
              </w:rPr>
            </w:pPr>
          </w:p>
        </w:tc>
        <w:tc>
          <w:tcPr>
            <w:tcW w:w="8620" w:type="dxa"/>
            <w:vAlign w:val="bottom"/>
            <w:vMerge w:val="restart"/>
          </w:tcPr>
          <w:p>
            <w:pPr>
              <w:spacing w:after="0"/>
              <w:rPr>
                <w:sz w:val="20"/>
                <w:szCs w:val="20"/>
                <w:color w:val="auto"/>
              </w:rPr>
            </w:pPr>
            <w:r>
              <w:rPr>
                <w:rFonts w:ascii="Arial" w:cs="Arial" w:eastAsia="Arial" w:hAnsi="Arial"/>
                <w:sz w:val="18"/>
                <w:szCs w:val="18"/>
                <w:color w:val="auto"/>
              </w:rPr>
              <w:t>of market complexities which provide valuable insight into effective strategy, including within the automotive</w:t>
            </w:r>
          </w:p>
        </w:tc>
        <w:tc>
          <w:tcPr>
            <w:tcW w:w="0" w:type="dxa"/>
            <w:vAlign w:val="bottom"/>
          </w:tcPr>
          <w:p>
            <w:pPr>
              <w:spacing w:after="0"/>
              <w:rPr>
                <w:sz w:val="1"/>
                <w:szCs w:val="1"/>
                <w:color w:val="auto"/>
              </w:rPr>
            </w:pPr>
          </w:p>
        </w:tc>
      </w:tr>
      <w:tr>
        <w:trPr>
          <w:trHeight w:val="50"/>
        </w:trPr>
        <w:tc>
          <w:tcPr>
            <w:tcW w:w="2640" w:type="dxa"/>
            <w:vAlign w:val="bottom"/>
            <w:tcBorders>
              <w:right w:val="single" w:sz="8" w:color="D91E18"/>
            </w:tcBorders>
            <w:shd w:val="clear" w:color="auto" w:fill="E5E5E5"/>
          </w:tcPr>
          <w:p>
            <w:pPr>
              <w:spacing w:after="0"/>
              <w:rPr>
                <w:sz w:val="4"/>
                <w:szCs w:val="4"/>
                <w:color w:val="auto"/>
              </w:rPr>
            </w:pPr>
          </w:p>
        </w:tc>
        <w:tc>
          <w:tcPr>
            <w:tcW w:w="86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640" w:type="dxa"/>
            <w:vAlign w:val="bottom"/>
            <w:tcBorders>
              <w:right w:val="single" w:sz="8" w:color="D91E18"/>
            </w:tcBorders>
            <w:shd w:val="clear" w:color="auto" w:fill="E5E5E5"/>
          </w:tcPr>
          <w:p>
            <w:pPr>
              <w:ind w:left="40"/>
              <w:spacing w:after="0"/>
              <w:rPr>
                <w:sz w:val="20"/>
                <w:szCs w:val="20"/>
                <w:color w:val="auto"/>
              </w:rPr>
            </w:pPr>
            <w:r>
              <w:rPr>
                <w:rFonts w:ascii="Arial" w:cs="Arial" w:eastAsia="Arial" w:hAnsi="Arial"/>
                <w:sz w:val="18"/>
                <w:szCs w:val="18"/>
                <w:b w:val="1"/>
                <w:bCs w:val="1"/>
                <w:color w:val="auto"/>
              </w:rPr>
              <w:t>Committees:</w:t>
            </w:r>
          </w:p>
        </w:tc>
        <w:tc>
          <w:tcPr>
            <w:tcW w:w="8620" w:type="dxa"/>
            <w:vAlign w:val="bottom"/>
          </w:tcPr>
          <w:p>
            <w:pPr>
              <w:spacing w:after="0"/>
              <w:rPr>
                <w:sz w:val="20"/>
                <w:szCs w:val="20"/>
                <w:color w:val="auto"/>
              </w:rPr>
            </w:pPr>
            <w:r>
              <w:rPr>
                <w:rFonts w:ascii="Arial" w:cs="Arial" w:eastAsia="Arial" w:hAnsi="Arial"/>
                <w:sz w:val="18"/>
                <w:szCs w:val="18"/>
                <w:color w:val="auto"/>
              </w:rPr>
              <w:t>retail industry. In addition, the Board believes that Mr. Alsfine’s years of financial and risk management</w:t>
            </w:r>
          </w:p>
        </w:tc>
        <w:tc>
          <w:tcPr>
            <w:tcW w:w="0" w:type="dxa"/>
            <w:vAlign w:val="bottom"/>
          </w:tcPr>
          <w:p>
            <w:pPr>
              <w:spacing w:after="0"/>
              <w:rPr>
                <w:sz w:val="1"/>
                <w:szCs w:val="1"/>
                <w:color w:val="auto"/>
              </w:rPr>
            </w:pPr>
          </w:p>
        </w:tc>
      </w:tr>
      <w:tr>
        <w:trPr>
          <w:trHeight w:val="216"/>
        </w:trPr>
        <w:tc>
          <w:tcPr>
            <w:tcW w:w="2640" w:type="dxa"/>
            <w:vAlign w:val="bottom"/>
            <w:tcBorders>
              <w:right w:val="single" w:sz="8" w:color="D91E18"/>
            </w:tcBorders>
            <w:vMerge w:val="restart"/>
            <w:shd w:val="clear" w:color="auto" w:fill="E5E5E5"/>
          </w:tcPr>
          <w:p>
            <w:pPr>
              <w:ind w:left="40"/>
              <w:spacing w:after="0"/>
              <w:rPr>
                <w:sz w:val="20"/>
                <w:szCs w:val="20"/>
                <w:color w:val="auto"/>
              </w:rPr>
            </w:pPr>
            <w:r>
              <w:rPr>
                <w:rFonts w:ascii="Arial" w:cs="Arial" w:eastAsia="Arial" w:hAnsi="Arial"/>
                <w:sz w:val="18"/>
                <w:szCs w:val="18"/>
                <w:color w:val="auto"/>
              </w:rPr>
              <w:t>– Audit</w:t>
            </w:r>
          </w:p>
        </w:tc>
        <w:tc>
          <w:tcPr>
            <w:tcW w:w="8620" w:type="dxa"/>
            <w:vAlign w:val="bottom"/>
          </w:tcPr>
          <w:p>
            <w:pPr>
              <w:spacing w:after="0"/>
              <w:rPr>
                <w:sz w:val="20"/>
                <w:szCs w:val="20"/>
                <w:color w:val="auto"/>
              </w:rPr>
            </w:pPr>
            <w:r>
              <w:rPr>
                <w:rFonts w:ascii="Arial" w:cs="Arial" w:eastAsia="Arial" w:hAnsi="Arial"/>
                <w:sz w:val="18"/>
                <w:szCs w:val="18"/>
                <w:color w:val="auto"/>
              </w:rPr>
              <w:t>related experience at various private equity firms make him a valuable member of our Audit Committee, our</w:t>
            </w:r>
          </w:p>
        </w:tc>
        <w:tc>
          <w:tcPr>
            <w:tcW w:w="0" w:type="dxa"/>
            <w:vAlign w:val="bottom"/>
          </w:tcPr>
          <w:p>
            <w:pPr>
              <w:spacing w:after="0"/>
              <w:rPr>
                <w:sz w:val="1"/>
                <w:szCs w:val="1"/>
                <w:color w:val="auto"/>
              </w:rPr>
            </w:pPr>
          </w:p>
        </w:tc>
      </w:tr>
      <w:tr>
        <w:trPr>
          <w:trHeight w:val="158"/>
        </w:trPr>
        <w:tc>
          <w:tcPr>
            <w:tcW w:w="2640" w:type="dxa"/>
            <w:vAlign w:val="bottom"/>
            <w:tcBorders>
              <w:right w:val="single" w:sz="8" w:color="D91E18"/>
            </w:tcBorders>
            <w:vMerge w:val="continue"/>
            <w:shd w:val="clear" w:color="auto" w:fill="E5E5E5"/>
          </w:tcPr>
          <w:p>
            <w:pPr>
              <w:spacing w:after="0"/>
              <w:rPr>
                <w:sz w:val="13"/>
                <w:szCs w:val="13"/>
                <w:color w:val="auto"/>
              </w:rPr>
            </w:pPr>
          </w:p>
        </w:tc>
        <w:tc>
          <w:tcPr>
            <w:tcW w:w="8620" w:type="dxa"/>
            <w:vAlign w:val="bottom"/>
            <w:vMerge w:val="restart"/>
          </w:tcPr>
          <w:p>
            <w:pPr>
              <w:spacing w:after="0"/>
              <w:rPr>
                <w:sz w:val="20"/>
                <w:szCs w:val="20"/>
                <w:color w:val="auto"/>
              </w:rPr>
            </w:pPr>
            <w:r>
              <w:rPr>
                <w:rFonts w:ascii="Arial" w:cs="Arial" w:eastAsia="Arial" w:hAnsi="Arial"/>
                <w:sz w:val="18"/>
                <w:szCs w:val="18"/>
                <w:color w:val="auto"/>
              </w:rPr>
              <w:t>Compensation &amp; Human Resources Committee and our Transaction Committee, and position him well to</w:t>
            </w:r>
          </w:p>
        </w:tc>
        <w:tc>
          <w:tcPr>
            <w:tcW w:w="0" w:type="dxa"/>
            <w:vAlign w:val="bottom"/>
          </w:tcPr>
          <w:p>
            <w:pPr>
              <w:spacing w:after="0"/>
              <w:rPr>
                <w:sz w:val="1"/>
                <w:szCs w:val="1"/>
                <w:color w:val="auto"/>
              </w:rPr>
            </w:pPr>
          </w:p>
        </w:tc>
      </w:tr>
      <w:tr>
        <w:trPr>
          <w:trHeight w:val="58"/>
        </w:trPr>
        <w:tc>
          <w:tcPr>
            <w:tcW w:w="2640" w:type="dxa"/>
            <w:vAlign w:val="bottom"/>
            <w:tcBorders>
              <w:right w:val="single" w:sz="8" w:color="D91E18"/>
            </w:tcBorders>
            <w:shd w:val="clear" w:color="auto" w:fill="E5E5E5"/>
          </w:tcPr>
          <w:p>
            <w:pPr>
              <w:spacing w:after="0"/>
              <w:rPr>
                <w:sz w:val="5"/>
                <w:szCs w:val="5"/>
                <w:color w:val="auto"/>
              </w:rPr>
            </w:pPr>
          </w:p>
        </w:tc>
        <w:tc>
          <w:tcPr>
            <w:tcW w:w="8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640" w:type="dxa"/>
            <w:vAlign w:val="bottom"/>
            <w:tcBorders>
              <w:right w:val="single" w:sz="8" w:color="D91E18"/>
            </w:tcBorders>
            <w:shd w:val="clear" w:color="auto" w:fill="E5E5E5"/>
          </w:tcPr>
          <w:p>
            <w:pPr>
              <w:ind w:left="40"/>
              <w:spacing w:after="0"/>
              <w:rPr>
                <w:sz w:val="20"/>
                <w:szCs w:val="20"/>
                <w:color w:val="auto"/>
              </w:rPr>
            </w:pPr>
            <w:r>
              <w:rPr>
                <w:rFonts w:ascii="Arial" w:cs="Arial" w:eastAsia="Arial" w:hAnsi="Arial"/>
                <w:sz w:val="18"/>
                <w:szCs w:val="18"/>
                <w:color w:val="auto"/>
              </w:rPr>
              <w:t>– Compensation &amp; Human</w:t>
            </w:r>
          </w:p>
        </w:tc>
        <w:tc>
          <w:tcPr>
            <w:tcW w:w="8620" w:type="dxa"/>
            <w:vAlign w:val="bottom"/>
          </w:tcPr>
          <w:p>
            <w:pPr>
              <w:spacing w:after="0"/>
              <w:rPr>
                <w:sz w:val="20"/>
                <w:szCs w:val="20"/>
                <w:color w:val="auto"/>
              </w:rPr>
            </w:pPr>
            <w:r>
              <w:rPr>
                <w:rFonts w:ascii="Arial" w:cs="Arial" w:eastAsia="Arial" w:hAnsi="Arial"/>
                <w:sz w:val="18"/>
                <w:szCs w:val="18"/>
                <w:color w:val="auto"/>
              </w:rPr>
              <w:t>provide valuable insight into audit, capital allocation and risk management issues.</w:t>
            </w:r>
          </w:p>
        </w:tc>
        <w:tc>
          <w:tcPr>
            <w:tcW w:w="0" w:type="dxa"/>
            <w:vAlign w:val="bottom"/>
          </w:tcPr>
          <w:p>
            <w:pPr>
              <w:spacing w:after="0"/>
              <w:rPr>
                <w:sz w:val="1"/>
                <w:szCs w:val="1"/>
                <w:color w:val="auto"/>
              </w:rPr>
            </w:pPr>
          </w:p>
        </w:tc>
      </w:tr>
      <w:tr>
        <w:trPr>
          <w:trHeight w:val="239"/>
        </w:trPr>
        <w:tc>
          <w:tcPr>
            <w:tcW w:w="2640" w:type="dxa"/>
            <w:vAlign w:val="bottom"/>
            <w:tcBorders>
              <w:right w:val="single" w:sz="8" w:color="D91E18"/>
            </w:tcBorders>
            <w:shd w:val="clear" w:color="auto" w:fill="E5E5E5"/>
          </w:tcPr>
          <w:p>
            <w:pPr>
              <w:ind w:left="200"/>
              <w:spacing w:after="0"/>
              <w:rPr>
                <w:sz w:val="20"/>
                <w:szCs w:val="20"/>
                <w:color w:val="auto"/>
              </w:rPr>
            </w:pPr>
            <w:r>
              <w:rPr>
                <w:rFonts w:ascii="Arial" w:cs="Arial" w:eastAsia="Arial" w:hAnsi="Arial"/>
                <w:sz w:val="18"/>
                <w:szCs w:val="18"/>
                <w:color w:val="auto"/>
              </w:rPr>
              <w:t>Resources</w:t>
            </w:r>
          </w:p>
        </w:tc>
        <w:tc>
          <w:tcPr>
            <w:tcW w:w="8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640" w:type="dxa"/>
            <w:vAlign w:val="bottom"/>
            <w:tcBorders>
              <w:right w:val="single" w:sz="8" w:color="D91E18"/>
            </w:tcBorders>
            <w:shd w:val="clear" w:color="auto" w:fill="E5E5E5"/>
          </w:tcPr>
          <w:p>
            <w:pPr>
              <w:ind w:left="40"/>
              <w:spacing w:after="0"/>
              <w:rPr>
                <w:sz w:val="20"/>
                <w:szCs w:val="20"/>
                <w:color w:val="auto"/>
              </w:rPr>
            </w:pPr>
            <w:r>
              <w:rPr>
                <w:rFonts w:ascii="Arial" w:cs="Arial" w:eastAsia="Arial" w:hAnsi="Arial"/>
                <w:sz w:val="18"/>
                <w:szCs w:val="18"/>
                <w:color w:val="auto"/>
              </w:rPr>
              <w:t>– Transaction</w:t>
            </w:r>
          </w:p>
        </w:tc>
        <w:tc>
          <w:tcPr>
            <w:tcW w:w="8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5"/>
        </w:trPr>
        <w:tc>
          <w:tcPr>
            <w:tcW w:w="2640" w:type="dxa"/>
            <w:vAlign w:val="bottom"/>
            <w:tcBorders>
              <w:bottom w:val="single" w:sz="8" w:color="D91E18"/>
              <w:right w:val="single" w:sz="8" w:color="D91E18"/>
            </w:tcBorders>
            <w:shd w:val="clear" w:color="auto" w:fill="E5E5E5"/>
          </w:tcPr>
          <w:p>
            <w:pPr>
              <w:spacing w:after="0"/>
              <w:rPr>
                <w:sz w:val="12"/>
                <w:szCs w:val="12"/>
                <w:color w:val="auto"/>
              </w:rPr>
            </w:pPr>
          </w:p>
        </w:tc>
        <w:tc>
          <w:tcPr>
            <w:tcW w:w="8620" w:type="dxa"/>
            <w:vAlign w:val="bottom"/>
            <w:tcBorders>
              <w:bottom w:val="single" w:sz="8" w:color="D91E18"/>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3"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FFFFFF"/>
        </w:rPr>
        <w:t>William D. Fay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40575" cy="30003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0575" cy="3000375"/>
                    </a:xfrm>
                    <a:prstGeom prst="rect">
                      <a:avLst/>
                    </a:prstGeom>
                    <a:noFill/>
                  </pic:spPr>
                </pic:pic>
              </a:graphicData>
            </a:graphic>
          </wp:anchor>
        </w:drawing>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640" w:type="dxa"/>
            <w:vAlign w:val="bottom"/>
            <w:tcBorders>
              <w:top w:val="single" w:sz="8" w:color="D91E18"/>
              <w:right w:val="single" w:sz="8" w:color="D91E18"/>
            </w:tcBorders>
            <w:shd w:val="clear" w:color="auto" w:fill="E5E5E5"/>
          </w:tcPr>
          <w:p>
            <w:pPr>
              <w:spacing w:after="0"/>
              <w:rPr>
                <w:sz w:val="18"/>
                <w:szCs w:val="18"/>
                <w:color w:val="auto"/>
              </w:rPr>
            </w:pPr>
          </w:p>
        </w:tc>
        <w:tc>
          <w:tcPr>
            <w:tcW w:w="8620" w:type="dxa"/>
            <w:vAlign w:val="bottom"/>
            <w:tcBorders>
              <w:top w:val="single" w:sz="8" w:color="D91E18"/>
            </w:tcBorders>
          </w:tcPr>
          <w:p>
            <w:pPr>
              <w:spacing w:after="0"/>
              <w:rPr>
                <w:sz w:val="20"/>
                <w:szCs w:val="20"/>
                <w:color w:val="auto"/>
              </w:rPr>
            </w:pPr>
            <w:r>
              <w:rPr>
                <w:rFonts w:ascii="Arial" w:cs="Arial" w:eastAsia="Arial" w:hAnsi="Arial"/>
                <w:sz w:val="18"/>
                <w:szCs w:val="18"/>
                <w:color w:val="auto"/>
              </w:rPr>
              <w:t>Mr. Fay is a former senior executive of Toyota Motor North America, Inc. and Toyota Motor Sales, USA, Inc.</w:t>
            </w:r>
          </w:p>
        </w:tc>
        <w:tc>
          <w:tcPr>
            <w:tcW w:w="0" w:type="dxa"/>
            <w:vAlign w:val="bottom"/>
          </w:tcPr>
          <w:p>
            <w:pPr>
              <w:spacing w:after="0"/>
              <w:rPr>
                <w:sz w:val="1"/>
                <w:szCs w:val="1"/>
                <w:color w:val="auto"/>
              </w:rPr>
            </w:pPr>
          </w:p>
        </w:tc>
      </w:tr>
      <w:tr>
        <w:trPr>
          <w:trHeight w:val="216"/>
        </w:trPr>
        <w:tc>
          <w:tcPr>
            <w:tcW w:w="2640" w:type="dxa"/>
            <w:vAlign w:val="bottom"/>
            <w:tcBorders>
              <w:right w:val="single" w:sz="8" w:color="D91E18"/>
            </w:tcBorders>
            <w:shd w:val="clear" w:color="auto" w:fill="E5E5E5"/>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(collectively “Toyota”). During his career with Toyota, which began in 1982, Mr. Fay held senior</w:t>
            </w:r>
          </w:p>
        </w:tc>
        <w:tc>
          <w:tcPr>
            <w:tcW w:w="0" w:type="dxa"/>
            <w:vAlign w:val="bottom"/>
          </w:tcPr>
          <w:p>
            <w:pPr>
              <w:spacing w:after="0"/>
              <w:rPr>
                <w:sz w:val="1"/>
                <w:szCs w:val="1"/>
                <w:color w:val="auto"/>
              </w:rPr>
            </w:pPr>
          </w:p>
        </w:tc>
      </w:tr>
      <w:tr>
        <w:trPr>
          <w:trHeight w:val="216"/>
        </w:trPr>
        <w:tc>
          <w:tcPr>
            <w:tcW w:w="2640" w:type="dxa"/>
            <w:vAlign w:val="bottom"/>
            <w:tcBorders>
              <w:right w:val="single" w:sz="8" w:color="D91E18"/>
            </w:tcBorders>
            <w:shd w:val="clear" w:color="auto" w:fill="E5E5E5"/>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management roles with Toyota, including most recently as Senior Vice President of Automotive Operations</w:t>
            </w:r>
          </w:p>
        </w:tc>
        <w:tc>
          <w:tcPr>
            <w:tcW w:w="0" w:type="dxa"/>
            <w:vAlign w:val="bottom"/>
          </w:tcPr>
          <w:p>
            <w:pPr>
              <w:spacing w:after="0"/>
              <w:rPr>
                <w:sz w:val="1"/>
                <w:szCs w:val="1"/>
                <w:color w:val="auto"/>
              </w:rPr>
            </w:pPr>
          </w:p>
        </w:tc>
      </w:tr>
      <w:tr>
        <w:trPr>
          <w:trHeight w:val="216"/>
        </w:trPr>
        <w:tc>
          <w:tcPr>
            <w:tcW w:w="2640" w:type="dxa"/>
            <w:vAlign w:val="bottom"/>
            <w:tcBorders>
              <w:right w:val="single" w:sz="8" w:color="D91E18"/>
            </w:tcBorders>
            <w:shd w:val="clear" w:color="auto" w:fill="E5E5E5"/>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of Toyota North America (Toyota &amp; Lexus Divisions) from 2017-2020. Prior to that, Mr. Fay held</w:t>
            </w:r>
          </w:p>
        </w:tc>
        <w:tc>
          <w:tcPr>
            <w:tcW w:w="0" w:type="dxa"/>
            <w:vAlign w:val="bottom"/>
          </w:tcPr>
          <w:p>
            <w:pPr>
              <w:spacing w:after="0"/>
              <w:rPr>
                <w:sz w:val="1"/>
                <w:szCs w:val="1"/>
                <w:color w:val="auto"/>
              </w:rPr>
            </w:pPr>
          </w:p>
        </w:tc>
      </w:tr>
      <w:tr>
        <w:trPr>
          <w:trHeight w:val="216"/>
        </w:trPr>
        <w:tc>
          <w:tcPr>
            <w:tcW w:w="2640" w:type="dxa"/>
            <w:vAlign w:val="bottom"/>
            <w:tcBorders>
              <w:right w:val="single" w:sz="8" w:color="D91E18"/>
            </w:tcBorders>
            <w:shd w:val="clear" w:color="auto" w:fill="E5E5E5"/>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management roles with Toyota Motor Sales, including Group Vice President &amp; General Manager (Toyota</w:t>
            </w:r>
          </w:p>
        </w:tc>
        <w:tc>
          <w:tcPr>
            <w:tcW w:w="0" w:type="dxa"/>
            <w:vAlign w:val="bottom"/>
          </w:tcPr>
          <w:p>
            <w:pPr>
              <w:spacing w:after="0"/>
              <w:rPr>
                <w:sz w:val="1"/>
                <w:szCs w:val="1"/>
                <w:color w:val="auto"/>
              </w:rPr>
            </w:pPr>
          </w:p>
        </w:tc>
      </w:tr>
      <w:tr>
        <w:trPr>
          <w:trHeight w:val="216"/>
        </w:trPr>
        <w:tc>
          <w:tcPr>
            <w:tcW w:w="2640" w:type="dxa"/>
            <w:vAlign w:val="bottom"/>
            <w:tcBorders>
              <w:right w:val="single" w:sz="8" w:color="D91E18"/>
            </w:tcBorders>
            <w:shd w:val="clear" w:color="auto" w:fill="E5E5E5"/>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Division) from 2014-2017; Group Vice President – Toyota Marketing (Toyota Division) from 2010-2014; Vice</w:t>
            </w:r>
          </w:p>
        </w:tc>
        <w:tc>
          <w:tcPr>
            <w:tcW w:w="0" w:type="dxa"/>
            <w:vAlign w:val="bottom"/>
          </w:tcPr>
          <w:p>
            <w:pPr>
              <w:spacing w:after="0"/>
              <w:rPr>
                <w:sz w:val="1"/>
                <w:szCs w:val="1"/>
                <w:color w:val="auto"/>
              </w:rPr>
            </w:pPr>
          </w:p>
        </w:tc>
      </w:tr>
      <w:tr>
        <w:trPr>
          <w:trHeight w:val="216"/>
        </w:trPr>
        <w:tc>
          <w:tcPr>
            <w:tcW w:w="2640" w:type="dxa"/>
            <w:vAlign w:val="bottom"/>
            <w:tcBorders>
              <w:right w:val="single" w:sz="8" w:color="D91E18"/>
            </w:tcBorders>
            <w:shd w:val="clear" w:color="auto" w:fill="E5E5E5"/>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President – Toyota Sales from 2007-2010; and General Manager (Boston/Los Angeles Regions) from 1995-</w:t>
            </w:r>
          </w:p>
        </w:tc>
        <w:tc>
          <w:tcPr>
            <w:tcW w:w="0" w:type="dxa"/>
            <w:vAlign w:val="bottom"/>
          </w:tcPr>
          <w:p>
            <w:pPr>
              <w:spacing w:after="0"/>
              <w:rPr>
                <w:sz w:val="1"/>
                <w:szCs w:val="1"/>
                <w:color w:val="auto"/>
              </w:rPr>
            </w:pPr>
          </w:p>
        </w:tc>
      </w:tr>
      <w:tr>
        <w:trPr>
          <w:trHeight w:val="287"/>
        </w:trPr>
        <w:tc>
          <w:tcPr>
            <w:tcW w:w="2640" w:type="dxa"/>
            <w:vAlign w:val="bottom"/>
            <w:tcBorders>
              <w:right w:val="single" w:sz="8" w:color="D91E18"/>
            </w:tcBorders>
            <w:shd w:val="clear" w:color="auto" w:fill="E5E5E5"/>
          </w:tcPr>
          <w:p>
            <w:pPr>
              <w:ind w:left="40"/>
              <w:spacing w:after="0"/>
              <w:rPr>
                <w:sz w:val="20"/>
                <w:szCs w:val="20"/>
                <w:color w:val="auto"/>
              </w:rPr>
            </w:pPr>
            <w:r>
              <w:rPr>
                <w:rFonts w:ascii="Arial" w:cs="Arial" w:eastAsia="Arial" w:hAnsi="Arial"/>
                <w:sz w:val="18"/>
                <w:szCs w:val="18"/>
                <w:b w:val="1"/>
                <w:bCs w:val="1"/>
                <w:color w:val="auto"/>
              </w:rPr>
              <w:t>Independent Director</w:t>
            </w:r>
          </w:p>
        </w:tc>
        <w:tc>
          <w:tcPr>
            <w:tcW w:w="8620" w:type="dxa"/>
            <w:vAlign w:val="bottom"/>
          </w:tcPr>
          <w:p>
            <w:pPr>
              <w:spacing w:after="0"/>
              <w:rPr>
                <w:sz w:val="20"/>
                <w:szCs w:val="20"/>
                <w:color w:val="auto"/>
              </w:rPr>
            </w:pPr>
            <w:r>
              <w:rPr>
                <w:rFonts w:ascii="Arial" w:cs="Arial" w:eastAsia="Arial" w:hAnsi="Arial"/>
                <w:sz w:val="18"/>
                <w:szCs w:val="18"/>
                <w:color w:val="auto"/>
              </w:rPr>
              <w:t>2007.</w:t>
            </w:r>
          </w:p>
        </w:tc>
        <w:tc>
          <w:tcPr>
            <w:tcW w:w="0" w:type="dxa"/>
            <w:vAlign w:val="bottom"/>
          </w:tcPr>
          <w:p>
            <w:pPr>
              <w:spacing w:after="0"/>
              <w:rPr>
                <w:sz w:val="1"/>
                <w:szCs w:val="1"/>
                <w:color w:val="auto"/>
              </w:rPr>
            </w:pPr>
          </w:p>
        </w:tc>
      </w:tr>
      <w:tr>
        <w:trPr>
          <w:trHeight w:val="258"/>
        </w:trPr>
        <w:tc>
          <w:tcPr>
            <w:tcW w:w="2640" w:type="dxa"/>
            <w:vAlign w:val="bottom"/>
            <w:tcBorders>
              <w:right w:val="single" w:sz="8" w:color="D91E18"/>
            </w:tcBorders>
            <w:shd w:val="clear" w:color="auto" w:fill="E5E5E5"/>
          </w:tcPr>
          <w:p>
            <w:pPr>
              <w:ind w:left="4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69</w:t>
            </w:r>
          </w:p>
        </w:tc>
        <w:tc>
          <w:tcPr>
            <w:tcW w:w="8620" w:type="dxa"/>
            <w:vAlign w:val="bottom"/>
          </w:tcPr>
          <w:p>
            <w:pPr>
              <w:spacing w:after="0"/>
              <w:rPr>
                <w:sz w:val="20"/>
                <w:szCs w:val="20"/>
                <w:color w:val="auto"/>
              </w:rPr>
            </w:pPr>
            <w:r>
              <w:rPr>
                <w:rFonts w:ascii="Arial" w:cs="Arial" w:eastAsia="Arial" w:hAnsi="Arial"/>
                <w:sz w:val="18"/>
                <w:szCs w:val="18"/>
                <w:color w:val="auto"/>
              </w:rPr>
              <w:t>Mr. Fay has over 38 years of experience as an executive with Toyota, a large vehicle manufacturer. Mr.</w:t>
            </w:r>
          </w:p>
        </w:tc>
        <w:tc>
          <w:tcPr>
            <w:tcW w:w="0" w:type="dxa"/>
            <w:vAlign w:val="bottom"/>
          </w:tcPr>
          <w:p>
            <w:pPr>
              <w:spacing w:after="0"/>
              <w:rPr>
                <w:sz w:val="1"/>
                <w:szCs w:val="1"/>
                <w:color w:val="auto"/>
              </w:rPr>
            </w:pPr>
          </w:p>
        </w:tc>
      </w:tr>
      <w:tr>
        <w:trPr>
          <w:trHeight w:val="211"/>
        </w:trPr>
        <w:tc>
          <w:tcPr>
            <w:tcW w:w="2640" w:type="dxa"/>
            <w:vAlign w:val="bottom"/>
            <w:tcBorders>
              <w:right w:val="single" w:sz="8" w:color="D91E18"/>
            </w:tcBorders>
            <w:vMerge w:val="restart"/>
            <w:shd w:val="clear" w:color="auto" w:fill="E5E5E5"/>
          </w:tcPr>
          <w:p>
            <w:pPr>
              <w:ind w:left="4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2021</w:t>
            </w:r>
          </w:p>
        </w:tc>
        <w:tc>
          <w:tcPr>
            <w:tcW w:w="8620" w:type="dxa"/>
            <w:vAlign w:val="bottom"/>
          </w:tcPr>
          <w:p>
            <w:pPr>
              <w:spacing w:after="0"/>
              <w:rPr>
                <w:sz w:val="20"/>
                <w:szCs w:val="20"/>
                <w:color w:val="auto"/>
              </w:rPr>
            </w:pPr>
            <w:r>
              <w:rPr>
                <w:rFonts w:ascii="Arial" w:cs="Arial" w:eastAsia="Arial" w:hAnsi="Arial"/>
                <w:sz w:val="18"/>
                <w:szCs w:val="18"/>
                <w:color w:val="auto"/>
              </w:rPr>
              <w:t>Fay's broad automotive experience includes sales, marketing, OEM and dealership relations, customer</w:t>
            </w:r>
          </w:p>
        </w:tc>
        <w:tc>
          <w:tcPr>
            <w:tcW w:w="0" w:type="dxa"/>
            <w:vAlign w:val="bottom"/>
          </w:tcPr>
          <w:p>
            <w:pPr>
              <w:spacing w:after="0"/>
              <w:rPr>
                <w:sz w:val="1"/>
                <w:szCs w:val="1"/>
                <w:color w:val="auto"/>
              </w:rPr>
            </w:pPr>
          </w:p>
        </w:tc>
      </w:tr>
      <w:tr>
        <w:trPr>
          <w:trHeight w:val="216"/>
        </w:trPr>
        <w:tc>
          <w:tcPr>
            <w:tcW w:w="2640" w:type="dxa"/>
            <w:vAlign w:val="bottom"/>
            <w:tcBorders>
              <w:right w:val="single" w:sz="8" w:color="D91E18"/>
            </w:tcBorders>
            <w:vMerge w:val="continue"/>
            <w:shd w:val="clear" w:color="auto" w:fill="E5E5E5"/>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experience and omnichannel. The Board has determined that Mr. Fay brings vast knowledge of the</w:t>
            </w:r>
          </w:p>
        </w:tc>
        <w:tc>
          <w:tcPr>
            <w:tcW w:w="0" w:type="dxa"/>
            <w:vAlign w:val="bottom"/>
          </w:tcPr>
          <w:p>
            <w:pPr>
              <w:spacing w:after="0"/>
              <w:rPr>
                <w:sz w:val="1"/>
                <w:szCs w:val="1"/>
                <w:color w:val="auto"/>
              </w:rPr>
            </w:pPr>
          </w:p>
        </w:tc>
      </w:tr>
      <w:tr>
        <w:trPr>
          <w:trHeight w:val="221"/>
        </w:trPr>
        <w:tc>
          <w:tcPr>
            <w:tcW w:w="2640" w:type="dxa"/>
            <w:vAlign w:val="bottom"/>
            <w:tcBorders>
              <w:right w:val="single" w:sz="8" w:color="D91E18"/>
            </w:tcBorders>
            <w:shd w:val="clear" w:color="auto" w:fill="E5E5E5"/>
          </w:tcPr>
          <w:p>
            <w:pPr>
              <w:ind w:left="40"/>
              <w:spacing w:after="0"/>
              <w:rPr>
                <w:sz w:val="20"/>
                <w:szCs w:val="20"/>
                <w:color w:val="auto"/>
              </w:rPr>
            </w:pPr>
            <w:r>
              <w:rPr>
                <w:rFonts w:ascii="Arial" w:cs="Arial" w:eastAsia="Arial" w:hAnsi="Arial"/>
                <w:sz w:val="18"/>
                <w:szCs w:val="18"/>
                <w:b w:val="1"/>
                <w:bCs w:val="1"/>
                <w:color w:val="auto"/>
              </w:rPr>
              <w:t>Committees:</w:t>
            </w:r>
          </w:p>
        </w:tc>
        <w:tc>
          <w:tcPr>
            <w:tcW w:w="8620" w:type="dxa"/>
            <w:vAlign w:val="bottom"/>
          </w:tcPr>
          <w:p>
            <w:pPr>
              <w:spacing w:after="0"/>
              <w:rPr>
                <w:sz w:val="20"/>
                <w:szCs w:val="20"/>
                <w:color w:val="auto"/>
              </w:rPr>
            </w:pPr>
            <w:r>
              <w:rPr>
                <w:rFonts w:ascii="Arial" w:cs="Arial" w:eastAsia="Arial" w:hAnsi="Arial"/>
                <w:sz w:val="18"/>
                <w:szCs w:val="18"/>
                <w:color w:val="auto"/>
              </w:rPr>
              <w:t>automotive industry and a valuable perspective on automotive manufacturers to the Board. Based on Mr.</w:t>
            </w:r>
          </w:p>
        </w:tc>
        <w:tc>
          <w:tcPr>
            <w:tcW w:w="0" w:type="dxa"/>
            <w:vAlign w:val="bottom"/>
          </w:tcPr>
          <w:p>
            <w:pPr>
              <w:spacing w:after="0"/>
              <w:rPr>
                <w:sz w:val="1"/>
                <w:szCs w:val="1"/>
                <w:color w:val="auto"/>
              </w:rPr>
            </w:pPr>
          </w:p>
        </w:tc>
      </w:tr>
      <w:tr>
        <w:trPr>
          <w:trHeight w:val="211"/>
        </w:trPr>
        <w:tc>
          <w:tcPr>
            <w:tcW w:w="2640" w:type="dxa"/>
            <w:vAlign w:val="bottom"/>
            <w:tcBorders>
              <w:right w:val="single" w:sz="8" w:color="D91E18"/>
            </w:tcBorders>
            <w:vMerge w:val="restart"/>
            <w:shd w:val="clear" w:color="auto" w:fill="E5E5E5"/>
          </w:tcPr>
          <w:p>
            <w:pPr>
              <w:ind w:left="40"/>
              <w:spacing w:after="0"/>
              <w:rPr>
                <w:sz w:val="20"/>
                <w:szCs w:val="20"/>
                <w:color w:val="auto"/>
              </w:rPr>
            </w:pPr>
            <w:r>
              <w:rPr>
                <w:rFonts w:ascii="Arial" w:cs="Arial" w:eastAsia="Arial" w:hAnsi="Arial"/>
                <w:sz w:val="18"/>
                <w:szCs w:val="18"/>
                <w:color w:val="auto"/>
              </w:rPr>
              <w:t>– Audit</w:t>
            </w:r>
          </w:p>
        </w:tc>
        <w:tc>
          <w:tcPr>
            <w:tcW w:w="8620" w:type="dxa"/>
            <w:vAlign w:val="bottom"/>
          </w:tcPr>
          <w:p>
            <w:pPr>
              <w:spacing w:after="0"/>
              <w:rPr>
                <w:sz w:val="20"/>
                <w:szCs w:val="20"/>
                <w:color w:val="auto"/>
              </w:rPr>
            </w:pPr>
            <w:r>
              <w:rPr>
                <w:rFonts w:ascii="Arial" w:cs="Arial" w:eastAsia="Arial" w:hAnsi="Arial"/>
                <w:sz w:val="18"/>
                <w:szCs w:val="18"/>
                <w:color w:val="auto"/>
              </w:rPr>
              <w:t>Fay's broad knowledge and experience in the automotive industry, the Board believes that Mr. Fay is well</w:t>
            </w:r>
          </w:p>
        </w:tc>
        <w:tc>
          <w:tcPr>
            <w:tcW w:w="0" w:type="dxa"/>
            <w:vAlign w:val="bottom"/>
          </w:tcPr>
          <w:p>
            <w:pPr>
              <w:spacing w:after="0"/>
              <w:rPr>
                <w:sz w:val="1"/>
                <w:szCs w:val="1"/>
                <w:color w:val="auto"/>
              </w:rPr>
            </w:pPr>
          </w:p>
        </w:tc>
      </w:tr>
      <w:tr>
        <w:trPr>
          <w:trHeight w:val="216"/>
        </w:trPr>
        <w:tc>
          <w:tcPr>
            <w:tcW w:w="2640" w:type="dxa"/>
            <w:vAlign w:val="bottom"/>
            <w:tcBorders>
              <w:right w:val="single" w:sz="8" w:color="D91E18"/>
            </w:tcBorders>
            <w:vMerge w:val="continue"/>
            <w:shd w:val="clear" w:color="auto" w:fill="E5E5E5"/>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positioned to serve as the Chair of our Capital Allocation &amp; Risk Management Committee, as a member of</w:t>
            </w:r>
          </w:p>
        </w:tc>
        <w:tc>
          <w:tcPr>
            <w:tcW w:w="0" w:type="dxa"/>
            <w:vAlign w:val="bottom"/>
          </w:tcPr>
          <w:p>
            <w:pPr>
              <w:spacing w:after="0"/>
              <w:rPr>
                <w:sz w:val="1"/>
                <w:szCs w:val="1"/>
                <w:color w:val="auto"/>
              </w:rPr>
            </w:pPr>
          </w:p>
        </w:tc>
      </w:tr>
      <w:tr>
        <w:trPr>
          <w:trHeight w:val="257"/>
        </w:trPr>
        <w:tc>
          <w:tcPr>
            <w:tcW w:w="2640" w:type="dxa"/>
            <w:vAlign w:val="bottom"/>
            <w:tcBorders>
              <w:right w:val="single" w:sz="8" w:color="D91E18"/>
            </w:tcBorders>
            <w:shd w:val="clear" w:color="auto" w:fill="E5E5E5"/>
          </w:tcPr>
          <w:p>
            <w:pPr>
              <w:ind w:left="40"/>
              <w:spacing w:after="0"/>
              <w:rPr>
                <w:sz w:val="20"/>
                <w:szCs w:val="20"/>
                <w:color w:val="auto"/>
              </w:rPr>
            </w:pPr>
            <w:r>
              <w:rPr>
                <w:rFonts w:ascii="Arial" w:cs="Arial" w:eastAsia="Arial" w:hAnsi="Arial"/>
                <w:sz w:val="18"/>
                <w:szCs w:val="18"/>
                <w:color w:val="auto"/>
              </w:rPr>
              <w:t>– Capital Allocation &amp; Risk</w:t>
            </w:r>
          </w:p>
        </w:tc>
        <w:tc>
          <w:tcPr>
            <w:tcW w:w="8620" w:type="dxa"/>
            <w:vAlign w:val="bottom"/>
          </w:tcPr>
          <w:p>
            <w:pPr>
              <w:spacing w:after="0"/>
              <w:rPr>
                <w:sz w:val="20"/>
                <w:szCs w:val="20"/>
                <w:color w:val="auto"/>
              </w:rPr>
            </w:pPr>
            <w:r>
              <w:rPr>
                <w:rFonts w:ascii="Arial" w:cs="Arial" w:eastAsia="Arial" w:hAnsi="Arial"/>
                <w:sz w:val="18"/>
                <w:szCs w:val="18"/>
                <w:color w:val="auto"/>
              </w:rPr>
              <w:t>our Governance &amp; Nominating Committee, Audit Committee and Transaction Committee.</w:t>
            </w:r>
          </w:p>
        </w:tc>
        <w:tc>
          <w:tcPr>
            <w:tcW w:w="0" w:type="dxa"/>
            <w:vAlign w:val="bottom"/>
          </w:tcPr>
          <w:p>
            <w:pPr>
              <w:spacing w:after="0"/>
              <w:rPr>
                <w:sz w:val="1"/>
                <w:szCs w:val="1"/>
                <w:color w:val="auto"/>
              </w:rPr>
            </w:pPr>
          </w:p>
        </w:tc>
      </w:tr>
      <w:tr>
        <w:trPr>
          <w:trHeight w:val="239"/>
        </w:trPr>
        <w:tc>
          <w:tcPr>
            <w:tcW w:w="2640" w:type="dxa"/>
            <w:vAlign w:val="bottom"/>
            <w:tcBorders>
              <w:right w:val="single" w:sz="8" w:color="D91E18"/>
            </w:tcBorders>
            <w:shd w:val="clear" w:color="auto" w:fill="E5E5E5"/>
          </w:tcPr>
          <w:p>
            <w:pPr>
              <w:ind w:left="200"/>
              <w:spacing w:after="0"/>
              <w:rPr>
                <w:sz w:val="20"/>
                <w:szCs w:val="20"/>
                <w:color w:val="auto"/>
              </w:rPr>
            </w:pPr>
            <w:r>
              <w:rPr>
                <w:rFonts w:ascii="Arial" w:cs="Arial" w:eastAsia="Arial" w:hAnsi="Arial"/>
                <w:sz w:val="18"/>
                <w:szCs w:val="18"/>
                <w:color w:val="auto"/>
              </w:rPr>
              <w:t>Management (Chair)</w:t>
            </w:r>
          </w:p>
        </w:tc>
        <w:tc>
          <w:tcPr>
            <w:tcW w:w="8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640" w:type="dxa"/>
            <w:vAlign w:val="bottom"/>
            <w:tcBorders>
              <w:right w:val="single" w:sz="8" w:color="D91E18"/>
            </w:tcBorders>
            <w:shd w:val="clear" w:color="auto" w:fill="E5E5E5"/>
          </w:tcPr>
          <w:p>
            <w:pPr>
              <w:ind w:left="40"/>
              <w:spacing w:after="0"/>
              <w:rPr>
                <w:sz w:val="20"/>
                <w:szCs w:val="20"/>
                <w:color w:val="auto"/>
              </w:rPr>
            </w:pPr>
            <w:r>
              <w:rPr>
                <w:rFonts w:ascii="Arial" w:cs="Arial" w:eastAsia="Arial" w:hAnsi="Arial"/>
                <w:sz w:val="18"/>
                <w:szCs w:val="18"/>
                <w:color w:val="auto"/>
              </w:rPr>
              <w:t>– Governance &amp; Nominating</w:t>
            </w:r>
          </w:p>
        </w:tc>
        <w:tc>
          <w:tcPr>
            <w:tcW w:w="8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640" w:type="dxa"/>
            <w:vAlign w:val="bottom"/>
            <w:tcBorders>
              <w:right w:val="single" w:sz="8" w:color="D91E18"/>
            </w:tcBorders>
            <w:shd w:val="clear" w:color="auto" w:fill="E5E5E5"/>
          </w:tcPr>
          <w:p>
            <w:pPr>
              <w:ind w:left="40"/>
              <w:spacing w:after="0"/>
              <w:rPr>
                <w:sz w:val="20"/>
                <w:szCs w:val="20"/>
                <w:color w:val="auto"/>
              </w:rPr>
            </w:pPr>
            <w:r>
              <w:rPr>
                <w:rFonts w:ascii="Arial" w:cs="Arial" w:eastAsia="Arial" w:hAnsi="Arial"/>
                <w:sz w:val="18"/>
                <w:szCs w:val="18"/>
                <w:color w:val="auto"/>
              </w:rPr>
              <w:t>– Transaction</w:t>
            </w:r>
          </w:p>
        </w:tc>
        <w:tc>
          <w:tcPr>
            <w:tcW w:w="8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640" w:type="dxa"/>
            <w:vAlign w:val="bottom"/>
            <w:tcBorders>
              <w:bottom w:val="single" w:sz="8" w:color="D91E18"/>
              <w:right w:val="single" w:sz="8" w:color="D91E18"/>
            </w:tcBorders>
            <w:shd w:val="clear" w:color="auto" w:fill="E5E5E5"/>
          </w:tcPr>
          <w:p>
            <w:pPr>
              <w:spacing w:after="0"/>
              <w:rPr>
                <w:sz w:val="11"/>
                <w:szCs w:val="11"/>
                <w:color w:val="auto"/>
              </w:rPr>
            </w:pPr>
          </w:p>
        </w:tc>
        <w:tc>
          <w:tcPr>
            <w:tcW w:w="8620" w:type="dxa"/>
            <w:vAlign w:val="bottom"/>
            <w:tcBorders>
              <w:bottom w:val="single" w:sz="8" w:color="D91E18"/>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9"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FFFFFF"/>
        </w:rPr>
        <w:t>David W. Hult, President &amp;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40575" cy="25634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0575" cy="256349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0" w:right="300"/>
        <w:spacing w:after="0" w:line="375" w:lineRule="auto"/>
        <w:rPr>
          <w:sz w:val="20"/>
          <w:szCs w:val="20"/>
          <w:color w:val="auto"/>
        </w:rPr>
      </w:pPr>
      <w:r>
        <w:rPr>
          <w:rFonts w:ascii="Arial" w:cs="Arial" w:eastAsia="Arial" w:hAnsi="Arial"/>
          <w:sz w:val="18"/>
          <w:szCs w:val="18"/>
          <w:b w:val="1"/>
          <w:bCs w:val="1"/>
          <w:color w:val="auto"/>
        </w:rPr>
        <w:t xml:space="preserve">Executive Director Age: </w:t>
      </w:r>
      <w:r>
        <w:rPr>
          <w:rFonts w:ascii="Arial" w:cs="Arial" w:eastAsia="Arial" w:hAnsi="Arial"/>
          <w:sz w:val="18"/>
          <w:szCs w:val="18"/>
          <w:color w:val="auto"/>
        </w:rPr>
        <w:t>59</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 xml:space="preserve">Director since: </w:t>
      </w:r>
      <w:r>
        <w:rPr>
          <w:rFonts w:ascii="Arial" w:cs="Arial" w:eastAsia="Arial" w:hAnsi="Arial"/>
          <w:sz w:val="17"/>
          <w:szCs w:val="17"/>
          <w:color w:val="auto"/>
        </w:rPr>
        <w:t>2018</w:t>
      </w:r>
    </w:p>
    <w:p>
      <w:pPr>
        <w:spacing w:after="0" w:line="12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Committees:</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 Executive</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Mr. Hult has served as our President &amp; Chief Executive Officer since January 2018. Prior to becoming our President &amp; Chief Executive Officer, Mr. Hult served as our Executive Vice President &amp; Chief Operating Officer since November 2014 after holding the position of Chief Operating Officer at RJL-McLarty-Landers Automotive Holdings, LLC, an automotive franchise and dealership operator, from January 2013 to November 2014. From June 2004 to July 2012, Mr. Hult held several roles with Group One Automotive, Inc., including Vice President of Fixed Operations and Marketing, Regional Vice President - East Region, and Market Director for New England. He has been an operator at the General Manager level, as well as the regional level, for a number of large automotive dealership groups. After serving our country in the U.S. Army, Mr. Hult started his career as a retail sales associate within the automotive industry.</w:t>
      </w:r>
    </w:p>
    <w:p>
      <w:pPr>
        <w:spacing w:after="0" w:line="73"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Mr. Hult has over 20 years of experience as an operations executive at large auto retail companies. In his role as our President &amp; Chief Executive Officer, Mr. Hult has primary responsibility for the day-to-day operations of the Company. Mr. Hult’s in-depth knowledge of the Company allows him to effectively identify strategic priorities, provide valuable input during Board discussions, and execute the Company’s strategy and business plans. Because of Mr. Hult’s position and significant experience in overseeing auto retail operations at the Company, the Board has determined that it is appropriate for Mr. Hult to also serve on the Board.</w:t>
      </w:r>
    </w:p>
    <w:p>
      <w:pPr>
        <w:spacing w:after="0" w:line="200" w:lineRule="exact"/>
        <w:rPr>
          <w:sz w:val="20"/>
          <w:szCs w:val="20"/>
          <w:color w:val="auto"/>
        </w:rPr>
      </w:pPr>
    </w:p>
    <w:p>
      <w:pPr>
        <w:sectPr>
          <w:pgSz w:w="11900" w:h="16838" w:orient="portrait"/>
          <w:cols w:equalWidth="0" w:num="2">
            <w:col w:w="1920" w:space="720"/>
            <w:col w:w="8620"/>
          </w:cols>
          <w:pgMar w:left="320" w:top="122"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3"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FFFFFF"/>
        </w:rPr>
        <w:t>Juanita T.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40575" cy="39350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0575" cy="393509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0" w:right="460"/>
        <w:spacing w:after="0" w:line="375" w:lineRule="auto"/>
        <w:rPr>
          <w:sz w:val="20"/>
          <w:szCs w:val="20"/>
          <w:color w:val="auto"/>
        </w:rPr>
      </w:pPr>
      <w:r>
        <w:rPr>
          <w:rFonts w:ascii="Arial" w:cs="Arial" w:eastAsia="Arial" w:hAnsi="Arial"/>
          <w:sz w:val="18"/>
          <w:szCs w:val="18"/>
          <w:b w:val="1"/>
          <w:bCs w:val="1"/>
          <w:color w:val="auto"/>
        </w:rPr>
        <w:t xml:space="preserve">Independent Director Age: </w:t>
      </w:r>
      <w:r>
        <w:rPr>
          <w:rFonts w:ascii="Arial" w:cs="Arial" w:eastAsia="Arial" w:hAnsi="Arial"/>
          <w:sz w:val="18"/>
          <w:szCs w:val="18"/>
          <w:color w:val="auto"/>
        </w:rPr>
        <w:t>72</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2007</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Committees:</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 Audit</w:t>
      </w:r>
    </w:p>
    <w:p>
      <w:pPr>
        <w:spacing w:after="0" w:line="117" w:lineRule="exact"/>
        <w:rPr>
          <w:sz w:val="20"/>
          <w:szCs w:val="20"/>
          <w:color w:val="auto"/>
        </w:rPr>
      </w:pPr>
    </w:p>
    <w:p>
      <w:pPr>
        <w:ind w:left="200" w:hanging="162"/>
        <w:spacing w:after="0" w:line="287" w:lineRule="auto"/>
        <w:rPr>
          <w:sz w:val="20"/>
          <w:szCs w:val="20"/>
          <w:color w:val="auto"/>
        </w:rPr>
      </w:pPr>
      <w:r>
        <w:rPr>
          <w:rFonts w:ascii="Arial" w:cs="Arial" w:eastAsia="Arial" w:hAnsi="Arial"/>
          <w:sz w:val="18"/>
          <w:szCs w:val="18"/>
          <w:color w:val="auto"/>
        </w:rPr>
        <w:t>– Governance &amp; Nominating (Chair)</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Ms. James served as the President &amp; Chief Executive Officer of Fairfield County’s Community Foundation (“FCCF”) from October 2011 to October 2022. Prior to joining FCCF, Ms. James served as the Vice President and Chief Marketing and Communications Officer for Pitney Bowes, Inc. from May 2007 until November 2010, during which time she also served on its Chief Executive Officer Council and its Corporate Social Responsibility Committee. From October 2006 to May 2007, Ms. James served as the Vice President and Chief Communications Officer for Pitney Bowes. From October 2004 until October 2006, Ms. James served as the Vice President of Direct Marketing Strategy and Business Development for Pitney Bowes. From 2002 until 2004, Ms. James served as the Vice President, Project Leader of Human Resources Transformation for Pitney Bowes, where she led a global SAP Human Resources and Payroll implementation and launched the company’s first shared services initiative. Prior to joining Pitney Bowes in 1999, Ms. James was the Executive Vice President, Marketing and Editorial of Doubleday Direct, Inc. Ms. James had a distinguished 20-year career at Time Warner, Inc., including 12 years in senior management positions. Ms. James also formerly served as the Chair of the Compensation Committee of the Board of Trustees of the University of Connecticut.</w:t>
      </w:r>
    </w:p>
    <w:p>
      <w:pPr>
        <w:spacing w:after="0" w:line="7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Based on her management experience at FCCF, Pitney Bowes and Doubleday Direct, the Board has determined that Ms. James brings to the Board demonstrated senior-level leadership experience. Through her various positions at Pitney Bowes, Ms. James also brings to the Board a broad understanding of sales, marketing, brand management, investor relations and general communications matters that affect large companies, which are areas critical to the automotive retail business and to which she can provide valuable insight. As a former member of the audit committee of The Rouse Company, the Board believes that Ms. James has valuable experience dealing with accounting principles, financial reporting rules and regulations, evaluating financial results and generally overseeing public company financial reporting processes. In addition, the Board believes that Ms. James’ service as former Chair of the Nominating and Governance Committee of The Rouse Company, as well as her prior and current service on numerous not-for-profit boards, provides her with additional experience upon which she can draw as a member of our Board, Audit Committee and as Chair of our Governance &amp; Nominating Committee.</w:t>
      </w:r>
    </w:p>
    <w:p>
      <w:pPr>
        <w:spacing w:after="0" w:line="200" w:lineRule="exact"/>
        <w:rPr>
          <w:sz w:val="20"/>
          <w:szCs w:val="20"/>
          <w:color w:val="auto"/>
        </w:rPr>
      </w:pPr>
    </w:p>
    <w:p>
      <w:pPr>
        <w:sectPr>
          <w:pgSz w:w="11900" w:h="16838" w:orient="portrait"/>
          <w:cols w:equalWidth="0" w:num="2">
            <w:col w:w="2300" w:space="340"/>
            <w:col w:w="8580"/>
          </w:cols>
          <w:pgMar w:left="320" w:top="122" w:right="359" w:bottom="1440" w:gutter="0" w:footer="0" w:header="0"/>
          <w:type w:val="continuous"/>
        </w:sect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3"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FFFFFF"/>
        </w:rPr>
        <w:t>Philip F. Maritz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40575" cy="31115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0575" cy="3111500"/>
                    </a:xfrm>
                    <a:prstGeom prst="rect">
                      <a:avLst/>
                    </a:prstGeom>
                    <a:noFill/>
                  </pic:spPr>
                </pic:pic>
              </a:graphicData>
            </a:graphic>
          </wp:anchor>
        </w:drawing>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640" w:type="dxa"/>
            <w:vAlign w:val="bottom"/>
            <w:tcBorders>
              <w:top w:val="single" w:sz="8" w:color="D91E18"/>
              <w:right w:val="single" w:sz="8" w:color="D91E18"/>
            </w:tcBorders>
            <w:shd w:val="clear" w:color="auto" w:fill="E5E5E5"/>
          </w:tcPr>
          <w:p>
            <w:pPr>
              <w:spacing w:after="0"/>
              <w:rPr>
                <w:sz w:val="18"/>
                <w:szCs w:val="18"/>
                <w:color w:val="auto"/>
              </w:rPr>
            </w:pPr>
          </w:p>
        </w:tc>
        <w:tc>
          <w:tcPr>
            <w:tcW w:w="8620" w:type="dxa"/>
            <w:vAlign w:val="bottom"/>
            <w:tcBorders>
              <w:top w:val="single" w:sz="8" w:color="D91E18"/>
            </w:tcBorders>
          </w:tcPr>
          <w:p>
            <w:pPr>
              <w:spacing w:after="0"/>
              <w:rPr>
                <w:sz w:val="20"/>
                <w:szCs w:val="20"/>
                <w:color w:val="auto"/>
              </w:rPr>
            </w:pPr>
            <w:r>
              <w:rPr>
                <w:rFonts w:ascii="Arial" w:cs="Arial" w:eastAsia="Arial" w:hAnsi="Arial"/>
                <w:sz w:val="18"/>
                <w:szCs w:val="18"/>
                <w:color w:val="auto"/>
              </w:rPr>
              <w:t>Mr. Maritz is the co-founder and President of Maritz, Wolff &amp; Co., which manages the Hotel Equity Fund, a</w:t>
            </w:r>
          </w:p>
        </w:tc>
        <w:tc>
          <w:tcPr>
            <w:tcW w:w="0" w:type="dxa"/>
            <w:vAlign w:val="bottom"/>
          </w:tcPr>
          <w:p>
            <w:pPr>
              <w:spacing w:after="0"/>
              <w:rPr>
                <w:sz w:val="1"/>
                <w:szCs w:val="1"/>
                <w:color w:val="auto"/>
              </w:rPr>
            </w:pPr>
          </w:p>
        </w:tc>
      </w:tr>
      <w:tr>
        <w:trPr>
          <w:trHeight w:val="216"/>
        </w:trPr>
        <w:tc>
          <w:tcPr>
            <w:tcW w:w="2640" w:type="dxa"/>
            <w:vAlign w:val="bottom"/>
            <w:tcBorders>
              <w:right w:val="single" w:sz="8" w:color="D91E18"/>
            </w:tcBorders>
            <w:shd w:val="clear" w:color="auto" w:fill="E5E5E5"/>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private equity investment fund that invests in luxury hotels and resorts. In 1990, he founded Maritz</w:t>
            </w:r>
          </w:p>
        </w:tc>
        <w:tc>
          <w:tcPr>
            <w:tcW w:w="0" w:type="dxa"/>
            <w:vAlign w:val="bottom"/>
          </w:tcPr>
          <w:p>
            <w:pPr>
              <w:spacing w:after="0"/>
              <w:rPr>
                <w:sz w:val="1"/>
                <w:szCs w:val="1"/>
                <w:color w:val="auto"/>
              </w:rPr>
            </w:pPr>
          </w:p>
        </w:tc>
      </w:tr>
      <w:tr>
        <w:trPr>
          <w:trHeight w:val="216"/>
        </w:trPr>
        <w:tc>
          <w:tcPr>
            <w:tcW w:w="2640" w:type="dxa"/>
            <w:vAlign w:val="bottom"/>
            <w:tcBorders>
              <w:right w:val="single" w:sz="8" w:color="D91E18"/>
            </w:tcBorders>
            <w:shd w:val="clear" w:color="auto" w:fill="E5E5E5"/>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Properties, a commercial real estate development and investment firm where he serves as President. He is</w:t>
            </w:r>
          </w:p>
        </w:tc>
        <w:tc>
          <w:tcPr>
            <w:tcW w:w="0" w:type="dxa"/>
            <w:vAlign w:val="bottom"/>
          </w:tcPr>
          <w:p>
            <w:pPr>
              <w:spacing w:after="0"/>
              <w:rPr>
                <w:sz w:val="1"/>
                <w:szCs w:val="1"/>
                <w:color w:val="auto"/>
              </w:rPr>
            </w:pPr>
          </w:p>
        </w:tc>
      </w:tr>
      <w:tr>
        <w:trPr>
          <w:trHeight w:val="216"/>
        </w:trPr>
        <w:tc>
          <w:tcPr>
            <w:tcW w:w="2640" w:type="dxa"/>
            <w:vAlign w:val="bottom"/>
            <w:tcBorders>
              <w:right w:val="single" w:sz="8" w:color="D91E18"/>
            </w:tcBorders>
            <w:shd w:val="clear" w:color="auto" w:fill="E5E5E5"/>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also the Managing Director of Broadreach Capital Partners, a private equity real estate investment fund and</w:t>
            </w:r>
          </w:p>
        </w:tc>
        <w:tc>
          <w:tcPr>
            <w:tcW w:w="0" w:type="dxa"/>
            <w:vAlign w:val="bottom"/>
          </w:tcPr>
          <w:p>
            <w:pPr>
              <w:spacing w:after="0"/>
              <w:rPr>
                <w:sz w:val="1"/>
                <w:szCs w:val="1"/>
                <w:color w:val="auto"/>
              </w:rPr>
            </w:pPr>
          </w:p>
        </w:tc>
      </w:tr>
      <w:tr>
        <w:trPr>
          <w:trHeight w:val="239"/>
        </w:trPr>
        <w:tc>
          <w:tcPr>
            <w:tcW w:w="2640" w:type="dxa"/>
            <w:vAlign w:val="bottom"/>
            <w:tcBorders>
              <w:right w:val="single" w:sz="8" w:color="D91E18"/>
            </w:tcBorders>
            <w:shd w:val="clear" w:color="auto" w:fill="E5E5E5"/>
          </w:tcPr>
          <w:p>
            <w:pPr>
              <w:spacing w:after="0"/>
              <w:rPr>
                <w:sz w:val="20"/>
                <w:szCs w:val="20"/>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a member of the Council on Foreign Relations.</w:t>
            </w:r>
          </w:p>
        </w:tc>
        <w:tc>
          <w:tcPr>
            <w:tcW w:w="0" w:type="dxa"/>
            <w:vAlign w:val="bottom"/>
          </w:tcPr>
          <w:p>
            <w:pPr>
              <w:spacing w:after="0"/>
              <w:rPr>
                <w:sz w:val="1"/>
                <w:szCs w:val="1"/>
                <w:color w:val="auto"/>
              </w:rPr>
            </w:pPr>
          </w:p>
        </w:tc>
      </w:tr>
      <w:tr>
        <w:trPr>
          <w:trHeight w:val="301"/>
        </w:trPr>
        <w:tc>
          <w:tcPr>
            <w:tcW w:w="2640" w:type="dxa"/>
            <w:vAlign w:val="bottom"/>
            <w:tcBorders>
              <w:right w:val="single" w:sz="8" w:color="D91E18"/>
            </w:tcBorders>
            <w:shd w:val="clear" w:color="auto" w:fill="E5E5E5"/>
          </w:tcPr>
          <w:p>
            <w:pPr>
              <w:spacing w:after="0"/>
              <w:rPr>
                <w:sz w:val="24"/>
                <w:szCs w:val="24"/>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With his significant real estate investment and management, strategic and operational experience as</w:t>
            </w:r>
          </w:p>
        </w:tc>
        <w:tc>
          <w:tcPr>
            <w:tcW w:w="0" w:type="dxa"/>
            <w:vAlign w:val="bottom"/>
          </w:tcPr>
          <w:p>
            <w:pPr>
              <w:spacing w:after="0"/>
              <w:rPr>
                <w:sz w:val="1"/>
                <w:szCs w:val="1"/>
                <w:color w:val="auto"/>
              </w:rPr>
            </w:pPr>
          </w:p>
        </w:tc>
      </w:tr>
      <w:tr>
        <w:trPr>
          <w:trHeight w:val="216"/>
        </w:trPr>
        <w:tc>
          <w:tcPr>
            <w:tcW w:w="2640" w:type="dxa"/>
            <w:vAlign w:val="bottom"/>
            <w:tcBorders>
              <w:right w:val="single" w:sz="8" w:color="D91E18"/>
            </w:tcBorders>
            <w:vMerge w:val="restart"/>
            <w:shd w:val="clear" w:color="auto" w:fill="E5E5E5"/>
          </w:tcPr>
          <w:p>
            <w:pPr>
              <w:ind w:left="40"/>
              <w:spacing w:after="0"/>
              <w:rPr>
                <w:sz w:val="20"/>
                <w:szCs w:val="20"/>
                <w:color w:val="auto"/>
              </w:rPr>
            </w:pPr>
            <w:r>
              <w:rPr>
                <w:rFonts w:ascii="Arial" w:cs="Arial" w:eastAsia="Arial" w:hAnsi="Arial"/>
                <w:sz w:val="18"/>
                <w:szCs w:val="18"/>
                <w:b w:val="1"/>
                <w:bCs w:val="1"/>
                <w:color w:val="auto"/>
              </w:rPr>
              <w:t>Independent Director</w:t>
            </w:r>
          </w:p>
        </w:tc>
        <w:tc>
          <w:tcPr>
            <w:tcW w:w="8620" w:type="dxa"/>
            <w:vAlign w:val="bottom"/>
          </w:tcPr>
          <w:p>
            <w:pPr>
              <w:spacing w:after="0"/>
              <w:rPr>
                <w:sz w:val="20"/>
                <w:szCs w:val="20"/>
                <w:color w:val="auto"/>
              </w:rPr>
            </w:pPr>
            <w:r>
              <w:rPr>
                <w:rFonts w:ascii="Arial" w:cs="Arial" w:eastAsia="Arial" w:hAnsi="Arial"/>
                <w:sz w:val="18"/>
                <w:szCs w:val="18"/>
                <w:color w:val="auto"/>
              </w:rPr>
              <w:t>President of Maritz, Wolff &amp; Co. and Maritz Properties, along with his financial and investment experience</w:t>
            </w:r>
          </w:p>
        </w:tc>
        <w:tc>
          <w:tcPr>
            <w:tcW w:w="0" w:type="dxa"/>
            <w:vAlign w:val="bottom"/>
          </w:tcPr>
          <w:p>
            <w:pPr>
              <w:spacing w:after="0"/>
              <w:rPr>
                <w:sz w:val="1"/>
                <w:szCs w:val="1"/>
                <w:color w:val="auto"/>
              </w:rPr>
            </w:pPr>
          </w:p>
        </w:tc>
      </w:tr>
      <w:tr>
        <w:trPr>
          <w:trHeight w:val="216"/>
        </w:trPr>
        <w:tc>
          <w:tcPr>
            <w:tcW w:w="2640" w:type="dxa"/>
            <w:vAlign w:val="bottom"/>
            <w:tcBorders>
              <w:right w:val="single" w:sz="8" w:color="D91E18"/>
            </w:tcBorders>
            <w:vMerge w:val="continue"/>
            <w:shd w:val="clear" w:color="auto" w:fill="E5E5E5"/>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as a Managing Director of Broadreach Capital Partners, the Board has determined that Mr. Maritz has</w:t>
            </w:r>
          </w:p>
        </w:tc>
        <w:tc>
          <w:tcPr>
            <w:tcW w:w="0" w:type="dxa"/>
            <w:vAlign w:val="bottom"/>
          </w:tcPr>
          <w:p>
            <w:pPr>
              <w:spacing w:after="0"/>
              <w:rPr>
                <w:sz w:val="1"/>
                <w:szCs w:val="1"/>
                <w:color w:val="auto"/>
              </w:rPr>
            </w:pPr>
          </w:p>
        </w:tc>
      </w:tr>
      <w:tr>
        <w:trPr>
          <w:trHeight w:val="221"/>
        </w:trPr>
        <w:tc>
          <w:tcPr>
            <w:tcW w:w="2640" w:type="dxa"/>
            <w:vAlign w:val="bottom"/>
            <w:tcBorders>
              <w:right w:val="single" w:sz="8" w:color="D91E18"/>
            </w:tcBorders>
            <w:shd w:val="clear" w:color="auto" w:fill="E5E5E5"/>
          </w:tcPr>
          <w:p>
            <w:pPr>
              <w:ind w:left="4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64</w:t>
            </w:r>
          </w:p>
        </w:tc>
        <w:tc>
          <w:tcPr>
            <w:tcW w:w="8620" w:type="dxa"/>
            <w:vAlign w:val="bottom"/>
          </w:tcPr>
          <w:p>
            <w:pPr>
              <w:spacing w:after="0"/>
              <w:rPr>
                <w:sz w:val="20"/>
                <w:szCs w:val="20"/>
                <w:color w:val="auto"/>
              </w:rPr>
            </w:pPr>
            <w:r>
              <w:rPr>
                <w:rFonts w:ascii="Arial" w:cs="Arial" w:eastAsia="Arial" w:hAnsi="Arial"/>
                <w:sz w:val="18"/>
                <w:szCs w:val="18"/>
                <w:color w:val="auto"/>
              </w:rPr>
              <w:t>valuable insight into the effective strategic management of businesses, including with respect to the</w:t>
            </w:r>
          </w:p>
        </w:tc>
        <w:tc>
          <w:tcPr>
            <w:tcW w:w="0" w:type="dxa"/>
            <w:vAlign w:val="bottom"/>
          </w:tcPr>
          <w:p>
            <w:pPr>
              <w:spacing w:after="0"/>
              <w:rPr>
                <w:sz w:val="1"/>
                <w:szCs w:val="1"/>
                <w:color w:val="auto"/>
              </w:rPr>
            </w:pPr>
          </w:p>
        </w:tc>
      </w:tr>
      <w:tr>
        <w:trPr>
          <w:trHeight w:val="211"/>
        </w:trPr>
        <w:tc>
          <w:tcPr>
            <w:tcW w:w="2640" w:type="dxa"/>
            <w:vAlign w:val="bottom"/>
            <w:tcBorders>
              <w:right w:val="single" w:sz="8" w:color="D91E18"/>
            </w:tcBorders>
            <w:vMerge w:val="restart"/>
            <w:shd w:val="clear" w:color="auto" w:fill="E5E5E5"/>
          </w:tcPr>
          <w:p>
            <w:pPr>
              <w:ind w:left="4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2002</w:t>
            </w:r>
          </w:p>
        </w:tc>
        <w:tc>
          <w:tcPr>
            <w:tcW w:w="8620" w:type="dxa"/>
            <w:vAlign w:val="bottom"/>
          </w:tcPr>
          <w:p>
            <w:pPr>
              <w:spacing w:after="0"/>
              <w:rPr>
                <w:sz w:val="20"/>
                <w:szCs w:val="20"/>
                <w:color w:val="auto"/>
              </w:rPr>
            </w:pPr>
            <w:r>
              <w:rPr>
                <w:rFonts w:ascii="Arial" w:cs="Arial" w:eastAsia="Arial" w:hAnsi="Arial"/>
                <w:sz w:val="18"/>
                <w:szCs w:val="18"/>
                <w:color w:val="auto"/>
              </w:rPr>
              <w:t>evaluation of operational, financial and transactional risks. In addition, Mr. Maritz’s experience in marketing</w:t>
            </w:r>
          </w:p>
        </w:tc>
        <w:tc>
          <w:tcPr>
            <w:tcW w:w="0" w:type="dxa"/>
            <w:vAlign w:val="bottom"/>
          </w:tcPr>
          <w:p>
            <w:pPr>
              <w:spacing w:after="0"/>
              <w:rPr>
                <w:sz w:val="1"/>
                <w:szCs w:val="1"/>
                <w:color w:val="auto"/>
              </w:rPr>
            </w:pPr>
          </w:p>
        </w:tc>
      </w:tr>
      <w:tr>
        <w:trPr>
          <w:trHeight w:val="216"/>
        </w:trPr>
        <w:tc>
          <w:tcPr>
            <w:tcW w:w="2640" w:type="dxa"/>
            <w:vAlign w:val="bottom"/>
            <w:tcBorders>
              <w:right w:val="single" w:sz="8" w:color="D91E18"/>
            </w:tcBorders>
            <w:vMerge w:val="continue"/>
            <w:shd w:val="clear" w:color="auto" w:fill="E5E5E5"/>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and sales of luxury goods and services and his strategic management of luxury brands is relevant to our</w:t>
            </w:r>
          </w:p>
        </w:tc>
        <w:tc>
          <w:tcPr>
            <w:tcW w:w="0" w:type="dxa"/>
            <w:vAlign w:val="bottom"/>
          </w:tcPr>
          <w:p>
            <w:pPr>
              <w:spacing w:after="0"/>
              <w:rPr>
                <w:sz w:val="1"/>
                <w:szCs w:val="1"/>
                <w:color w:val="auto"/>
              </w:rPr>
            </w:pPr>
          </w:p>
        </w:tc>
      </w:tr>
      <w:tr>
        <w:trPr>
          <w:trHeight w:val="221"/>
        </w:trPr>
        <w:tc>
          <w:tcPr>
            <w:tcW w:w="2640" w:type="dxa"/>
            <w:vAlign w:val="bottom"/>
            <w:tcBorders>
              <w:right w:val="single" w:sz="8" w:color="D91E18"/>
            </w:tcBorders>
            <w:shd w:val="clear" w:color="auto" w:fill="E5E5E5"/>
          </w:tcPr>
          <w:p>
            <w:pPr>
              <w:ind w:left="40"/>
              <w:spacing w:after="0"/>
              <w:rPr>
                <w:sz w:val="20"/>
                <w:szCs w:val="20"/>
                <w:color w:val="auto"/>
              </w:rPr>
            </w:pPr>
            <w:r>
              <w:rPr>
                <w:rFonts w:ascii="Arial" w:cs="Arial" w:eastAsia="Arial" w:hAnsi="Arial"/>
                <w:sz w:val="18"/>
                <w:szCs w:val="18"/>
                <w:b w:val="1"/>
                <w:bCs w:val="1"/>
                <w:color w:val="auto"/>
              </w:rPr>
              <w:t>Committees:</w:t>
            </w:r>
          </w:p>
        </w:tc>
        <w:tc>
          <w:tcPr>
            <w:tcW w:w="8620" w:type="dxa"/>
            <w:vAlign w:val="bottom"/>
          </w:tcPr>
          <w:p>
            <w:pPr>
              <w:spacing w:after="0"/>
              <w:rPr>
                <w:sz w:val="20"/>
                <w:szCs w:val="20"/>
                <w:color w:val="auto"/>
              </w:rPr>
            </w:pPr>
            <w:r>
              <w:rPr>
                <w:rFonts w:ascii="Arial" w:cs="Arial" w:eastAsia="Arial" w:hAnsi="Arial"/>
                <w:sz w:val="18"/>
                <w:szCs w:val="18"/>
                <w:color w:val="auto"/>
              </w:rPr>
              <w:t>Company and our business. Mr. Maritz’s leadership positions at these various companies demonstrate his</w:t>
            </w:r>
          </w:p>
        </w:tc>
        <w:tc>
          <w:tcPr>
            <w:tcW w:w="0" w:type="dxa"/>
            <w:vAlign w:val="bottom"/>
          </w:tcPr>
          <w:p>
            <w:pPr>
              <w:spacing w:after="0"/>
              <w:rPr>
                <w:sz w:val="1"/>
                <w:szCs w:val="1"/>
                <w:color w:val="auto"/>
              </w:rPr>
            </w:pPr>
          </w:p>
        </w:tc>
      </w:tr>
      <w:tr>
        <w:trPr>
          <w:trHeight w:val="211"/>
        </w:trPr>
        <w:tc>
          <w:tcPr>
            <w:tcW w:w="2640" w:type="dxa"/>
            <w:vAlign w:val="bottom"/>
            <w:tcBorders>
              <w:right w:val="single" w:sz="8" w:color="D91E18"/>
            </w:tcBorders>
            <w:vMerge w:val="restart"/>
            <w:shd w:val="clear" w:color="auto" w:fill="E5E5E5"/>
          </w:tcPr>
          <w:p>
            <w:pPr>
              <w:ind w:left="40"/>
              <w:spacing w:after="0"/>
              <w:rPr>
                <w:sz w:val="20"/>
                <w:szCs w:val="20"/>
                <w:color w:val="auto"/>
              </w:rPr>
            </w:pPr>
            <w:r>
              <w:rPr>
                <w:rFonts w:ascii="Arial" w:cs="Arial" w:eastAsia="Arial" w:hAnsi="Arial"/>
                <w:sz w:val="18"/>
                <w:szCs w:val="18"/>
                <w:color w:val="auto"/>
              </w:rPr>
              <w:t>– Capital Allocation &amp; Risk</w:t>
            </w:r>
          </w:p>
        </w:tc>
        <w:tc>
          <w:tcPr>
            <w:tcW w:w="8620" w:type="dxa"/>
            <w:vAlign w:val="bottom"/>
          </w:tcPr>
          <w:p>
            <w:pPr>
              <w:spacing w:after="0"/>
              <w:rPr>
                <w:sz w:val="20"/>
                <w:szCs w:val="20"/>
                <w:color w:val="auto"/>
              </w:rPr>
            </w:pPr>
            <w:r>
              <w:rPr>
                <w:rFonts w:ascii="Arial" w:cs="Arial" w:eastAsia="Arial" w:hAnsi="Arial"/>
                <w:sz w:val="18"/>
                <w:szCs w:val="18"/>
                <w:color w:val="auto"/>
              </w:rPr>
              <w:t>management abilities and his understanding of business and financial strategy and operations, making him</w:t>
            </w:r>
          </w:p>
        </w:tc>
        <w:tc>
          <w:tcPr>
            <w:tcW w:w="0" w:type="dxa"/>
            <w:vAlign w:val="bottom"/>
          </w:tcPr>
          <w:p>
            <w:pPr>
              <w:spacing w:after="0"/>
              <w:rPr>
                <w:sz w:val="1"/>
                <w:szCs w:val="1"/>
                <w:color w:val="auto"/>
              </w:rPr>
            </w:pPr>
          </w:p>
        </w:tc>
      </w:tr>
      <w:tr>
        <w:trPr>
          <w:trHeight w:val="148"/>
        </w:trPr>
        <w:tc>
          <w:tcPr>
            <w:tcW w:w="2640" w:type="dxa"/>
            <w:vAlign w:val="bottom"/>
            <w:tcBorders>
              <w:right w:val="single" w:sz="8" w:color="D91E18"/>
            </w:tcBorders>
            <w:vMerge w:val="continue"/>
            <w:shd w:val="clear" w:color="auto" w:fill="E5E5E5"/>
          </w:tcPr>
          <w:p>
            <w:pPr>
              <w:spacing w:after="0"/>
              <w:rPr>
                <w:sz w:val="12"/>
                <w:szCs w:val="12"/>
                <w:color w:val="auto"/>
              </w:rPr>
            </w:pPr>
          </w:p>
        </w:tc>
        <w:tc>
          <w:tcPr>
            <w:tcW w:w="8620" w:type="dxa"/>
            <w:vAlign w:val="bottom"/>
            <w:vMerge w:val="restart"/>
          </w:tcPr>
          <w:p>
            <w:pPr>
              <w:spacing w:after="0"/>
              <w:rPr>
                <w:sz w:val="20"/>
                <w:szCs w:val="20"/>
                <w:color w:val="auto"/>
              </w:rPr>
            </w:pPr>
            <w:r>
              <w:rPr>
                <w:rFonts w:ascii="Arial" w:cs="Arial" w:eastAsia="Arial" w:hAnsi="Arial"/>
                <w:sz w:val="18"/>
                <w:szCs w:val="18"/>
                <w:color w:val="auto"/>
              </w:rPr>
              <w:t>a valuable member of our Governance &amp; Nominating Committee, Capital Allocation &amp; Risk Management</w:t>
            </w:r>
          </w:p>
        </w:tc>
        <w:tc>
          <w:tcPr>
            <w:tcW w:w="0" w:type="dxa"/>
            <w:vAlign w:val="bottom"/>
          </w:tcPr>
          <w:p>
            <w:pPr>
              <w:spacing w:after="0"/>
              <w:rPr>
                <w:sz w:val="1"/>
                <w:szCs w:val="1"/>
                <w:color w:val="auto"/>
              </w:rPr>
            </w:pPr>
          </w:p>
        </w:tc>
      </w:tr>
      <w:tr>
        <w:trPr>
          <w:trHeight w:val="68"/>
        </w:trPr>
        <w:tc>
          <w:tcPr>
            <w:tcW w:w="2640" w:type="dxa"/>
            <w:vAlign w:val="bottom"/>
            <w:tcBorders>
              <w:right w:val="single" w:sz="8" w:color="D91E18"/>
            </w:tcBorders>
            <w:vMerge w:val="restart"/>
            <w:shd w:val="clear" w:color="auto" w:fill="E5E5E5"/>
          </w:tcPr>
          <w:p>
            <w:pPr>
              <w:ind w:left="200"/>
              <w:spacing w:after="0"/>
              <w:rPr>
                <w:sz w:val="20"/>
                <w:szCs w:val="20"/>
                <w:color w:val="auto"/>
              </w:rPr>
            </w:pPr>
            <w:r>
              <w:rPr>
                <w:rFonts w:ascii="Arial" w:cs="Arial" w:eastAsia="Arial" w:hAnsi="Arial"/>
                <w:sz w:val="18"/>
                <w:szCs w:val="18"/>
                <w:color w:val="auto"/>
              </w:rPr>
              <w:t>Management</w:t>
            </w:r>
          </w:p>
        </w:tc>
        <w:tc>
          <w:tcPr>
            <w:tcW w:w="8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640" w:type="dxa"/>
            <w:vAlign w:val="bottom"/>
            <w:tcBorders>
              <w:right w:val="single" w:sz="8" w:color="D91E18"/>
            </w:tcBorders>
            <w:vMerge w:val="continue"/>
            <w:shd w:val="clear" w:color="auto" w:fill="E5E5E5"/>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Committee and Executive Committee. Furthermore, Mr. Maritz is, or has been, a director of a number of</w:t>
            </w:r>
          </w:p>
        </w:tc>
        <w:tc>
          <w:tcPr>
            <w:tcW w:w="0" w:type="dxa"/>
            <w:vAlign w:val="bottom"/>
          </w:tcPr>
          <w:p>
            <w:pPr>
              <w:spacing w:after="0"/>
              <w:rPr>
                <w:sz w:val="1"/>
                <w:szCs w:val="1"/>
                <w:color w:val="auto"/>
              </w:rPr>
            </w:pPr>
          </w:p>
        </w:tc>
      </w:tr>
      <w:tr>
        <w:trPr>
          <w:trHeight w:val="221"/>
        </w:trPr>
        <w:tc>
          <w:tcPr>
            <w:tcW w:w="2640" w:type="dxa"/>
            <w:vAlign w:val="bottom"/>
            <w:tcBorders>
              <w:right w:val="single" w:sz="8" w:color="D91E18"/>
            </w:tcBorders>
            <w:shd w:val="clear" w:color="auto" w:fill="E5E5E5"/>
          </w:tcPr>
          <w:p>
            <w:pPr>
              <w:ind w:left="40"/>
              <w:spacing w:after="0"/>
              <w:rPr>
                <w:sz w:val="20"/>
                <w:szCs w:val="20"/>
                <w:color w:val="auto"/>
              </w:rPr>
            </w:pPr>
            <w:r>
              <w:rPr>
                <w:rFonts w:ascii="Arial" w:cs="Arial" w:eastAsia="Arial" w:hAnsi="Arial"/>
                <w:sz w:val="18"/>
                <w:szCs w:val="18"/>
                <w:color w:val="auto"/>
              </w:rPr>
              <w:t>– Governance &amp; Nominating</w:t>
            </w:r>
          </w:p>
        </w:tc>
        <w:tc>
          <w:tcPr>
            <w:tcW w:w="8620" w:type="dxa"/>
            <w:vAlign w:val="bottom"/>
          </w:tcPr>
          <w:p>
            <w:pPr>
              <w:spacing w:after="0"/>
              <w:rPr>
                <w:sz w:val="20"/>
                <w:szCs w:val="20"/>
                <w:color w:val="auto"/>
              </w:rPr>
            </w:pPr>
            <w:r>
              <w:rPr>
                <w:rFonts w:ascii="Arial" w:cs="Arial" w:eastAsia="Arial" w:hAnsi="Arial"/>
                <w:sz w:val="18"/>
                <w:szCs w:val="18"/>
                <w:color w:val="auto"/>
              </w:rPr>
              <w:t>privately-held companies, including Rosewood Hotels and Resorts and Dolce Hotels and Resorts, and a</w:t>
            </w:r>
          </w:p>
        </w:tc>
        <w:tc>
          <w:tcPr>
            <w:tcW w:w="0" w:type="dxa"/>
            <w:vAlign w:val="bottom"/>
          </w:tcPr>
          <w:p>
            <w:pPr>
              <w:spacing w:after="0"/>
              <w:rPr>
                <w:sz w:val="1"/>
                <w:szCs w:val="1"/>
                <w:color w:val="auto"/>
              </w:rPr>
            </w:pPr>
          </w:p>
        </w:tc>
      </w:tr>
      <w:tr>
        <w:trPr>
          <w:trHeight w:val="211"/>
        </w:trPr>
        <w:tc>
          <w:tcPr>
            <w:tcW w:w="2640" w:type="dxa"/>
            <w:vAlign w:val="bottom"/>
            <w:tcBorders>
              <w:right w:val="single" w:sz="8" w:color="D91E18"/>
            </w:tcBorders>
            <w:vMerge w:val="restart"/>
            <w:shd w:val="clear" w:color="auto" w:fill="E5E5E5"/>
          </w:tcPr>
          <w:p>
            <w:pPr>
              <w:ind w:left="40"/>
              <w:spacing w:after="0"/>
              <w:rPr>
                <w:sz w:val="20"/>
                <w:szCs w:val="20"/>
                <w:color w:val="auto"/>
              </w:rPr>
            </w:pPr>
            <w:r>
              <w:rPr>
                <w:rFonts w:ascii="Arial" w:cs="Arial" w:eastAsia="Arial" w:hAnsi="Arial"/>
                <w:sz w:val="18"/>
                <w:szCs w:val="18"/>
                <w:color w:val="auto"/>
              </w:rPr>
              <w:t>– Executive</w:t>
            </w:r>
          </w:p>
        </w:tc>
        <w:tc>
          <w:tcPr>
            <w:tcW w:w="8620" w:type="dxa"/>
            <w:vAlign w:val="bottom"/>
          </w:tcPr>
          <w:p>
            <w:pPr>
              <w:spacing w:after="0"/>
              <w:rPr>
                <w:sz w:val="20"/>
                <w:szCs w:val="20"/>
                <w:color w:val="auto"/>
              </w:rPr>
            </w:pPr>
            <w:r>
              <w:rPr>
                <w:rFonts w:ascii="Arial" w:cs="Arial" w:eastAsia="Arial" w:hAnsi="Arial"/>
                <w:sz w:val="18"/>
                <w:szCs w:val="18"/>
                <w:color w:val="auto"/>
              </w:rPr>
              <w:t>number of non-profit organizations, including Princeton University Art Museum Advisory Council, Stanford</w:t>
            </w:r>
          </w:p>
        </w:tc>
        <w:tc>
          <w:tcPr>
            <w:tcW w:w="0" w:type="dxa"/>
            <w:vAlign w:val="bottom"/>
          </w:tcPr>
          <w:p>
            <w:pPr>
              <w:spacing w:after="0"/>
              <w:rPr>
                <w:sz w:val="1"/>
                <w:szCs w:val="1"/>
                <w:color w:val="auto"/>
              </w:rPr>
            </w:pPr>
          </w:p>
        </w:tc>
      </w:tr>
      <w:tr>
        <w:trPr>
          <w:trHeight w:val="216"/>
        </w:trPr>
        <w:tc>
          <w:tcPr>
            <w:tcW w:w="2640" w:type="dxa"/>
            <w:vAlign w:val="bottom"/>
            <w:tcBorders>
              <w:right w:val="single" w:sz="8" w:color="D91E18"/>
            </w:tcBorders>
            <w:vMerge w:val="continue"/>
            <w:shd w:val="clear" w:color="auto" w:fill="E5E5E5"/>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Business School Management Board, the American University of Cairo, the Metropolitan Museum of Art,</w:t>
            </w:r>
          </w:p>
        </w:tc>
        <w:tc>
          <w:tcPr>
            <w:tcW w:w="0" w:type="dxa"/>
            <w:vAlign w:val="bottom"/>
          </w:tcPr>
          <w:p>
            <w:pPr>
              <w:spacing w:after="0"/>
              <w:rPr>
                <w:sz w:val="1"/>
                <w:szCs w:val="1"/>
                <w:color w:val="auto"/>
              </w:rPr>
            </w:pPr>
          </w:p>
        </w:tc>
      </w:tr>
      <w:tr>
        <w:trPr>
          <w:trHeight w:val="216"/>
        </w:trPr>
        <w:tc>
          <w:tcPr>
            <w:tcW w:w="2640" w:type="dxa"/>
            <w:vAlign w:val="bottom"/>
            <w:tcBorders>
              <w:right w:val="single" w:sz="8" w:color="D91E18"/>
            </w:tcBorders>
            <w:shd w:val="clear" w:color="auto" w:fill="E5E5E5"/>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and the New York Landmarks Conservancy, which the Board believes provides additional insight into Board</w:t>
            </w:r>
          </w:p>
        </w:tc>
        <w:tc>
          <w:tcPr>
            <w:tcW w:w="0" w:type="dxa"/>
            <w:vAlign w:val="bottom"/>
          </w:tcPr>
          <w:p>
            <w:pPr>
              <w:spacing w:after="0"/>
              <w:rPr>
                <w:sz w:val="1"/>
                <w:szCs w:val="1"/>
                <w:color w:val="auto"/>
              </w:rPr>
            </w:pPr>
          </w:p>
        </w:tc>
      </w:tr>
      <w:tr>
        <w:trPr>
          <w:trHeight w:val="239"/>
        </w:trPr>
        <w:tc>
          <w:tcPr>
            <w:tcW w:w="2640" w:type="dxa"/>
            <w:vAlign w:val="bottom"/>
            <w:tcBorders>
              <w:right w:val="single" w:sz="8" w:color="D91E18"/>
            </w:tcBorders>
            <w:shd w:val="clear" w:color="auto" w:fill="E5E5E5"/>
          </w:tcPr>
          <w:p>
            <w:pPr>
              <w:spacing w:after="0"/>
              <w:rPr>
                <w:sz w:val="20"/>
                <w:szCs w:val="20"/>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functions, including appropriate oversight, risk management and fiduciary obligations.</w:t>
            </w:r>
          </w:p>
        </w:tc>
        <w:tc>
          <w:tcPr>
            <w:tcW w:w="0" w:type="dxa"/>
            <w:vAlign w:val="bottom"/>
          </w:tcPr>
          <w:p>
            <w:pPr>
              <w:spacing w:after="0"/>
              <w:rPr>
                <w:sz w:val="1"/>
                <w:szCs w:val="1"/>
                <w:color w:val="auto"/>
              </w:rPr>
            </w:pPr>
          </w:p>
        </w:tc>
      </w:tr>
      <w:tr>
        <w:trPr>
          <w:trHeight w:val="131"/>
        </w:trPr>
        <w:tc>
          <w:tcPr>
            <w:tcW w:w="2640" w:type="dxa"/>
            <w:vAlign w:val="bottom"/>
            <w:tcBorders>
              <w:bottom w:val="single" w:sz="8" w:color="D91E18"/>
              <w:right w:val="single" w:sz="8" w:color="D91E18"/>
            </w:tcBorders>
            <w:shd w:val="clear" w:color="auto" w:fill="E5E5E5"/>
          </w:tcPr>
          <w:p>
            <w:pPr>
              <w:spacing w:after="0"/>
              <w:rPr>
                <w:sz w:val="11"/>
                <w:szCs w:val="11"/>
                <w:color w:val="auto"/>
              </w:rPr>
            </w:pPr>
          </w:p>
        </w:tc>
        <w:tc>
          <w:tcPr>
            <w:tcW w:w="8620" w:type="dxa"/>
            <w:vAlign w:val="bottom"/>
            <w:tcBorders>
              <w:bottom w:val="single" w:sz="8" w:color="D91E18"/>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FFFFFF"/>
        </w:rPr>
        <w:t>Maureen F.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40575" cy="2922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0575" cy="292290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0" w:right="320"/>
        <w:spacing w:after="0" w:line="375" w:lineRule="auto"/>
        <w:rPr>
          <w:sz w:val="20"/>
          <w:szCs w:val="20"/>
          <w:color w:val="auto"/>
        </w:rPr>
      </w:pPr>
      <w:r>
        <w:rPr>
          <w:rFonts w:ascii="Arial" w:cs="Arial" w:eastAsia="Arial" w:hAnsi="Arial"/>
          <w:sz w:val="18"/>
          <w:szCs w:val="18"/>
          <w:b w:val="1"/>
          <w:bCs w:val="1"/>
          <w:color w:val="auto"/>
        </w:rPr>
        <w:t xml:space="preserve">Independent Director Age: </w:t>
      </w:r>
      <w:r>
        <w:rPr>
          <w:rFonts w:ascii="Arial" w:cs="Arial" w:eastAsia="Arial" w:hAnsi="Arial"/>
          <w:sz w:val="18"/>
          <w:szCs w:val="18"/>
          <w:color w:val="auto"/>
        </w:rPr>
        <w:t>70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2019</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Committees:</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 Audit (Chair)</w:t>
      </w:r>
    </w:p>
    <w:p>
      <w:pPr>
        <w:spacing w:after="0" w:line="117" w:lineRule="exact"/>
        <w:rPr>
          <w:sz w:val="20"/>
          <w:szCs w:val="20"/>
          <w:color w:val="auto"/>
        </w:rPr>
      </w:pPr>
    </w:p>
    <w:p>
      <w:pPr>
        <w:ind w:left="200" w:hanging="162"/>
        <w:spacing w:after="0" w:line="287" w:lineRule="auto"/>
        <w:rPr>
          <w:sz w:val="20"/>
          <w:szCs w:val="20"/>
          <w:color w:val="auto"/>
        </w:rPr>
      </w:pPr>
      <w:r>
        <w:rPr>
          <w:rFonts w:ascii="Arial" w:cs="Arial" w:eastAsia="Arial" w:hAnsi="Arial"/>
          <w:sz w:val="18"/>
          <w:szCs w:val="18"/>
          <w:color w:val="auto"/>
        </w:rPr>
        <w:t>– Capital Allocation &amp; Risk Management</w:t>
      </w:r>
    </w:p>
    <w:p>
      <w:pPr>
        <w:spacing w:after="0" w:line="44" w:lineRule="exact"/>
        <w:rPr>
          <w:sz w:val="20"/>
          <w:szCs w:val="20"/>
          <w:color w:val="auto"/>
        </w:rPr>
      </w:pPr>
    </w:p>
    <w:p>
      <w:pPr>
        <w:ind w:left="200" w:hanging="162"/>
        <w:spacing w:after="0" w:line="287" w:lineRule="auto"/>
        <w:rPr>
          <w:sz w:val="20"/>
          <w:szCs w:val="20"/>
          <w:color w:val="auto"/>
        </w:rPr>
      </w:pPr>
      <w:r>
        <w:rPr>
          <w:rFonts w:ascii="Arial" w:cs="Arial" w:eastAsia="Arial" w:hAnsi="Arial"/>
          <w:sz w:val="18"/>
          <w:szCs w:val="18"/>
          <w:color w:val="auto"/>
        </w:rPr>
        <w:t>– Compensation &amp; Human Resources</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Ms. Morrison is a former partner of PricewaterhouseCoopers (“PwC”), where she began her career in 1976, and became a partner in 1987. Ms. Morrison retired from PwC in 2015. During her career at PwC, Ms. Morrison served as Chair of the Nominating Committee for the Board of Partners, and as a member of the National Admissions Committee, and as a member of the Chief Auditor Network at PwC. Ms. Morrison currently serves as a director, Chair of the Board, member of the Nominating and Corporate Governance Committee and the Audit Committee and of ePlus inc. Ms. Morrison previously served on the board of Safeguard Scientifics, Inc. from October 2017 to April 2023.</w:t>
      </w:r>
    </w:p>
    <w:p>
      <w:pPr>
        <w:spacing w:after="0" w:line="75"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Ms. Morrison has over 35 years of experience in public accounting, with extensive experience in accounting, finance, mergers and acquisitions and capital markets transactions. She has led audit engagements with prominent multibillion dollar, global, technology corporations, both public and private, and has diversified experience in software, IT-enabled solutions and consulting, hardware, and manufacturing. The Board has determined that as a result of her broad experience with complex accounting, financial and risk-related issues, Ms. Morrison is well-qualified to serve as Chair of our Audit Committee and as a member of our Capital Allocation &amp; Risk Management Committee and Compensation &amp; Human Resources Committee.</w:t>
      </w:r>
    </w:p>
    <w:p>
      <w:pPr>
        <w:spacing w:after="0" w:line="1014" w:lineRule="exact"/>
        <w:rPr>
          <w:sz w:val="20"/>
          <w:szCs w:val="20"/>
          <w:color w:val="auto"/>
        </w:rPr>
      </w:pPr>
    </w:p>
    <w:p>
      <w:pPr>
        <w:sectPr>
          <w:pgSz w:w="11900" w:h="16838" w:orient="portrait"/>
          <w:cols w:equalWidth="0" w:num="2">
            <w:col w:w="2160" w:space="480"/>
            <w:col w:w="8620"/>
          </w:cols>
          <w:pgMar w:left="320" w:top="122" w:right="319" w:bottom="1440" w:gutter="0" w:footer="0" w:header="0"/>
          <w:type w:val="continuous"/>
        </w:sect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156845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7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FFFFFF"/>
        </w:rPr>
        <w:t>Shamla Naidoo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0" w:right="320"/>
        <w:spacing w:after="0" w:line="375" w:lineRule="auto"/>
        <w:rPr>
          <w:sz w:val="20"/>
          <w:szCs w:val="20"/>
          <w:color w:val="auto"/>
        </w:rPr>
      </w:pPr>
      <w:r>
        <w:rPr>
          <w:rFonts w:ascii="Arial" w:cs="Arial" w:eastAsia="Arial" w:hAnsi="Arial"/>
          <w:sz w:val="18"/>
          <w:szCs w:val="18"/>
          <w:b w:val="1"/>
          <w:bCs w:val="1"/>
          <w:color w:val="auto"/>
        </w:rPr>
        <w:t xml:space="preserve">Independent Director Age: </w:t>
      </w:r>
      <w:r>
        <w:rPr>
          <w:rFonts w:ascii="Arial" w:cs="Arial" w:eastAsia="Arial" w:hAnsi="Arial"/>
          <w:sz w:val="18"/>
          <w:szCs w:val="18"/>
          <w:color w:val="auto"/>
        </w:rPr>
        <w:t>60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2024</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Committees:</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 Audit</w:t>
      </w:r>
    </w:p>
    <w:p>
      <w:pPr>
        <w:spacing w:after="0" w:line="117" w:lineRule="exact"/>
        <w:rPr>
          <w:sz w:val="20"/>
          <w:szCs w:val="20"/>
          <w:color w:val="auto"/>
        </w:rPr>
      </w:pPr>
    </w:p>
    <w:p>
      <w:pPr>
        <w:ind w:left="200" w:hanging="162"/>
        <w:spacing w:after="0" w:line="287" w:lineRule="auto"/>
        <w:rPr>
          <w:sz w:val="20"/>
          <w:szCs w:val="20"/>
          <w:color w:val="auto"/>
        </w:rPr>
      </w:pPr>
      <w:r>
        <w:rPr>
          <w:rFonts w:ascii="Arial" w:cs="Arial" w:eastAsia="Arial" w:hAnsi="Arial"/>
          <w:sz w:val="18"/>
          <w:szCs w:val="18"/>
          <w:color w:val="auto"/>
        </w:rPr>
        <w:t>– Compensation &amp; Human Resources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Ms. Naidoo served as the Head of Cloud Strategy and Innovation at Netskope, Inc. from 2021 until 2024, and as Vice President, Technology Risk &amp; Global Chief Information Security Officer for International Business Machines Corporation ("IBM") from 2015 to 2021, where she was responsible for protecting IBM from cybersecurity threats and managing strategic risk in the IBM product portfolio. Ms. Naidoo currently serves as a director for QBE North America, a post she has held since January 2021, and as a director for WisdomTree, Inc., a post she has held since June 2023. Ms. Naidoo has also served as a board member for Reference Point LLC, which was acquired by Resources Connection, Inc. in 2024, and as a director at Stonebridge Acquisition from July 2021 to April 2024, which has since reconstituted as Stonebridge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-1670685</wp:posOffset>
            </wp:positionH>
            <wp:positionV relativeFrom="paragraph">
              <wp:posOffset>-1301750</wp:posOffset>
            </wp:positionV>
            <wp:extent cx="7140575" cy="25717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0575" cy="2571750"/>
                    </a:xfrm>
                    <a:prstGeom prst="rect">
                      <a:avLst/>
                    </a:prstGeom>
                    <a:noFill/>
                  </pic:spPr>
                </pic:pic>
              </a:graphicData>
            </a:graphic>
          </wp:anchor>
        </w:drawing>
      </w:r>
    </w:p>
    <w:p>
      <w:pPr>
        <w:spacing w:after="0" w:line="5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Ms. Naidoo has over 30 years in the technology sector and has vast experience with issues related to cybersecurity, regulatory compliance, and risk management. She is a frequent lecturer on the issues of privacy law and emerging technologies and has helped companies implement their digital transformation strategies and technology adoptions. The Board has determined that Ms. Naidoo’s proficiency in technology innovation, security, privacy, and regulatory compliance, coupled with her prior and current executive and director experience, will make her a valuable member of the Audit Committee and Compensation &amp; Human Resources Committee.</w:t>
      </w:r>
    </w:p>
    <w:p>
      <w:pPr>
        <w:spacing w:after="0" w:line="472" w:lineRule="exact"/>
        <w:rPr>
          <w:sz w:val="20"/>
          <w:szCs w:val="20"/>
          <w:color w:val="auto"/>
        </w:rPr>
      </w:pPr>
    </w:p>
    <w:p>
      <w:pPr>
        <w:sectPr>
          <w:pgSz w:w="11900" w:h="16838" w:orient="portrait"/>
          <w:cols w:equalWidth="0" w:num="2">
            <w:col w:w="2160" w:space="480"/>
            <w:col w:w="8580"/>
          </w:cols>
          <w:pgMar w:left="320" w:top="122" w:right="35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FFFFFF"/>
        </w:rPr>
        <w:t>Bridget Ryan-Berman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0" w:right="400"/>
        <w:spacing w:after="0" w:line="375" w:lineRule="auto"/>
        <w:rPr>
          <w:sz w:val="20"/>
          <w:szCs w:val="20"/>
          <w:color w:val="auto"/>
        </w:rPr>
      </w:pPr>
      <w:r>
        <w:rPr>
          <w:rFonts w:ascii="Arial" w:cs="Arial" w:eastAsia="Arial" w:hAnsi="Arial"/>
          <w:sz w:val="18"/>
          <w:szCs w:val="18"/>
          <w:b w:val="1"/>
          <w:bCs w:val="1"/>
          <w:color w:val="auto"/>
        </w:rPr>
        <w:t xml:space="preserve">Independent Director Age: </w:t>
      </w:r>
      <w:r>
        <w:rPr>
          <w:rFonts w:ascii="Arial" w:cs="Arial" w:eastAsia="Arial" w:hAnsi="Arial"/>
          <w:sz w:val="18"/>
          <w:szCs w:val="18"/>
          <w:color w:val="auto"/>
        </w:rPr>
        <w:t>64</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2018</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Committees:</w:t>
      </w:r>
    </w:p>
    <w:p>
      <w:pPr>
        <w:spacing w:after="0" w:line="117" w:lineRule="exact"/>
        <w:rPr>
          <w:sz w:val="20"/>
          <w:szCs w:val="20"/>
          <w:color w:val="auto"/>
        </w:rPr>
      </w:pPr>
    </w:p>
    <w:p>
      <w:pPr>
        <w:ind w:left="200" w:right="80" w:hanging="162"/>
        <w:spacing w:after="0" w:line="287" w:lineRule="auto"/>
        <w:rPr>
          <w:sz w:val="20"/>
          <w:szCs w:val="20"/>
          <w:color w:val="auto"/>
        </w:rPr>
      </w:pPr>
      <w:r>
        <w:rPr>
          <w:rFonts w:ascii="Arial" w:cs="Arial" w:eastAsia="Arial" w:hAnsi="Arial"/>
          <w:sz w:val="18"/>
          <w:szCs w:val="18"/>
          <w:color w:val="auto"/>
        </w:rPr>
        <w:t>– Capital Allocation &amp; Risk Management</w:t>
      </w:r>
    </w:p>
    <w:p>
      <w:pPr>
        <w:spacing w:after="0" w:line="44" w:lineRule="exact"/>
        <w:rPr>
          <w:sz w:val="20"/>
          <w:szCs w:val="20"/>
          <w:color w:val="auto"/>
        </w:rPr>
      </w:pPr>
    </w:p>
    <w:p>
      <w:pPr>
        <w:ind w:left="200" w:right="80" w:hanging="162"/>
        <w:spacing w:after="0" w:line="287" w:lineRule="auto"/>
        <w:rPr>
          <w:sz w:val="20"/>
          <w:szCs w:val="20"/>
          <w:color w:val="auto"/>
        </w:rPr>
      </w:pPr>
      <w:r>
        <w:rPr>
          <w:rFonts w:ascii="Arial" w:cs="Arial" w:eastAsia="Arial" w:hAnsi="Arial"/>
          <w:sz w:val="18"/>
          <w:szCs w:val="18"/>
          <w:color w:val="auto"/>
        </w:rPr>
        <w:t>– Compensation &amp; Human Resources (Chair)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Ms. Ryan-Berman has been an independent consultant since 2018 through her company, Ryan Berman Advisory, LLC, advising multi-channel brands and companies on business innovation and large-scale transformation designed around the consumer experience. From June 2016 to December 2017, Ms. Ryan-Berman served as Chief Experience and Strategy Officer of Enjoy Technology, Inc., a company that provides delivery and setup services for tech products. From 2011 to 2016, Ms. Ryan-Berman served as Chief Executive Officer of Victoria’s Secret Direct, LLC, an online and catalog division of Victoria’s Secret, a specialty retailer of women’s lingerie, beauty, apparel and accessories. She was formerly an independent consultant advising clients in the retail, wholesale and financial investment sectors providing strategic planning, business development and executive coaching services. Ms. Ryan-Berman served as Chief Executive Officer of Giorgio Armani Corp., the wholly owned U.S. subsidiary of Giorgio Armani S.p.A., a provider of fashion and luxury goods products, from 2006 to 2007 and Vice President/Chief Operating Officer of Apple Computer Retail from 2004 to 2005. Ms. Ryan-Berman also served in various executive positions with Polo Ralph Lauren Corporation, including Group President of Polo Ralph Lauren Global Retail, from 1992 to 2004 and held various capacities at The May Department Stores Company, Federated Department Stores, Inc. and Allied Stores Corp. from 1982 to 1992.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-1670685</wp:posOffset>
            </wp:positionH>
            <wp:positionV relativeFrom="paragraph">
              <wp:posOffset>-2263140</wp:posOffset>
            </wp:positionV>
            <wp:extent cx="7140575" cy="39947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0575" cy="3994785"/>
                    </a:xfrm>
                    <a:prstGeom prst="rect">
                      <a:avLst/>
                    </a:prstGeom>
                    <a:noFill/>
                  </pic:spPr>
                </pic:pic>
              </a:graphicData>
            </a:graphic>
          </wp:anchor>
        </w:drawing>
      </w:r>
    </w:p>
    <w:p>
      <w:pPr>
        <w:spacing w:after="0" w:line="5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Ms. Ryan-Berman serves as Lead Director of the Board, member (prior Chair) of the Compensation Committee and member (prior Chair) of the Nominating and Corporate Governance Committee of Tanger, Inc. Ms. Ryan-Berman also serves as Chair of the Board and member of the Compensation and Human Capital Committee of Newell Brands, Inc. Prior, she was an independent director for J Crew Group, Inc., BH Cosmetics, and Tegra Global.</w:t>
      </w:r>
    </w:p>
    <w:p>
      <w:pPr>
        <w:spacing w:after="0" w:line="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Ms. Ryan-Berman has over 35 years of experience in the retail business and as a senior level executive has helped oversee the strategies and operations of some of the leading fashion and luxury goods groups in the world. The Board believes that Ms. Ryan-Berman’s extensive experience in retailing and other related industries, as well as her prior and current service as a director of both private and public companies, positions her well to serve as Chair of our Compensation &amp; Human Resources Committee, and as a member of our Capital Allocation &amp; Risk Management Committee.</w:t>
      </w:r>
    </w:p>
    <w:p>
      <w:pPr>
        <w:spacing w:after="0" w:line="200" w:lineRule="exact"/>
        <w:rPr>
          <w:sz w:val="20"/>
          <w:szCs w:val="20"/>
          <w:color w:val="auto"/>
        </w:rPr>
      </w:pPr>
    </w:p>
    <w:p>
      <w:pPr>
        <w:sectPr>
          <w:pgSz w:w="11900" w:h="16838" w:orient="portrait"/>
          <w:cols w:equalWidth="0" w:num="2">
            <w:col w:w="2240" w:space="400"/>
            <w:col w:w="8580"/>
          </w:cols>
          <w:pgMar w:left="320" w:top="122" w:right="359" w:bottom="1440" w:gutter="0" w:footer="0" w:header="0"/>
          <w:type w:val="continuous"/>
        </w:sect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7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FFFFFF"/>
        </w:rPr>
        <w:t>Hilliard C. Terry, III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 w:right="320"/>
        <w:spacing w:after="0" w:line="375" w:lineRule="auto"/>
        <w:rPr>
          <w:sz w:val="20"/>
          <w:szCs w:val="20"/>
          <w:color w:val="auto"/>
        </w:rPr>
      </w:pPr>
      <w:r>
        <w:rPr>
          <w:rFonts w:ascii="Arial" w:cs="Arial" w:eastAsia="Arial" w:hAnsi="Arial"/>
          <w:sz w:val="18"/>
          <w:szCs w:val="18"/>
          <w:b w:val="1"/>
          <w:bCs w:val="1"/>
          <w:color w:val="auto"/>
        </w:rPr>
        <w:t xml:space="preserve">Independent Director Age: </w:t>
      </w:r>
      <w:r>
        <w:rPr>
          <w:rFonts w:ascii="Arial" w:cs="Arial" w:eastAsia="Arial" w:hAnsi="Arial"/>
          <w:sz w:val="18"/>
          <w:szCs w:val="18"/>
          <w:color w:val="auto"/>
        </w:rPr>
        <w:t>55</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2022</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Committees:</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 Audit</w:t>
      </w:r>
    </w:p>
    <w:p>
      <w:pPr>
        <w:spacing w:after="0" w:line="117" w:lineRule="exact"/>
        <w:rPr>
          <w:sz w:val="20"/>
          <w:szCs w:val="20"/>
          <w:color w:val="auto"/>
        </w:rPr>
      </w:pPr>
    </w:p>
    <w:p>
      <w:pPr>
        <w:ind w:left="200" w:hanging="162"/>
        <w:spacing w:after="0" w:line="287" w:lineRule="auto"/>
        <w:rPr>
          <w:sz w:val="20"/>
          <w:szCs w:val="20"/>
          <w:color w:val="auto"/>
        </w:rPr>
      </w:pPr>
      <w:r>
        <w:rPr>
          <w:rFonts w:ascii="Arial" w:cs="Arial" w:eastAsia="Arial" w:hAnsi="Arial"/>
          <w:sz w:val="18"/>
          <w:szCs w:val="18"/>
          <w:color w:val="auto"/>
        </w:rPr>
        <w:t>– Capital Allocation &amp; Risk Management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Mr. Terry served as Executive Vice President and Chief Financial Officer of Textainer Group Holdings Limited, an intermodal marine container management and leasing company from January 2012 to October 2018. Before joining Textainer, Mr. Terry was Vice President and Treasurer at Agilent Technologies, Inc., a diversified technology company, which he joined in 1999 and headed Investor Relations during Agilent’s spin-off from Hewlett-Packard and subsequent IPO. He previously held positions in investor relations and investment banking with Verifone, Inc., a payments company, from 1995 to 1999, Kenetech Corporation, an alternative energy company, from 1993 to 1995 and Goldman Sachs &amp; Co., a financial services firm, from 1991 to 1993. Mr. Terry serves as a director, member of the Audit and Compliance Committee, member of the Enterprise Risk Management Committee and member of the Nominating &amp; Governance Committee of Columbia Banking System, Inc. He also serves as a director and Chair of the Audit Committee of Upstart Holdings, Inc., a leading artificial intelligence consumer lending platform, and as a director of two private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-1670685</wp:posOffset>
            </wp:positionH>
            <wp:positionV relativeFrom="paragraph">
              <wp:posOffset>-1847215</wp:posOffset>
            </wp:positionV>
            <wp:extent cx="7140575" cy="2802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0575" cy="2802890"/>
                    </a:xfrm>
                    <a:prstGeom prst="rect">
                      <a:avLst/>
                    </a:prstGeom>
                    <a:noFill/>
                  </pic:spPr>
                </pic:pic>
              </a:graphicData>
            </a:graphic>
          </wp:anchor>
        </w:drawing>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Mr. Terry is a former public-company CFO with over 30 years of investor-facing and financial leadership experience and an informed perspective on digital transformation in customer-facing environments. The Board believes Mr. Terry's extensive management experience in finance, capital allocation, and corporate development, as well as his current service as a director of both private and public companies, makes him a valuable member of our Audit Committee and our Capital Allocation &amp; Risk Management Committee.</w:t>
      </w:r>
    </w:p>
    <w:p>
      <w:pPr>
        <w:spacing w:after="0" w:line="200" w:lineRule="exact"/>
        <w:rPr>
          <w:sz w:val="20"/>
          <w:szCs w:val="20"/>
          <w:color w:val="auto"/>
        </w:rPr>
      </w:pPr>
    </w:p>
    <w:p>
      <w:pPr>
        <w:sectPr>
          <w:pgSz w:w="11900" w:h="16838" w:orient="portrait"/>
          <w:cols w:equalWidth="0" w:num="2">
            <w:col w:w="2160" w:space="480"/>
            <w:col w:w="8580"/>
          </w:cols>
          <w:pgMar w:left="320" w:top="12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Nominee Composition</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Certain highlights of our Board composition include the following:</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23"/>
          <w:szCs w:val="23"/>
          <w:b w:val="1"/>
          <w:bCs w:val="1"/>
          <w:color w:val="auto"/>
        </w:rPr>
        <w:t>90% 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140575" cy="21342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0575" cy="2134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19"/>
          <w:szCs w:val="19"/>
          <w:b w:val="1"/>
          <w:bCs w:val="1"/>
          <w:color w:val="FFFFFF"/>
        </w:rPr>
        <w:t>The Board recommends you vote FOR each of these nominees.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GOVERNANCE OF THE COMPANY</w:t>
      </w:r>
    </w:p>
    <w:p>
      <w:pPr>
        <w:spacing w:after="0" w:line="8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Board Leadership Structure</w:t>
      </w:r>
    </w:p>
    <w:p>
      <w:pPr>
        <w:spacing w:after="0" w:line="8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Chairman of the Board provides leadership to the Board and works with the Board to define its structure and activities in the fulfillment of its responsibilities. The Company believes that the members of the Board possess considerable experience and unique knowledge of the challenges and opportunities the Company faces, and, therefore, are in the best position to evaluate the needs of the Company and how best to organize the capabilities of our directors and senior executives to meet those needs. As a result, the Company believes that the decision as to who should serve as Chairman and as President &amp; Chief Executive Officer, and whether the offices should be combined or separate, is properly the responsibility of the Board, to be exercised from time to time in appropriate consideration of then-existing facts and circumstances. Our Corporate Governance Guidelines provide the Board the flexibility to determine whether or not the separation or combination of the Chairman and President &amp; Chief Executive Officer offices is in the best interests of the Company at any time.</w:t>
      </w:r>
    </w:p>
    <w:p>
      <w:pPr>
        <w:spacing w:after="0" w:line="77" w:lineRule="exact"/>
        <w:rPr>
          <w:sz w:val="20"/>
          <w:szCs w:val="20"/>
          <w:color w:val="auto"/>
        </w:rPr>
      </w:pPr>
    </w:p>
    <w:p>
      <w:pPr>
        <w:ind w:right="200"/>
        <w:spacing w:after="0" w:line="272" w:lineRule="auto"/>
        <w:rPr>
          <w:sz w:val="20"/>
          <w:szCs w:val="20"/>
          <w:color w:val="auto"/>
        </w:rPr>
      </w:pPr>
      <w:r>
        <w:rPr>
          <w:rFonts w:ascii="Arial" w:cs="Arial" w:eastAsia="Arial" w:hAnsi="Arial"/>
          <w:sz w:val="17"/>
          <w:szCs w:val="17"/>
          <w:color w:val="auto"/>
        </w:rPr>
        <w:t>Currently, we maintain separate positions of Chairman and President &amp; Chief Executive Officer, as the Board believes that, based on the skills and responsibilities of the various Board members, our current business environment and other considerations, such separation enhances (i) appropriate oversight of management by the Board, (ii) Board independence, (iii) the accountability to our stockholders by the Board and (iv) our overall leadership structure. We believe this structure is presently appropriate because we compete in an industry with many external forces that may affect our viability and profitability, therefore presenting significant challenges requiring extensive oversight and management capability. As such, we believe that by maintaining a separate Chairman function from that of the President &amp; Chief Executive Officer, our President &amp; Chief Executive Officer can properly focus on managing the business, rather than diverting his efforts to also overseeing the Board. The independent directors have designated Thomas J. Reddin as non-executive Chairman of the Board.</w:t>
      </w:r>
    </w:p>
    <w:p>
      <w:pPr>
        <w:spacing w:after="0" w:line="64"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In order to ensure a significant voice within our non-management directors and to reinforce effective, independent leadership on the Board, the Board has created the position of Lead Independent Director. Under the Company’s Corporate Governance Guidelines, a Lead Independent Director is appointed when the Chairman is the Chief Executive Officer or any other officer or employee of the Company, or if the Chairman is not otherwise independent. Since Mr. Reddin is currently our Chairman of the Board and is not an employee of the Company, we do not currently have a Lead Independent Director. We believe that the foregoing structure, policies, and practices, when combined with the Company’s other governance policies and procedures, provide appropriate opportunities for oversight, discussion and evaluation of decisions and direction from the Board.</w:t>
      </w:r>
    </w:p>
    <w:p>
      <w:pPr>
        <w:spacing w:after="0" w:line="4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Independence of Directors</w:t>
      </w:r>
    </w:p>
    <w:p>
      <w:pPr>
        <w:spacing w:after="0" w:line="11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Board has determined that all of the directors qualify as independent directors under the rules of the NYSE and the Company’s Corporate Governance Guidelines, other than Mr. Hult, who is an employee of the Company. In order to qualify as an independent director of the Company, the Board must affirmatively determine, based upon all relevant facts and circumstances, that the director does not have a material relationship with the Company that would affect their independence, either directly or as a partner, stockholder or officer of an organization that has a relationship with the Company.</w:t>
      </w:r>
    </w:p>
    <w:p>
      <w:pPr>
        <w:spacing w:after="0" w:line="71"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 xml:space="preserve">The Board has adopted the categorical independence standards set forth in the Company’s Corporate Governance Guidelines to assist it in making determinations of director independence. These standards comply with, and in some respects are more stringent than, the NYSE’s categorical standards for director independence. Our Corporate Governance Guidelines can be found on our website at </w:t>
      </w:r>
      <w:r>
        <w:rPr>
          <w:rFonts w:ascii="Arial" w:cs="Arial" w:eastAsia="Arial" w:hAnsi="Arial"/>
          <w:sz w:val="18"/>
          <w:szCs w:val="18"/>
          <w:i w:val="1"/>
          <w:iCs w:val="1"/>
          <w:u w:val="single" w:color="auto"/>
          <w:color w:val="auto"/>
        </w:rPr>
        <w:t>https://investors.asburyauto.com/corporate-governance</w:t>
      </w:r>
      <w:r>
        <w:rPr>
          <w:rFonts w:ascii="Arial" w:cs="Arial" w:eastAsia="Arial" w:hAnsi="Arial"/>
          <w:sz w:val="18"/>
          <w:szCs w:val="18"/>
          <w:i w:val="1"/>
          <w:iCs w:val="1"/>
          <w:color w:val="auto"/>
        </w:rPr>
        <w:t>.</w:t>
      </w:r>
    </w:p>
    <w:p>
      <w:pPr>
        <w:spacing w:after="0" w:line="68"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Furthermore, in order for a director to qualify as independent for Audit Committee purposes, the director also must satisfy the additional independence criteria specified in Rule 10A-3 under the Exchange Act. In order for a director to qualify as independent for Compensation &amp; Human Resources Committee purposes, the director must meet the Company’s categorical independence standards described above, and must also be a “non-employee director” for purposes of Rule 16b-3 under the Exchange Act.</w:t>
      </w:r>
    </w:p>
    <w:p>
      <w:pPr>
        <w:spacing w:after="0" w:line="6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making its independence determinations, the Board considered relationships and transactions pursuant to which any of our non-employee directors or director-nominees, entities associated with those individuals, or members of their immediate families purchased or leased a vehicle at a Company dealership. The Board determined that none of the relationships and transactions it considered impaired the independence of our non-employee directors or director-nominees or disqualified any of our non-employee directors or director-nominees from serving as independent directors under our categorical independence standards set forth in our Corporate Governance Guidelines and the NYSE listing standards.</w:t>
      </w: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Committees of the Board</w:t>
      </w:r>
    </w:p>
    <w:p>
      <w:pPr>
        <w:spacing w:after="0" w:line="110"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 xml:space="preserve">The Board has established five separately designated standing committees to assist the Board in discharging its responsibilities: the Audit Committee, the Capital Allocation &amp; Risk Management Committee, the Compensation &amp; Human Resources Committee, the Governance &amp; Nominating Committee and the Executive Committee. The charters for the Audit Committee, the Capital Allocation &amp; Risk Management Committee, the Compensation &amp; Human Resources Committee and the Governance &amp; Nominating Committee are available on our website at </w:t>
      </w:r>
      <w:r>
        <w:rPr>
          <w:rFonts w:ascii="Arial" w:cs="Arial" w:eastAsia="Arial" w:hAnsi="Arial"/>
          <w:sz w:val="18"/>
          <w:szCs w:val="18"/>
          <w:i w:val="1"/>
          <w:iCs w:val="1"/>
          <w:u w:val="single" w:color="auto"/>
          <w:color w:val="auto"/>
        </w:rPr>
        <w:t>https://investors.asburyauto.com/corporate-governance</w:t>
      </w:r>
      <w:r>
        <w:rPr>
          <w:rFonts w:ascii="Arial" w:cs="Arial" w:eastAsia="Arial" w:hAnsi="Arial"/>
          <w:sz w:val="18"/>
          <w:szCs w:val="18"/>
          <w:color w:val="auto"/>
        </w:rPr>
        <w:t>. In addition, the Board has established a Transaction Committee in connection with the process to review the terms and financing arrangements related to certain potential transactions. Messrs. Reddin, Alsfine and Fay serve as members of this ad hoc committee, which held no meetings in 2024.</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current membership of each of the standing Committees of the Board:</w:t>
      </w:r>
    </w:p>
    <w:p>
      <w:pPr>
        <w:spacing w:after="0" w:line="10"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2840" w:type="dxa"/>
            <w:vAlign w:val="bottom"/>
            <w:tcBorders>
              <w:left w:val="single" w:sz="8" w:color="E5E5E5"/>
              <w:right w:val="single" w:sz="8" w:color="E5E5E5"/>
            </w:tcBorders>
            <w:shd w:val="clear" w:color="auto" w:fill="D91E18"/>
          </w:tcPr>
          <w:p>
            <w:pPr>
              <w:spacing w:after="0"/>
              <w:rPr>
                <w:sz w:val="17"/>
                <w:szCs w:val="17"/>
                <w:color w:val="auto"/>
              </w:rPr>
            </w:pPr>
          </w:p>
        </w:tc>
        <w:tc>
          <w:tcPr>
            <w:tcW w:w="1500" w:type="dxa"/>
            <w:vAlign w:val="bottom"/>
            <w:tcBorders>
              <w:right w:val="single" w:sz="8" w:color="E5E5E5"/>
            </w:tcBorders>
            <w:shd w:val="clear" w:color="auto" w:fill="D91E18"/>
          </w:tcPr>
          <w:p>
            <w:pPr>
              <w:spacing w:after="0"/>
              <w:rPr>
                <w:sz w:val="17"/>
                <w:szCs w:val="17"/>
                <w:color w:val="auto"/>
              </w:rPr>
            </w:pPr>
          </w:p>
        </w:tc>
        <w:tc>
          <w:tcPr>
            <w:tcW w:w="1880" w:type="dxa"/>
            <w:vAlign w:val="bottom"/>
            <w:tcBorders>
              <w:right w:val="single" w:sz="8" w:color="E5E5E5"/>
            </w:tcBorders>
            <w:shd w:val="clear" w:color="auto" w:fill="D91E18"/>
          </w:tcPr>
          <w:p>
            <w:pPr>
              <w:jc w:val="center"/>
              <w:spacing w:after="0"/>
              <w:rPr>
                <w:sz w:val="20"/>
                <w:szCs w:val="20"/>
                <w:color w:val="auto"/>
              </w:rPr>
            </w:pPr>
            <w:r>
              <w:rPr>
                <w:rFonts w:ascii="Arial" w:cs="Arial" w:eastAsia="Arial" w:hAnsi="Arial"/>
                <w:sz w:val="18"/>
                <w:szCs w:val="18"/>
                <w:b w:val="1"/>
                <w:bCs w:val="1"/>
                <w:color w:val="FFFFFF"/>
                <w:w w:val="99"/>
              </w:rPr>
              <w:t>Capital Allocation &amp;</w:t>
            </w:r>
          </w:p>
        </w:tc>
        <w:tc>
          <w:tcPr>
            <w:tcW w:w="1940" w:type="dxa"/>
            <w:vAlign w:val="bottom"/>
            <w:tcBorders>
              <w:right w:val="single" w:sz="8" w:color="E5E5E5"/>
            </w:tcBorders>
            <w:shd w:val="clear" w:color="auto" w:fill="D91E18"/>
          </w:tcPr>
          <w:p>
            <w:pPr>
              <w:jc w:val="center"/>
              <w:spacing w:after="0"/>
              <w:rPr>
                <w:sz w:val="20"/>
                <w:szCs w:val="20"/>
                <w:color w:val="auto"/>
              </w:rPr>
            </w:pPr>
            <w:r>
              <w:rPr>
                <w:rFonts w:ascii="Arial" w:cs="Arial" w:eastAsia="Arial" w:hAnsi="Arial"/>
                <w:sz w:val="18"/>
                <w:szCs w:val="18"/>
                <w:b w:val="1"/>
                <w:bCs w:val="1"/>
                <w:color w:val="FFFFFF"/>
              </w:rPr>
              <w:t>Compensation</w:t>
            </w:r>
          </w:p>
        </w:tc>
        <w:tc>
          <w:tcPr>
            <w:tcW w:w="1620" w:type="dxa"/>
            <w:vAlign w:val="bottom"/>
            <w:tcBorders>
              <w:right w:val="single" w:sz="8" w:color="E5E5E5"/>
            </w:tcBorders>
            <w:shd w:val="clear" w:color="auto" w:fill="D91E18"/>
          </w:tcPr>
          <w:p>
            <w:pPr>
              <w:jc w:val="center"/>
              <w:spacing w:after="0"/>
              <w:rPr>
                <w:sz w:val="20"/>
                <w:szCs w:val="20"/>
                <w:color w:val="auto"/>
              </w:rPr>
            </w:pPr>
            <w:r>
              <w:rPr>
                <w:rFonts w:ascii="Arial" w:cs="Arial" w:eastAsia="Arial" w:hAnsi="Arial"/>
                <w:sz w:val="18"/>
                <w:szCs w:val="18"/>
                <w:b w:val="1"/>
                <w:bCs w:val="1"/>
                <w:color w:val="FFFFFF"/>
                <w:w w:val="99"/>
              </w:rPr>
              <w:t>Governance &amp;</w:t>
            </w:r>
          </w:p>
        </w:tc>
        <w:tc>
          <w:tcPr>
            <w:tcW w:w="1480" w:type="dxa"/>
            <w:vAlign w:val="bottom"/>
            <w:tcBorders>
              <w:right w:val="single" w:sz="8" w:color="E5E5E5"/>
            </w:tcBorders>
            <w:vMerge w:val="restart"/>
            <w:shd w:val="clear" w:color="auto" w:fill="D91E18"/>
          </w:tcPr>
          <w:p>
            <w:pPr>
              <w:jc w:val="center"/>
              <w:spacing w:after="0"/>
              <w:rPr>
                <w:sz w:val="20"/>
                <w:szCs w:val="20"/>
                <w:color w:val="auto"/>
              </w:rPr>
            </w:pPr>
            <w:r>
              <w:rPr>
                <w:rFonts w:ascii="Arial" w:cs="Arial" w:eastAsia="Arial" w:hAnsi="Arial"/>
                <w:sz w:val="18"/>
                <w:szCs w:val="18"/>
                <w:b w:val="1"/>
                <w:bCs w:val="1"/>
                <w:color w:val="FFFFFF"/>
                <w:w w:val="99"/>
              </w:rPr>
              <w:t>Executive</w:t>
            </w:r>
          </w:p>
        </w:tc>
        <w:tc>
          <w:tcPr>
            <w:tcW w:w="0" w:type="dxa"/>
            <w:vAlign w:val="bottom"/>
          </w:tcPr>
          <w:p>
            <w:pPr>
              <w:spacing w:after="0"/>
              <w:rPr>
                <w:sz w:val="1"/>
                <w:szCs w:val="1"/>
                <w:color w:val="auto"/>
              </w:rPr>
            </w:pPr>
          </w:p>
        </w:tc>
      </w:tr>
      <w:tr>
        <w:trPr>
          <w:trHeight w:val="175"/>
        </w:trPr>
        <w:tc>
          <w:tcPr>
            <w:tcW w:w="2840" w:type="dxa"/>
            <w:vAlign w:val="bottom"/>
            <w:tcBorders>
              <w:left w:val="single" w:sz="8" w:color="E5E5E5"/>
              <w:right w:val="single" w:sz="8" w:color="E5E5E5"/>
            </w:tcBorders>
            <w:vMerge w:val="restart"/>
            <w:shd w:val="clear" w:color="auto" w:fill="D91E18"/>
          </w:tcPr>
          <w:p>
            <w:pPr>
              <w:ind w:left="40"/>
              <w:spacing w:after="0"/>
              <w:rPr>
                <w:sz w:val="20"/>
                <w:szCs w:val="20"/>
                <w:color w:val="auto"/>
              </w:rPr>
            </w:pPr>
            <w:r>
              <w:rPr>
                <w:rFonts w:ascii="Arial" w:cs="Arial" w:eastAsia="Arial" w:hAnsi="Arial"/>
                <w:sz w:val="18"/>
                <w:szCs w:val="18"/>
                <w:b w:val="1"/>
                <w:bCs w:val="1"/>
                <w:color w:val="FFFFFF"/>
              </w:rPr>
              <w:t>Director</w:t>
            </w:r>
          </w:p>
        </w:tc>
        <w:tc>
          <w:tcPr>
            <w:tcW w:w="1500" w:type="dxa"/>
            <w:vAlign w:val="bottom"/>
            <w:tcBorders>
              <w:right w:val="single" w:sz="8" w:color="E5E5E5"/>
            </w:tcBorders>
            <w:vMerge w:val="restart"/>
            <w:shd w:val="clear" w:color="auto" w:fill="D91E18"/>
          </w:tcPr>
          <w:p>
            <w:pPr>
              <w:jc w:val="center"/>
              <w:spacing w:after="0"/>
              <w:rPr>
                <w:sz w:val="20"/>
                <w:szCs w:val="20"/>
                <w:color w:val="auto"/>
              </w:rPr>
            </w:pPr>
            <w:r>
              <w:rPr>
                <w:rFonts w:ascii="Arial" w:cs="Arial" w:eastAsia="Arial" w:hAnsi="Arial"/>
                <w:sz w:val="18"/>
                <w:szCs w:val="18"/>
                <w:b w:val="1"/>
                <w:bCs w:val="1"/>
                <w:color w:val="FFFFFF"/>
                <w:w w:val="99"/>
              </w:rPr>
              <w:t>Audit Committee</w:t>
            </w:r>
          </w:p>
        </w:tc>
        <w:tc>
          <w:tcPr>
            <w:tcW w:w="1880" w:type="dxa"/>
            <w:vAlign w:val="bottom"/>
            <w:tcBorders>
              <w:right w:val="single" w:sz="8" w:color="E5E5E5"/>
            </w:tcBorders>
            <w:shd w:val="clear" w:color="auto" w:fill="D91E18"/>
          </w:tcPr>
          <w:p>
            <w:pPr>
              <w:jc w:val="center"/>
              <w:spacing w:after="0" w:line="176" w:lineRule="exact"/>
              <w:rPr>
                <w:sz w:val="20"/>
                <w:szCs w:val="20"/>
                <w:color w:val="auto"/>
              </w:rPr>
            </w:pPr>
            <w:r>
              <w:rPr>
                <w:rFonts w:ascii="Arial" w:cs="Arial" w:eastAsia="Arial" w:hAnsi="Arial"/>
                <w:sz w:val="18"/>
                <w:szCs w:val="18"/>
                <w:b w:val="1"/>
                <w:bCs w:val="1"/>
                <w:color w:val="FFFFFF"/>
                <w:w w:val="99"/>
              </w:rPr>
              <w:t>Risk Management</w:t>
            </w:r>
          </w:p>
        </w:tc>
        <w:tc>
          <w:tcPr>
            <w:tcW w:w="1940" w:type="dxa"/>
            <w:vAlign w:val="bottom"/>
            <w:tcBorders>
              <w:right w:val="single" w:sz="8" w:color="E5E5E5"/>
            </w:tcBorders>
            <w:shd w:val="clear" w:color="auto" w:fill="D91E18"/>
          </w:tcPr>
          <w:p>
            <w:pPr>
              <w:jc w:val="center"/>
              <w:spacing w:after="0" w:line="176" w:lineRule="exact"/>
              <w:rPr>
                <w:sz w:val="20"/>
                <w:szCs w:val="20"/>
                <w:color w:val="auto"/>
              </w:rPr>
            </w:pPr>
            <w:r>
              <w:rPr>
                <w:rFonts w:ascii="Arial" w:cs="Arial" w:eastAsia="Arial" w:hAnsi="Arial"/>
                <w:sz w:val="18"/>
                <w:szCs w:val="18"/>
                <w:b w:val="1"/>
                <w:bCs w:val="1"/>
                <w:color w:val="FFFFFF"/>
                <w:w w:val="99"/>
              </w:rPr>
              <w:t>&amp; Human Resources</w:t>
            </w:r>
          </w:p>
        </w:tc>
        <w:tc>
          <w:tcPr>
            <w:tcW w:w="1620" w:type="dxa"/>
            <w:vAlign w:val="bottom"/>
            <w:tcBorders>
              <w:right w:val="single" w:sz="8" w:color="E5E5E5"/>
            </w:tcBorders>
            <w:shd w:val="clear" w:color="auto" w:fill="D91E18"/>
          </w:tcPr>
          <w:p>
            <w:pPr>
              <w:jc w:val="center"/>
              <w:spacing w:after="0" w:line="176" w:lineRule="exact"/>
              <w:rPr>
                <w:sz w:val="20"/>
                <w:szCs w:val="20"/>
                <w:color w:val="auto"/>
              </w:rPr>
            </w:pPr>
            <w:r>
              <w:rPr>
                <w:rFonts w:ascii="Arial" w:cs="Arial" w:eastAsia="Arial" w:hAnsi="Arial"/>
                <w:sz w:val="18"/>
                <w:szCs w:val="18"/>
                <w:b w:val="1"/>
                <w:bCs w:val="1"/>
                <w:color w:val="FFFFFF"/>
              </w:rPr>
              <w:t>Nominating</w:t>
            </w:r>
          </w:p>
        </w:tc>
        <w:tc>
          <w:tcPr>
            <w:tcW w:w="1480" w:type="dxa"/>
            <w:vAlign w:val="bottom"/>
            <w:tcBorders>
              <w:right w:val="single" w:sz="8" w:color="E5E5E5"/>
            </w:tcBorders>
            <w:vMerge w:val="continue"/>
            <w:shd w:val="clear" w:color="auto" w:fill="D91E18"/>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2840" w:type="dxa"/>
            <w:vAlign w:val="bottom"/>
            <w:tcBorders>
              <w:left w:val="single" w:sz="8" w:color="E5E5E5"/>
              <w:right w:val="single" w:sz="8" w:color="E5E5E5"/>
            </w:tcBorders>
            <w:vMerge w:val="continue"/>
            <w:shd w:val="clear" w:color="auto" w:fill="D91E18"/>
          </w:tcPr>
          <w:p>
            <w:pPr>
              <w:spacing w:after="0"/>
              <w:rPr>
                <w:sz w:val="21"/>
                <w:szCs w:val="21"/>
                <w:color w:val="auto"/>
              </w:rPr>
            </w:pPr>
          </w:p>
        </w:tc>
        <w:tc>
          <w:tcPr>
            <w:tcW w:w="1500" w:type="dxa"/>
            <w:vAlign w:val="bottom"/>
            <w:tcBorders>
              <w:right w:val="single" w:sz="8" w:color="E5E5E5"/>
            </w:tcBorders>
            <w:vMerge w:val="continue"/>
            <w:shd w:val="clear" w:color="auto" w:fill="D91E18"/>
          </w:tcPr>
          <w:p>
            <w:pPr>
              <w:spacing w:after="0"/>
              <w:rPr>
                <w:sz w:val="21"/>
                <w:szCs w:val="21"/>
                <w:color w:val="auto"/>
              </w:rPr>
            </w:pPr>
          </w:p>
        </w:tc>
        <w:tc>
          <w:tcPr>
            <w:tcW w:w="1880" w:type="dxa"/>
            <w:vAlign w:val="bottom"/>
            <w:tcBorders>
              <w:right w:val="single" w:sz="8" w:color="E5E5E5"/>
            </w:tcBorders>
            <w:shd w:val="clear" w:color="auto" w:fill="D91E18"/>
          </w:tcPr>
          <w:p>
            <w:pPr>
              <w:jc w:val="center"/>
              <w:spacing w:after="0"/>
              <w:rPr>
                <w:sz w:val="20"/>
                <w:szCs w:val="20"/>
                <w:color w:val="auto"/>
              </w:rPr>
            </w:pPr>
            <w:r>
              <w:rPr>
                <w:rFonts w:ascii="Arial" w:cs="Arial" w:eastAsia="Arial" w:hAnsi="Arial"/>
                <w:sz w:val="18"/>
                <w:szCs w:val="18"/>
                <w:b w:val="1"/>
                <w:bCs w:val="1"/>
                <w:color w:val="FFFFFF"/>
                <w:w w:val="98"/>
              </w:rPr>
              <w:t>Committee</w:t>
            </w:r>
          </w:p>
        </w:tc>
        <w:tc>
          <w:tcPr>
            <w:tcW w:w="1940" w:type="dxa"/>
            <w:vAlign w:val="bottom"/>
            <w:tcBorders>
              <w:right w:val="single" w:sz="8" w:color="E5E5E5"/>
            </w:tcBorders>
            <w:shd w:val="clear" w:color="auto" w:fill="D91E18"/>
          </w:tcPr>
          <w:p>
            <w:pPr>
              <w:jc w:val="center"/>
              <w:spacing w:after="0"/>
              <w:rPr>
                <w:sz w:val="20"/>
                <w:szCs w:val="20"/>
                <w:color w:val="auto"/>
              </w:rPr>
            </w:pPr>
            <w:r>
              <w:rPr>
                <w:rFonts w:ascii="Arial" w:cs="Arial" w:eastAsia="Arial" w:hAnsi="Arial"/>
                <w:sz w:val="18"/>
                <w:szCs w:val="18"/>
                <w:b w:val="1"/>
                <w:bCs w:val="1"/>
                <w:color w:val="FFFFFF"/>
                <w:w w:val="98"/>
              </w:rPr>
              <w:t>Committee</w:t>
            </w:r>
          </w:p>
        </w:tc>
        <w:tc>
          <w:tcPr>
            <w:tcW w:w="1620" w:type="dxa"/>
            <w:vAlign w:val="bottom"/>
            <w:tcBorders>
              <w:right w:val="single" w:sz="8" w:color="E5E5E5"/>
            </w:tcBorders>
            <w:shd w:val="clear" w:color="auto" w:fill="D91E18"/>
          </w:tcPr>
          <w:p>
            <w:pPr>
              <w:jc w:val="center"/>
              <w:spacing w:after="0"/>
              <w:rPr>
                <w:sz w:val="20"/>
                <w:szCs w:val="20"/>
                <w:color w:val="auto"/>
              </w:rPr>
            </w:pPr>
            <w:r>
              <w:rPr>
                <w:rFonts w:ascii="Arial" w:cs="Arial" w:eastAsia="Arial" w:hAnsi="Arial"/>
                <w:sz w:val="18"/>
                <w:szCs w:val="18"/>
                <w:b w:val="1"/>
                <w:bCs w:val="1"/>
                <w:color w:val="FFFFFF"/>
                <w:w w:val="98"/>
              </w:rPr>
              <w:t>Committee</w:t>
            </w:r>
          </w:p>
        </w:tc>
        <w:tc>
          <w:tcPr>
            <w:tcW w:w="1480" w:type="dxa"/>
            <w:vAlign w:val="bottom"/>
            <w:tcBorders>
              <w:right w:val="single" w:sz="8" w:color="E5E5E5"/>
            </w:tcBorders>
            <w:shd w:val="clear" w:color="auto" w:fill="D91E18"/>
          </w:tcPr>
          <w:p>
            <w:pPr>
              <w:jc w:val="center"/>
              <w:spacing w:after="0"/>
              <w:rPr>
                <w:sz w:val="20"/>
                <w:szCs w:val="20"/>
                <w:color w:val="auto"/>
              </w:rPr>
            </w:pPr>
            <w:r>
              <w:rPr>
                <w:rFonts w:ascii="Arial" w:cs="Arial" w:eastAsia="Arial" w:hAnsi="Arial"/>
                <w:sz w:val="18"/>
                <w:szCs w:val="18"/>
                <w:b w:val="1"/>
                <w:bCs w:val="1"/>
                <w:color w:val="FFFFFF"/>
                <w:w w:val="98"/>
              </w:rPr>
              <w:t>Committee</w:t>
            </w:r>
          </w:p>
        </w:tc>
        <w:tc>
          <w:tcPr>
            <w:tcW w:w="0" w:type="dxa"/>
            <w:vAlign w:val="bottom"/>
          </w:tcPr>
          <w:p>
            <w:pPr>
              <w:spacing w:after="0"/>
              <w:rPr>
                <w:sz w:val="1"/>
                <w:szCs w:val="1"/>
                <w:color w:val="auto"/>
              </w:rPr>
            </w:pPr>
          </w:p>
        </w:tc>
      </w:tr>
      <w:tr>
        <w:trPr>
          <w:trHeight w:val="250"/>
        </w:trPr>
        <w:tc>
          <w:tcPr>
            <w:tcW w:w="2840" w:type="dxa"/>
            <w:vAlign w:val="bottom"/>
            <w:tcBorders>
              <w:left w:val="single" w:sz="8" w:color="E5E5E5"/>
              <w:right w:val="single" w:sz="8" w:color="E5E5E5"/>
            </w:tcBorders>
            <w:shd w:val="clear" w:color="auto" w:fill="DBDBDB"/>
          </w:tcPr>
          <w:p>
            <w:pPr>
              <w:ind w:left="40"/>
              <w:spacing w:after="0" w:line="236" w:lineRule="exact"/>
              <w:rPr>
                <w:sz w:val="20"/>
                <w:szCs w:val="20"/>
                <w:color w:val="auto"/>
              </w:rPr>
            </w:pPr>
            <w:r>
              <w:rPr>
                <w:rFonts w:ascii="Arial" w:cs="Arial" w:eastAsia="Arial" w:hAnsi="Arial"/>
                <w:sz w:val="18"/>
                <w:szCs w:val="18"/>
                <w:color w:val="auto"/>
              </w:rPr>
              <w:t>Thomas J. Reddin</w:t>
            </w:r>
            <w:r>
              <w:rPr>
                <w:rFonts w:ascii="Arial" w:cs="Arial" w:eastAsia="Arial" w:hAnsi="Arial"/>
                <w:sz w:val="23"/>
                <w:szCs w:val="23"/>
                <w:color w:val="auto"/>
                <w:vertAlign w:val="superscript"/>
              </w:rPr>
              <w:t>(1)</w:t>
            </w:r>
          </w:p>
        </w:tc>
        <w:tc>
          <w:tcPr>
            <w:tcW w:w="1500" w:type="dxa"/>
            <w:vAlign w:val="bottom"/>
            <w:tcBorders>
              <w:right w:val="single" w:sz="8" w:color="E5E5E5"/>
            </w:tcBorders>
            <w:shd w:val="clear" w:color="auto" w:fill="DBDBDB"/>
          </w:tcPr>
          <w:p>
            <w:pPr>
              <w:spacing w:after="0"/>
              <w:rPr>
                <w:sz w:val="21"/>
                <w:szCs w:val="21"/>
                <w:color w:val="auto"/>
              </w:rPr>
            </w:pPr>
          </w:p>
        </w:tc>
        <w:tc>
          <w:tcPr>
            <w:tcW w:w="1880" w:type="dxa"/>
            <w:vAlign w:val="bottom"/>
            <w:tcBorders>
              <w:right w:val="single" w:sz="8" w:color="E5E5E5"/>
            </w:tcBorders>
            <w:shd w:val="clear" w:color="auto" w:fill="DBDBDB"/>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940" w:type="dxa"/>
            <w:vAlign w:val="bottom"/>
            <w:tcBorders>
              <w:right w:val="single" w:sz="8" w:color="E5E5E5"/>
            </w:tcBorders>
            <w:shd w:val="clear" w:color="auto" w:fill="DBDBDB"/>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620" w:type="dxa"/>
            <w:vAlign w:val="bottom"/>
            <w:tcBorders>
              <w:right w:val="single" w:sz="8" w:color="E5E5E5"/>
            </w:tcBorders>
            <w:shd w:val="clear" w:color="auto" w:fill="DBDBDB"/>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480" w:type="dxa"/>
            <w:vAlign w:val="bottom"/>
            <w:tcBorders>
              <w:right w:val="single" w:sz="8" w:color="E5E5E5"/>
            </w:tcBorders>
            <w:shd w:val="clear" w:color="auto" w:fill="DBDBDB"/>
          </w:tcPr>
          <w:p>
            <w:pPr>
              <w:jc w:val="center"/>
              <w:spacing w:after="0"/>
              <w:rPr>
                <w:sz w:val="20"/>
                <w:szCs w:val="20"/>
                <w:color w:val="auto"/>
              </w:rPr>
            </w:pPr>
            <w:r>
              <w:rPr>
                <w:rFonts w:ascii="Arial" w:cs="Arial" w:eastAsia="Arial" w:hAnsi="Arial"/>
                <w:sz w:val="18"/>
                <w:szCs w:val="18"/>
                <w:color w:val="auto"/>
              </w:rPr>
              <w:t>Chair</w:t>
            </w:r>
          </w:p>
        </w:tc>
        <w:tc>
          <w:tcPr>
            <w:tcW w:w="0" w:type="dxa"/>
            <w:vAlign w:val="bottom"/>
          </w:tcPr>
          <w:p>
            <w:pPr>
              <w:spacing w:after="0"/>
              <w:rPr>
                <w:sz w:val="1"/>
                <w:szCs w:val="1"/>
                <w:color w:val="auto"/>
              </w:rPr>
            </w:pPr>
          </w:p>
        </w:tc>
      </w:tr>
      <w:tr>
        <w:trPr>
          <w:trHeight w:val="229"/>
        </w:trPr>
        <w:tc>
          <w:tcPr>
            <w:tcW w:w="2840" w:type="dxa"/>
            <w:vAlign w:val="bottom"/>
            <w:tcBorders>
              <w:left w:val="single" w:sz="8" w:color="E5E5E5"/>
              <w:right w:val="single" w:sz="8" w:color="E5E5E5"/>
            </w:tcBorders>
          </w:tcPr>
          <w:p>
            <w:pPr>
              <w:ind w:left="40"/>
              <w:spacing w:after="0"/>
              <w:rPr>
                <w:sz w:val="20"/>
                <w:szCs w:val="20"/>
                <w:color w:val="auto"/>
              </w:rPr>
            </w:pPr>
            <w:r>
              <w:rPr>
                <w:rFonts w:ascii="Arial" w:cs="Arial" w:eastAsia="Arial" w:hAnsi="Arial"/>
                <w:sz w:val="18"/>
                <w:szCs w:val="18"/>
                <w:color w:val="auto"/>
              </w:rPr>
              <w:t>Joel Alsfine</w:t>
            </w:r>
          </w:p>
        </w:tc>
        <w:tc>
          <w:tcPr>
            <w:tcW w:w="1500" w:type="dxa"/>
            <w:vAlign w:val="bottom"/>
            <w:tcBorders>
              <w:right w:val="single" w:sz="8" w:color="E5E5E5"/>
            </w:tcBorders>
          </w:tcPr>
          <w:p>
            <w:pPr>
              <w:spacing w:after="0"/>
              <w:rPr>
                <w:sz w:val="19"/>
                <w:szCs w:val="19"/>
                <w:color w:val="auto"/>
              </w:rPr>
            </w:pPr>
          </w:p>
        </w:tc>
        <w:tc>
          <w:tcPr>
            <w:tcW w:w="1880" w:type="dxa"/>
            <w:vAlign w:val="bottom"/>
            <w:tcBorders>
              <w:right w:val="single" w:sz="8" w:color="E5E5E5"/>
            </w:tcBorders>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940" w:type="dxa"/>
            <w:vAlign w:val="bottom"/>
            <w:tcBorders>
              <w:right w:val="single" w:sz="8" w:color="E5E5E5"/>
            </w:tcBorders>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620" w:type="dxa"/>
            <w:vAlign w:val="bottom"/>
            <w:tcBorders>
              <w:right w:val="single" w:sz="8" w:color="E5E5E5"/>
            </w:tcBorders>
          </w:tcPr>
          <w:p>
            <w:pPr>
              <w:spacing w:after="0"/>
              <w:rPr>
                <w:sz w:val="19"/>
                <w:szCs w:val="19"/>
                <w:color w:val="auto"/>
              </w:rPr>
            </w:pPr>
          </w:p>
        </w:tc>
        <w:tc>
          <w:tcPr>
            <w:tcW w:w="1480" w:type="dxa"/>
            <w:vAlign w:val="bottom"/>
            <w:tcBorders>
              <w:right w:val="single" w:sz="8" w:color="E5E5E5"/>
            </w:tcBorders>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840" w:type="dxa"/>
            <w:vAlign w:val="bottom"/>
            <w:tcBorders>
              <w:left w:val="single" w:sz="8" w:color="E5E5E5"/>
              <w:right w:val="single" w:sz="8" w:color="E5E5E5"/>
            </w:tcBorders>
            <w:shd w:val="clear" w:color="auto" w:fill="DBDBDB"/>
          </w:tcPr>
          <w:p>
            <w:pPr>
              <w:ind w:left="40"/>
              <w:spacing w:after="0"/>
              <w:rPr>
                <w:sz w:val="20"/>
                <w:szCs w:val="20"/>
                <w:color w:val="auto"/>
              </w:rPr>
            </w:pPr>
            <w:r>
              <w:rPr>
                <w:rFonts w:ascii="Arial" w:cs="Arial" w:eastAsia="Arial" w:hAnsi="Arial"/>
                <w:sz w:val="18"/>
                <w:szCs w:val="18"/>
                <w:color w:val="auto"/>
              </w:rPr>
              <w:t>William D. Fay</w:t>
            </w:r>
          </w:p>
        </w:tc>
        <w:tc>
          <w:tcPr>
            <w:tcW w:w="1500" w:type="dxa"/>
            <w:vAlign w:val="bottom"/>
            <w:tcBorders>
              <w:right w:val="single" w:sz="8" w:color="E5E5E5"/>
            </w:tcBorders>
            <w:shd w:val="clear" w:color="auto" w:fill="DBDBDB"/>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880" w:type="dxa"/>
            <w:vAlign w:val="bottom"/>
            <w:tcBorders>
              <w:right w:val="single" w:sz="8" w:color="E5E5E5"/>
            </w:tcBorders>
            <w:shd w:val="clear" w:color="auto" w:fill="DBDBDB"/>
          </w:tcPr>
          <w:p>
            <w:pPr>
              <w:jc w:val="center"/>
              <w:spacing w:after="0"/>
              <w:rPr>
                <w:sz w:val="20"/>
                <w:szCs w:val="20"/>
                <w:color w:val="auto"/>
              </w:rPr>
            </w:pPr>
            <w:r>
              <w:rPr>
                <w:rFonts w:ascii="Arial" w:cs="Arial" w:eastAsia="Arial" w:hAnsi="Arial"/>
                <w:sz w:val="18"/>
                <w:szCs w:val="18"/>
                <w:color w:val="auto"/>
              </w:rPr>
              <w:t>Chair</w:t>
            </w:r>
          </w:p>
        </w:tc>
        <w:tc>
          <w:tcPr>
            <w:tcW w:w="1940" w:type="dxa"/>
            <w:vAlign w:val="bottom"/>
            <w:tcBorders>
              <w:right w:val="single" w:sz="8" w:color="E5E5E5"/>
            </w:tcBorders>
            <w:shd w:val="clear" w:color="auto" w:fill="DBDBDB"/>
          </w:tcPr>
          <w:p>
            <w:pPr>
              <w:spacing w:after="0"/>
              <w:rPr>
                <w:sz w:val="22"/>
                <w:szCs w:val="22"/>
                <w:color w:val="auto"/>
              </w:rPr>
            </w:pPr>
          </w:p>
        </w:tc>
        <w:tc>
          <w:tcPr>
            <w:tcW w:w="1620" w:type="dxa"/>
            <w:vAlign w:val="bottom"/>
            <w:tcBorders>
              <w:right w:val="single" w:sz="8" w:color="E5E5E5"/>
            </w:tcBorders>
            <w:shd w:val="clear" w:color="auto" w:fill="DBDBDB"/>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480" w:type="dxa"/>
            <w:vAlign w:val="bottom"/>
            <w:tcBorders>
              <w:right w:val="single" w:sz="8" w:color="E5E5E5"/>
            </w:tcBorders>
            <w:shd w:val="clear" w:color="auto" w:fill="DBDBDB"/>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840" w:type="dxa"/>
            <w:vAlign w:val="bottom"/>
            <w:tcBorders>
              <w:left w:val="single" w:sz="8" w:color="E5E5E5"/>
              <w:right w:val="single" w:sz="8" w:color="E5E5E5"/>
            </w:tcBorders>
          </w:tcPr>
          <w:p>
            <w:pPr>
              <w:ind w:left="40"/>
              <w:spacing w:after="0"/>
              <w:rPr>
                <w:sz w:val="20"/>
                <w:szCs w:val="20"/>
                <w:color w:val="auto"/>
              </w:rPr>
            </w:pPr>
            <w:r>
              <w:rPr>
                <w:rFonts w:ascii="Arial" w:cs="Arial" w:eastAsia="Arial" w:hAnsi="Arial"/>
                <w:sz w:val="18"/>
                <w:szCs w:val="18"/>
                <w:color w:val="auto"/>
              </w:rPr>
              <w:t>David W. Hult</w:t>
            </w:r>
          </w:p>
        </w:tc>
        <w:tc>
          <w:tcPr>
            <w:tcW w:w="1500" w:type="dxa"/>
            <w:vAlign w:val="bottom"/>
            <w:tcBorders>
              <w:right w:val="single" w:sz="8" w:color="E5E5E5"/>
            </w:tcBorders>
          </w:tcPr>
          <w:p>
            <w:pPr>
              <w:spacing w:after="0"/>
              <w:rPr>
                <w:sz w:val="19"/>
                <w:szCs w:val="19"/>
                <w:color w:val="auto"/>
              </w:rPr>
            </w:pPr>
          </w:p>
        </w:tc>
        <w:tc>
          <w:tcPr>
            <w:tcW w:w="1880" w:type="dxa"/>
            <w:vAlign w:val="bottom"/>
            <w:tcBorders>
              <w:right w:val="single" w:sz="8" w:color="E5E5E5"/>
            </w:tcBorders>
          </w:tcPr>
          <w:p>
            <w:pPr>
              <w:spacing w:after="0"/>
              <w:rPr>
                <w:sz w:val="19"/>
                <w:szCs w:val="19"/>
                <w:color w:val="auto"/>
              </w:rPr>
            </w:pPr>
          </w:p>
        </w:tc>
        <w:tc>
          <w:tcPr>
            <w:tcW w:w="1940" w:type="dxa"/>
            <w:vAlign w:val="bottom"/>
            <w:tcBorders>
              <w:right w:val="single" w:sz="8" w:color="E5E5E5"/>
            </w:tcBorders>
          </w:tcPr>
          <w:p>
            <w:pPr>
              <w:spacing w:after="0"/>
              <w:rPr>
                <w:sz w:val="19"/>
                <w:szCs w:val="19"/>
                <w:color w:val="auto"/>
              </w:rPr>
            </w:pPr>
          </w:p>
        </w:tc>
        <w:tc>
          <w:tcPr>
            <w:tcW w:w="1620" w:type="dxa"/>
            <w:vAlign w:val="bottom"/>
            <w:tcBorders>
              <w:right w:val="single" w:sz="8" w:color="E5E5E5"/>
            </w:tcBorders>
          </w:tcPr>
          <w:p>
            <w:pPr>
              <w:spacing w:after="0"/>
              <w:rPr>
                <w:sz w:val="19"/>
                <w:szCs w:val="19"/>
                <w:color w:val="auto"/>
              </w:rPr>
            </w:pPr>
          </w:p>
        </w:tc>
        <w:tc>
          <w:tcPr>
            <w:tcW w:w="1480" w:type="dxa"/>
            <w:vAlign w:val="bottom"/>
            <w:tcBorders>
              <w:right w:val="single" w:sz="8" w:color="E5E5E5"/>
            </w:tcBorders>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0" w:type="dxa"/>
            <w:vAlign w:val="bottom"/>
          </w:tcPr>
          <w:p>
            <w:pPr>
              <w:spacing w:after="0"/>
              <w:rPr>
                <w:sz w:val="1"/>
                <w:szCs w:val="1"/>
                <w:color w:val="auto"/>
              </w:rPr>
            </w:pPr>
          </w:p>
        </w:tc>
      </w:tr>
      <w:tr>
        <w:trPr>
          <w:trHeight w:val="257"/>
        </w:trPr>
        <w:tc>
          <w:tcPr>
            <w:tcW w:w="2840" w:type="dxa"/>
            <w:vAlign w:val="bottom"/>
            <w:tcBorders>
              <w:left w:val="single" w:sz="8" w:color="E5E5E5"/>
              <w:right w:val="single" w:sz="8" w:color="E5E5E5"/>
            </w:tcBorders>
            <w:shd w:val="clear" w:color="auto" w:fill="DBDBDB"/>
          </w:tcPr>
          <w:p>
            <w:pPr>
              <w:ind w:left="40"/>
              <w:spacing w:after="0"/>
              <w:rPr>
                <w:sz w:val="20"/>
                <w:szCs w:val="20"/>
                <w:color w:val="auto"/>
              </w:rPr>
            </w:pPr>
            <w:r>
              <w:rPr>
                <w:rFonts w:ascii="Arial" w:cs="Arial" w:eastAsia="Arial" w:hAnsi="Arial"/>
                <w:sz w:val="18"/>
                <w:szCs w:val="18"/>
                <w:color w:val="auto"/>
              </w:rPr>
              <w:t>Juanita T. James</w:t>
            </w:r>
          </w:p>
        </w:tc>
        <w:tc>
          <w:tcPr>
            <w:tcW w:w="1500" w:type="dxa"/>
            <w:vAlign w:val="bottom"/>
            <w:tcBorders>
              <w:right w:val="single" w:sz="8" w:color="E5E5E5"/>
            </w:tcBorders>
            <w:shd w:val="clear" w:color="auto" w:fill="DBDBDB"/>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880" w:type="dxa"/>
            <w:vAlign w:val="bottom"/>
            <w:tcBorders>
              <w:right w:val="single" w:sz="8" w:color="E5E5E5"/>
            </w:tcBorders>
            <w:shd w:val="clear" w:color="auto" w:fill="DBDBDB"/>
          </w:tcPr>
          <w:p>
            <w:pPr>
              <w:spacing w:after="0"/>
              <w:rPr>
                <w:sz w:val="22"/>
                <w:szCs w:val="22"/>
                <w:color w:val="auto"/>
              </w:rPr>
            </w:pPr>
          </w:p>
        </w:tc>
        <w:tc>
          <w:tcPr>
            <w:tcW w:w="1940" w:type="dxa"/>
            <w:vAlign w:val="bottom"/>
            <w:tcBorders>
              <w:right w:val="single" w:sz="8" w:color="E5E5E5"/>
            </w:tcBorders>
            <w:shd w:val="clear" w:color="auto" w:fill="DBDBDB"/>
          </w:tcPr>
          <w:p>
            <w:pPr>
              <w:spacing w:after="0"/>
              <w:rPr>
                <w:sz w:val="22"/>
                <w:szCs w:val="22"/>
                <w:color w:val="auto"/>
              </w:rPr>
            </w:pPr>
          </w:p>
        </w:tc>
        <w:tc>
          <w:tcPr>
            <w:tcW w:w="1620" w:type="dxa"/>
            <w:vAlign w:val="bottom"/>
            <w:tcBorders>
              <w:right w:val="single" w:sz="8" w:color="E5E5E5"/>
            </w:tcBorders>
            <w:shd w:val="clear" w:color="auto" w:fill="DBDBDB"/>
          </w:tcPr>
          <w:p>
            <w:pPr>
              <w:jc w:val="center"/>
              <w:spacing w:after="0"/>
              <w:rPr>
                <w:sz w:val="20"/>
                <w:szCs w:val="20"/>
                <w:color w:val="auto"/>
              </w:rPr>
            </w:pPr>
            <w:r>
              <w:rPr>
                <w:rFonts w:ascii="Arial" w:cs="Arial" w:eastAsia="Arial" w:hAnsi="Arial"/>
                <w:sz w:val="18"/>
                <w:szCs w:val="18"/>
                <w:color w:val="auto"/>
              </w:rPr>
              <w:t>Chair</w:t>
            </w:r>
          </w:p>
        </w:tc>
        <w:tc>
          <w:tcPr>
            <w:tcW w:w="1480" w:type="dxa"/>
            <w:vAlign w:val="bottom"/>
            <w:tcBorders>
              <w:right w:val="single" w:sz="8" w:color="E5E5E5"/>
            </w:tcBorders>
            <w:shd w:val="clear" w:color="auto" w:fill="DBDBDB"/>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840" w:type="dxa"/>
            <w:vAlign w:val="bottom"/>
            <w:tcBorders>
              <w:left w:val="single" w:sz="8" w:color="E5E5E5"/>
              <w:right w:val="single" w:sz="8" w:color="E5E5E5"/>
            </w:tcBorders>
          </w:tcPr>
          <w:p>
            <w:pPr>
              <w:ind w:left="40"/>
              <w:spacing w:after="0"/>
              <w:rPr>
                <w:sz w:val="20"/>
                <w:szCs w:val="20"/>
                <w:color w:val="auto"/>
              </w:rPr>
            </w:pPr>
            <w:r>
              <w:rPr>
                <w:rFonts w:ascii="Arial" w:cs="Arial" w:eastAsia="Arial" w:hAnsi="Arial"/>
                <w:sz w:val="18"/>
                <w:szCs w:val="18"/>
                <w:color w:val="auto"/>
              </w:rPr>
              <w:t>Philip F. Maritz</w:t>
            </w:r>
          </w:p>
        </w:tc>
        <w:tc>
          <w:tcPr>
            <w:tcW w:w="1500" w:type="dxa"/>
            <w:vAlign w:val="bottom"/>
            <w:tcBorders>
              <w:right w:val="single" w:sz="8" w:color="E5E5E5"/>
            </w:tcBorders>
          </w:tcPr>
          <w:p>
            <w:pPr>
              <w:spacing w:after="0"/>
              <w:rPr>
                <w:sz w:val="19"/>
                <w:szCs w:val="19"/>
                <w:color w:val="auto"/>
              </w:rPr>
            </w:pPr>
          </w:p>
        </w:tc>
        <w:tc>
          <w:tcPr>
            <w:tcW w:w="1880" w:type="dxa"/>
            <w:vAlign w:val="bottom"/>
            <w:tcBorders>
              <w:right w:val="single" w:sz="8" w:color="E5E5E5"/>
            </w:tcBorders>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940" w:type="dxa"/>
            <w:vAlign w:val="bottom"/>
            <w:tcBorders>
              <w:right w:val="single" w:sz="8" w:color="E5E5E5"/>
            </w:tcBorders>
          </w:tcPr>
          <w:p>
            <w:pPr>
              <w:spacing w:after="0"/>
              <w:rPr>
                <w:sz w:val="19"/>
                <w:szCs w:val="19"/>
                <w:color w:val="auto"/>
              </w:rPr>
            </w:pPr>
          </w:p>
        </w:tc>
        <w:tc>
          <w:tcPr>
            <w:tcW w:w="1620" w:type="dxa"/>
            <w:vAlign w:val="bottom"/>
            <w:tcBorders>
              <w:right w:val="single" w:sz="8" w:color="E5E5E5"/>
            </w:tcBorders>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480" w:type="dxa"/>
            <w:vAlign w:val="bottom"/>
            <w:tcBorders>
              <w:right w:val="single" w:sz="8" w:color="E5E5E5"/>
            </w:tcBorders>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0" w:type="dxa"/>
            <w:vAlign w:val="bottom"/>
          </w:tcPr>
          <w:p>
            <w:pPr>
              <w:spacing w:after="0"/>
              <w:rPr>
                <w:sz w:val="1"/>
                <w:szCs w:val="1"/>
                <w:color w:val="auto"/>
              </w:rPr>
            </w:pPr>
          </w:p>
        </w:tc>
      </w:tr>
      <w:tr>
        <w:trPr>
          <w:trHeight w:val="257"/>
        </w:trPr>
        <w:tc>
          <w:tcPr>
            <w:tcW w:w="2840" w:type="dxa"/>
            <w:vAlign w:val="bottom"/>
            <w:tcBorders>
              <w:left w:val="single" w:sz="8" w:color="E5E5E5"/>
              <w:right w:val="single" w:sz="8" w:color="E5E5E5"/>
            </w:tcBorders>
            <w:shd w:val="clear" w:color="auto" w:fill="DBDBDB"/>
          </w:tcPr>
          <w:p>
            <w:pPr>
              <w:ind w:left="40"/>
              <w:spacing w:after="0" w:line="243" w:lineRule="exact"/>
              <w:rPr>
                <w:sz w:val="20"/>
                <w:szCs w:val="20"/>
                <w:color w:val="auto"/>
              </w:rPr>
            </w:pPr>
            <w:r>
              <w:rPr>
                <w:rFonts w:ascii="Arial" w:cs="Arial" w:eastAsia="Arial" w:hAnsi="Arial"/>
                <w:sz w:val="18"/>
                <w:szCs w:val="18"/>
                <w:color w:val="auto"/>
              </w:rPr>
              <w:t>Maureen F. Morrison</w:t>
            </w:r>
            <w:r>
              <w:rPr>
                <w:rFonts w:ascii="Arial" w:cs="Arial" w:eastAsia="Arial" w:hAnsi="Arial"/>
                <w:sz w:val="23"/>
                <w:szCs w:val="23"/>
                <w:color w:val="auto"/>
                <w:vertAlign w:val="superscript"/>
              </w:rPr>
              <w:t>(2)</w:t>
            </w:r>
          </w:p>
        </w:tc>
        <w:tc>
          <w:tcPr>
            <w:tcW w:w="1500" w:type="dxa"/>
            <w:vAlign w:val="bottom"/>
            <w:tcBorders>
              <w:right w:val="single" w:sz="8" w:color="E5E5E5"/>
            </w:tcBorders>
            <w:shd w:val="clear" w:color="auto" w:fill="DBDBDB"/>
          </w:tcPr>
          <w:p>
            <w:pPr>
              <w:jc w:val="center"/>
              <w:spacing w:after="0"/>
              <w:rPr>
                <w:sz w:val="20"/>
                <w:szCs w:val="20"/>
                <w:color w:val="auto"/>
              </w:rPr>
            </w:pPr>
            <w:r>
              <w:rPr>
                <w:rFonts w:ascii="Arial" w:cs="Arial" w:eastAsia="Arial" w:hAnsi="Arial"/>
                <w:sz w:val="18"/>
                <w:szCs w:val="18"/>
                <w:color w:val="auto"/>
                <w:w w:val="97"/>
              </w:rPr>
              <w:t>Chair</w:t>
            </w:r>
          </w:p>
        </w:tc>
        <w:tc>
          <w:tcPr>
            <w:tcW w:w="1880" w:type="dxa"/>
            <w:vAlign w:val="bottom"/>
            <w:tcBorders>
              <w:right w:val="single" w:sz="8" w:color="E5E5E5"/>
            </w:tcBorders>
            <w:shd w:val="clear" w:color="auto" w:fill="DBDBDB"/>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940" w:type="dxa"/>
            <w:vAlign w:val="bottom"/>
            <w:tcBorders>
              <w:right w:val="single" w:sz="8" w:color="E5E5E5"/>
            </w:tcBorders>
            <w:shd w:val="clear" w:color="auto" w:fill="DBDBDB"/>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620" w:type="dxa"/>
            <w:vAlign w:val="bottom"/>
            <w:tcBorders>
              <w:right w:val="single" w:sz="8" w:color="E5E5E5"/>
            </w:tcBorders>
            <w:shd w:val="clear" w:color="auto" w:fill="DBDBDB"/>
          </w:tcPr>
          <w:p>
            <w:pPr>
              <w:spacing w:after="0"/>
              <w:rPr>
                <w:sz w:val="22"/>
                <w:szCs w:val="22"/>
                <w:color w:val="auto"/>
              </w:rPr>
            </w:pPr>
          </w:p>
        </w:tc>
        <w:tc>
          <w:tcPr>
            <w:tcW w:w="1480" w:type="dxa"/>
            <w:vAlign w:val="bottom"/>
            <w:tcBorders>
              <w:right w:val="single" w:sz="8" w:color="E5E5E5"/>
            </w:tcBorders>
            <w:shd w:val="clear" w:color="auto" w:fill="DBDBDB"/>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840" w:type="dxa"/>
            <w:vAlign w:val="bottom"/>
            <w:tcBorders>
              <w:left w:val="single" w:sz="8" w:color="E5E5E5"/>
              <w:right w:val="single" w:sz="8" w:color="E5E5E5"/>
            </w:tcBorders>
          </w:tcPr>
          <w:p>
            <w:pPr>
              <w:ind w:left="40"/>
              <w:spacing w:after="0"/>
              <w:rPr>
                <w:sz w:val="20"/>
                <w:szCs w:val="20"/>
                <w:color w:val="auto"/>
              </w:rPr>
            </w:pPr>
            <w:r>
              <w:rPr>
                <w:rFonts w:ascii="Arial" w:cs="Arial" w:eastAsia="Arial" w:hAnsi="Arial"/>
                <w:sz w:val="18"/>
                <w:szCs w:val="18"/>
                <w:color w:val="auto"/>
              </w:rPr>
              <w:t>Shamla Naidoo</w:t>
            </w:r>
          </w:p>
        </w:tc>
        <w:tc>
          <w:tcPr>
            <w:tcW w:w="1500" w:type="dxa"/>
            <w:vAlign w:val="bottom"/>
            <w:tcBorders>
              <w:right w:val="single" w:sz="8" w:color="E5E5E5"/>
            </w:tcBorders>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880" w:type="dxa"/>
            <w:vAlign w:val="bottom"/>
            <w:tcBorders>
              <w:right w:val="single" w:sz="8" w:color="E5E5E5"/>
            </w:tcBorders>
          </w:tcPr>
          <w:p>
            <w:pPr>
              <w:spacing w:after="0"/>
              <w:rPr>
                <w:sz w:val="19"/>
                <w:szCs w:val="19"/>
                <w:color w:val="auto"/>
              </w:rPr>
            </w:pPr>
          </w:p>
        </w:tc>
        <w:tc>
          <w:tcPr>
            <w:tcW w:w="1940" w:type="dxa"/>
            <w:vAlign w:val="bottom"/>
            <w:tcBorders>
              <w:right w:val="single" w:sz="8" w:color="E5E5E5"/>
            </w:tcBorders>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620" w:type="dxa"/>
            <w:vAlign w:val="bottom"/>
            <w:tcBorders>
              <w:right w:val="single" w:sz="8" w:color="E5E5E5"/>
            </w:tcBorders>
          </w:tcPr>
          <w:p>
            <w:pPr>
              <w:spacing w:after="0"/>
              <w:rPr>
                <w:sz w:val="19"/>
                <w:szCs w:val="19"/>
                <w:color w:val="auto"/>
              </w:rPr>
            </w:pPr>
          </w:p>
        </w:tc>
        <w:tc>
          <w:tcPr>
            <w:tcW w:w="1480" w:type="dxa"/>
            <w:vAlign w:val="bottom"/>
            <w:tcBorders>
              <w:right w:val="single" w:sz="8" w:color="E5E5E5"/>
            </w:tcBorders>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2840" w:type="dxa"/>
            <w:vAlign w:val="bottom"/>
            <w:tcBorders>
              <w:left w:val="single" w:sz="8" w:color="E5E5E5"/>
              <w:right w:val="single" w:sz="8" w:color="E5E5E5"/>
            </w:tcBorders>
            <w:shd w:val="clear" w:color="auto" w:fill="DBDBDB"/>
          </w:tcPr>
          <w:p>
            <w:pPr>
              <w:ind w:left="40"/>
              <w:spacing w:after="0"/>
              <w:rPr>
                <w:sz w:val="20"/>
                <w:szCs w:val="20"/>
                <w:color w:val="auto"/>
              </w:rPr>
            </w:pPr>
            <w:r>
              <w:rPr>
                <w:rFonts w:ascii="Arial" w:cs="Arial" w:eastAsia="Arial" w:hAnsi="Arial"/>
                <w:sz w:val="18"/>
                <w:szCs w:val="18"/>
                <w:color w:val="auto"/>
              </w:rPr>
              <w:t>Bridget Ryan-Berman</w:t>
            </w:r>
          </w:p>
        </w:tc>
        <w:tc>
          <w:tcPr>
            <w:tcW w:w="1500" w:type="dxa"/>
            <w:vAlign w:val="bottom"/>
            <w:tcBorders>
              <w:right w:val="single" w:sz="8" w:color="E5E5E5"/>
            </w:tcBorders>
            <w:shd w:val="clear" w:color="auto" w:fill="DBDBDB"/>
          </w:tcPr>
          <w:p>
            <w:pPr>
              <w:spacing w:after="0"/>
              <w:rPr>
                <w:sz w:val="22"/>
                <w:szCs w:val="22"/>
                <w:color w:val="auto"/>
              </w:rPr>
            </w:pPr>
          </w:p>
        </w:tc>
        <w:tc>
          <w:tcPr>
            <w:tcW w:w="1880" w:type="dxa"/>
            <w:vAlign w:val="bottom"/>
            <w:tcBorders>
              <w:right w:val="single" w:sz="8" w:color="E5E5E5"/>
            </w:tcBorders>
            <w:shd w:val="clear" w:color="auto" w:fill="DBDBDB"/>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940" w:type="dxa"/>
            <w:vAlign w:val="bottom"/>
            <w:tcBorders>
              <w:right w:val="single" w:sz="8" w:color="E5E5E5"/>
            </w:tcBorders>
            <w:shd w:val="clear" w:color="auto" w:fill="DBDBDB"/>
          </w:tcPr>
          <w:p>
            <w:pPr>
              <w:jc w:val="center"/>
              <w:spacing w:after="0"/>
              <w:rPr>
                <w:sz w:val="20"/>
                <w:szCs w:val="20"/>
                <w:color w:val="auto"/>
              </w:rPr>
            </w:pPr>
            <w:r>
              <w:rPr>
                <w:rFonts w:ascii="Arial" w:cs="Arial" w:eastAsia="Arial" w:hAnsi="Arial"/>
                <w:sz w:val="18"/>
                <w:szCs w:val="18"/>
                <w:color w:val="auto"/>
              </w:rPr>
              <w:t>Chair</w:t>
            </w:r>
          </w:p>
        </w:tc>
        <w:tc>
          <w:tcPr>
            <w:tcW w:w="1620" w:type="dxa"/>
            <w:vAlign w:val="bottom"/>
            <w:tcBorders>
              <w:right w:val="single" w:sz="8" w:color="E5E5E5"/>
            </w:tcBorders>
            <w:shd w:val="clear" w:color="auto" w:fill="DBDBDB"/>
          </w:tcPr>
          <w:p>
            <w:pPr>
              <w:spacing w:after="0"/>
              <w:rPr>
                <w:sz w:val="22"/>
                <w:szCs w:val="22"/>
                <w:color w:val="auto"/>
              </w:rPr>
            </w:pPr>
          </w:p>
        </w:tc>
        <w:tc>
          <w:tcPr>
            <w:tcW w:w="1480" w:type="dxa"/>
            <w:vAlign w:val="bottom"/>
            <w:tcBorders>
              <w:right w:val="single" w:sz="8" w:color="E5E5E5"/>
            </w:tcBorders>
            <w:shd w:val="clear" w:color="auto" w:fill="DBDBDB"/>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840" w:type="dxa"/>
            <w:vAlign w:val="bottom"/>
            <w:tcBorders>
              <w:left w:val="single" w:sz="8" w:color="E5E5E5"/>
              <w:bottom w:val="single" w:sz="8" w:color="E5E5E5"/>
              <w:right w:val="single" w:sz="8" w:color="E5E5E5"/>
            </w:tcBorders>
          </w:tcPr>
          <w:p>
            <w:pPr>
              <w:ind w:left="40"/>
              <w:spacing w:after="0" w:line="230" w:lineRule="exact"/>
              <w:rPr>
                <w:sz w:val="20"/>
                <w:szCs w:val="20"/>
                <w:color w:val="auto"/>
              </w:rPr>
            </w:pPr>
            <w:r>
              <w:rPr>
                <w:rFonts w:ascii="Arial" w:cs="Arial" w:eastAsia="Arial" w:hAnsi="Arial"/>
                <w:sz w:val="18"/>
                <w:szCs w:val="18"/>
                <w:color w:val="auto"/>
              </w:rPr>
              <w:t>Hilliard C. Terry, III</w:t>
            </w:r>
            <w:r>
              <w:rPr>
                <w:rFonts w:ascii="Arial" w:cs="Arial" w:eastAsia="Arial" w:hAnsi="Arial"/>
                <w:sz w:val="23"/>
                <w:szCs w:val="23"/>
                <w:color w:val="auto"/>
                <w:vertAlign w:val="superscript"/>
              </w:rPr>
              <w:t>(2)</w:t>
            </w:r>
          </w:p>
        </w:tc>
        <w:tc>
          <w:tcPr>
            <w:tcW w:w="1500" w:type="dxa"/>
            <w:vAlign w:val="bottom"/>
            <w:tcBorders>
              <w:bottom w:val="single" w:sz="8" w:color="E5E5E5"/>
              <w:right w:val="single" w:sz="8" w:color="E5E5E5"/>
            </w:tcBorders>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880" w:type="dxa"/>
            <w:vAlign w:val="bottom"/>
            <w:tcBorders>
              <w:bottom w:val="single" w:sz="8" w:color="E5E5E5"/>
              <w:right w:val="single" w:sz="8" w:color="E5E5E5"/>
            </w:tcBorders>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940" w:type="dxa"/>
            <w:vAlign w:val="bottom"/>
            <w:tcBorders>
              <w:bottom w:val="single" w:sz="8" w:color="E5E5E5"/>
              <w:right w:val="single" w:sz="8" w:color="E5E5E5"/>
            </w:tcBorders>
          </w:tcPr>
          <w:p>
            <w:pPr>
              <w:spacing w:after="0"/>
              <w:rPr>
                <w:sz w:val="19"/>
                <w:szCs w:val="19"/>
                <w:color w:val="auto"/>
              </w:rPr>
            </w:pPr>
          </w:p>
        </w:tc>
        <w:tc>
          <w:tcPr>
            <w:tcW w:w="1620" w:type="dxa"/>
            <w:vAlign w:val="bottom"/>
            <w:tcBorders>
              <w:bottom w:val="single" w:sz="8" w:color="E5E5E5"/>
              <w:right w:val="single" w:sz="8" w:color="E5E5E5"/>
            </w:tcBorders>
          </w:tcPr>
          <w:p>
            <w:pPr>
              <w:spacing w:after="0"/>
              <w:rPr>
                <w:sz w:val="19"/>
                <w:szCs w:val="19"/>
                <w:color w:val="auto"/>
              </w:rPr>
            </w:pPr>
          </w:p>
        </w:tc>
        <w:tc>
          <w:tcPr>
            <w:tcW w:w="1480" w:type="dxa"/>
            <w:vAlign w:val="bottom"/>
            <w:tcBorders>
              <w:bottom w:val="single" w:sz="8" w:color="E5E5E5"/>
              <w:right w:val="single" w:sz="8" w:color="E5E5E5"/>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20" w:hanging="312"/>
        <w:spacing w:after="0"/>
        <w:tabs>
          <w:tab w:leader="none" w:pos="3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Chairman of the Board of Directors</w:t>
      </w:r>
    </w:p>
    <w:p>
      <w:pPr>
        <w:spacing w:after="0" w:line="59" w:lineRule="exact"/>
        <w:rPr>
          <w:rFonts w:ascii="Arial" w:cs="Arial" w:eastAsia="Arial" w:hAnsi="Arial"/>
          <w:sz w:val="16"/>
          <w:szCs w:val="16"/>
          <w:color w:val="auto"/>
        </w:rPr>
      </w:pPr>
    </w:p>
    <w:p>
      <w:pPr>
        <w:ind w:left="320" w:hanging="312"/>
        <w:spacing w:after="0"/>
        <w:tabs>
          <w:tab w:leader="none" w:pos="3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Audit Committee Financial Expert</w:t>
      </w:r>
    </w:p>
    <w:p>
      <w:pPr>
        <w:spacing w:after="0" w:line="8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Audit Committee</w:t>
      </w:r>
    </w:p>
    <w:p>
      <w:pPr>
        <w:spacing w:after="0" w:line="92"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The Audit Committee assists the Board in fulfilling its responsibility to oversee management’s conduct of the Company’s financial reporting process, including the development and maintenance of systems of internal accounting and financial controls, including internal controls designed to assess, identify and manage material risks from cybersecurity threats, the integrity of the Company’s financial statements, the Company’s compliance with certain legal and regulatory requirements, the qualifications, independence and performance of the Company’s outside auditors and the performance of the Company’s internal audit functions. The Audit Committee also is directly responsible for the appointment, retention, compensation, termination and oversight of the Company's outside auditors. The Audit Committee also assists the Board in the oversight, review and evaluation of initiatives, programs, policies and/or practices relating to the Company’s environmental, social and governance strategy, and also assists the Board in overseeing the Company’s Chief Information Officer (“CIO”) regarding cybersecurity matters, from time to time as specifically requested by the Board.</w:t>
      </w:r>
    </w:p>
    <w:p>
      <w:pPr>
        <w:spacing w:after="0" w:line="73" w:lineRule="exact"/>
        <w:rPr>
          <w:sz w:val="20"/>
          <w:szCs w:val="20"/>
          <w:color w:val="auto"/>
        </w:rPr>
      </w:pPr>
    </w:p>
    <w:p>
      <w:pPr>
        <w:ind w:right="20"/>
        <w:spacing w:after="0" w:line="278" w:lineRule="auto"/>
        <w:rPr>
          <w:sz w:val="20"/>
          <w:szCs w:val="20"/>
          <w:color w:val="auto"/>
        </w:rPr>
      </w:pPr>
      <w:r>
        <w:rPr>
          <w:rFonts w:ascii="Arial" w:cs="Arial" w:eastAsia="Arial" w:hAnsi="Arial"/>
          <w:sz w:val="17"/>
          <w:szCs w:val="17"/>
          <w:color w:val="auto"/>
        </w:rPr>
        <w:t>Our Board has determined that each member of the Audit Committee meets the requisite independence and other qualification requirements for Audit Committee membership. Additionally, each of Maureen F. Morrison and Hilliard C. Terry, III qualifies as an “audit committee financial expert” within the meaning of Item 407(d)(5) of Regulation S-K under the Exchange Act. Designation or identification of a person as an “audit committee financial expert” does not impose any duties, obligations or liability that are greater than the duties, obligations and liability imposed on such person as a member of the Audit Committee and the Board of Directors in the absence of such designation or identification.</w:t>
      </w:r>
    </w:p>
    <w:p>
      <w:pPr>
        <w:spacing w:after="0" w:line="56" w:lineRule="exact"/>
        <w:rPr>
          <w:sz w:val="20"/>
          <w:szCs w:val="20"/>
          <w:color w:val="auto"/>
        </w:rPr>
      </w:pPr>
    </w:p>
    <w:p>
      <w:pPr>
        <w:ind w:right="980"/>
        <w:spacing w:after="0" w:line="287" w:lineRule="auto"/>
        <w:rPr>
          <w:sz w:val="20"/>
          <w:szCs w:val="20"/>
          <w:color w:val="auto"/>
        </w:rPr>
      </w:pPr>
      <w:r>
        <w:rPr>
          <w:rFonts w:ascii="Arial" w:cs="Arial" w:eastAsia="Arial" w:hAnsi="Arial"/>
          <w:sz w:val="18"/>
          <w:szCs w:val="18"/>
          <w:color w:val="auto"/>
        </w:rPr>
        <w:t>The Audit Committee held ten meetings in 2024, one of which was a joint meeting with the Capital Allocation &amp; Risk Management Committee.</w:t>
      </w:r>
    </w:p>
    <w:p>
      <w:pPr>
        <w:spacing w:after="0" w:line="2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Capital Allocation &amp; Risk Management Committee</w:t>
      </w:r>
    </w:p>
    <w:p>
      <w:pPr>
        <w:spacing w:after="0" w:line="9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Capital Allocation &amp; Risk Management Committee (i) assists the Board in the oversight, review and evaluation of the Company's capital allocation strategy, (ii) assists management in the evaluation of major financial transactions, including acquisitions and divestitures, and (iii) assists the Board in fulfilling its responsibility of overseeing the identification, assessment and management of our key financial, strategic and operational risks, and (iv) assists the Board in overseeing the CIO regarding cybersecurity matters. The Capital Allocation &amp; Risk Management Committee also assists the Board in the oversight, review and evaluation of initiatives, programs, policies and/or practices relating to the Company’s environmental, social and governance strategy, from time to time as specifically requested by the Board.</w:t>
      </w:r>
    </w:p>
    <w:p>
      <w:pPr>
        <w:spacing w:after="0" w:line="39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ind w:right="700"/>
        <w:spacing w:after="0" w:line="287" w:lineRule="auto"/>
        <w:rPr>
          <w:sz w:val="20"/>
          <w:szCs w:val="20"/>
          <w:color w:val="auto"/>
        </w:rPr>
      </w:pPr>
      <w:r>
        <w:rPr>
          <w:rFonts w:ascii="Arial" w:cs="Arial" w:eastAsia="Arial" w:hAnsi="Arial"/>
          <w:sz w:val="18"/>
          <w:szCs w:val="18"/>
          <w:color w:val="auto"/>
        </w:rPr>
        <w:t>The Capital Allocation &amp; Risk Management Committee held seven meetings in 2024, one of which was a joint meeting with the Audit Committee and one of which was a joint meeting with the Compensation &amp; Human Resources Committee.</w:t>
      </w:r>
    </w:p>
    <w:p>
      <w:pPr>
        <w:spacing w:after="0" w:line="2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Compensation &amp; Human Resources Committee</w:t>
      </w:r>
    </w:p>
    <w:p>
      <w:pPr>
        <w:spacing w:after="0" w:line="9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Compensation &amp; Human Resources Committee establishes and reviews our general compensation philosophy with the input of management, oversees the development and implementation of our compensation philosophy to ensure that our compensation plans are consistent with our general compensation philosophy, establishes the compensation to be paid to the Chief Executive Officer, reviews the recommendations of the Chief Executive Officer as to the appropriate compensation of our other corporate officers, generally administers and issues awards under our equity incentive plans from time to time in effect, oversees our other benefit plans and assists the Board in succession planning. The Committee may, in its discretion, delegate all or a portion of its duties and responsibilities to a subcommittee of the Committee. See “Compensation Discussion &amp; Analysis” for a discussion of our compensation philosophy and how the Compensation &amp; Human Resources Committee determines the compensation of our executive officers. The Compensation &amp; Human Resources Committee also assists the Board in the oversight, review and evaluation of initiatives, programs, policies and/or practices relating to the Company’s environmental, social and governance strategy, from time to time as specifically requested by the Board.</w:t>
      </w:r>
    </w:p>
    <w:p>
      <w:pPr>
        <w:spacing w:after="0" w:line="7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Our Board has determined that each member of the Compensation &amp; Human Resources Committee meets the requisite independence requirements for Compensation Committee membership, including qualifying as a “non-employee director” within the meaning of Rule 16b-3 under the Exchange Act.</w:t>
      </w:r>
    </w:p>
    <w:p>
      <w:pPr>
        <w:spacing w:after="0" w:line="63"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The Compensation &amp; Human Resources Committee held nine meetings in 2024, one of which was a joint meeting with the Capital Allocation &amp; Risk Management Committee.</w:t>
      </w:r>
    </w:p>
    <w:p>
      <w:pPr>
        <w:spacing w:after="0" w:line="2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Governance &amp; Nominating Committee</w:t>
      </w:r>
    </w:p>
    <w:p>
      <w:pPr>
        <w:spacing w:after="0" w:line="9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Governance &amp; Nominating Committee assists the Board by identifying qualified individuals to become directors, recommending the composition of the Board and its committees, and the compensation to be paid to the directors. It is also responsible for monitoring the process to assess the Board’s effectiveness, developing and implementing our Corporate Governance Guidelines and many of our corporate governance policies, including the oversight of compliance under our Equity Ownership Guidelines, our Code of Business Conduct and Ethics and our Related Person Transaction Policy. The Governance &amp; Nominating Committee also assists the Board in the oversight, review and evaluation of initiatives, programs, policies and/or practices relating to the Company’s environmental, social and governance strategy, from time to time as specifically requested by the Board.</w:t>
      </w:r>
    </w:p>
    <w:p>
      <w:pPr>
        <w:spacing w:after="0" w:line="7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Our Board has determined that each member of the Governance &amp; Nominating Committee meets the requisite independence requirements for Governance &amp; Nominating Committee membership under NYSE listing standards and the categorical independence standards set forth in the Corporate Governance Guidelines.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Governance &amp; Nominating Committee held five meetings in 2024.</w:t>
      </w:r>
    </w:p>
    <w:p>
      <w:pPr>
        <w:spacing w:after="0" w:line="9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Executive Committee</w:t>
      </w:r>
    </w:p>
    <w:p>
      <w:pPr>
        <w:spacing w:after="0" w:line="92"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Executive Committee has exercised and may exercise all the authority of the Board when the Board is not in session, except that it does not have the authority to: (i) approve or propose to stockholders actions required by the Delaware General Corporation Law to be approved by stockholders; (ii) adopt, amend or repeal our By-laws; (iii) authorize distributions; (iv) fill vacancies on the Board or any of its committees;</w:t>
      </w:r>
    </w:p>
    <w:p>
      <w:pPr>
        <w:spacing w:after="0" w:line="1" w:lineRule="exact"/>
        <w:rPr>
          <w:sz w:val="20"/>
          <w:szCs w:val="20"/>
          <w:color w:val="auto"/>
        </w:rPr>
      </w:pPr>
    </w:p>
    <w:p>
      <w:pPr>
        <w:ind w:right="140" w:firstLine="8"/>
        <w:spacing w:after="0" w:line="258" w:lineRule="auto"/>
        <w:tabs>
          <w:tab w:leader="none" w:pos="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approve a plan of merger, consolidation or reorganization not requiring stockholder approval; (vi) authorize or approve the repurchase of shares, except according to a formula or method prescribed by the Board; or (vii) authorize or approve the issuance or sale or contract for sale of shares or determine the designation and relative rights, preferences and limitations of a class or series of shares.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The Executive Committee held no meetings in 2024.</w:t>
      </w:r>
    </w:p>
    <w:p>
      <w:pPr>
        <w:spacing w:after="0" w:line="8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Code of Business Conduct and Ethics and Corporate Governance Guidelines</w:t>
      </w:r>
    </w:p>
    <w:p>
      <w:pPr>
        <w:spacing w:after="0" w:line="11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In accordance with the NYSE’s rules and the rules and regulations adopted by the SEC pursuant to the Sarbanes-Oxley Act of 2002, the Board has adopted Corporate Governance Guidelines and a Code of Business Conduct and Ethics applicable to all of our directors, officers and employees. The Corporate Governance Guidelines, the Code of Business Conduct and Ethics as well as our Audit Committee, Compensation &amp; Human Resources Committee, Governance &amp; Nominating Committee and Capital Allocation &amp; Risk Management Committee charters are available on our website at </w:t>
      </w:r>
      <w:r>
        <w:rPr>
          <w:rFonts w:ascii="Arial" w:cs="Arial" w:eastAsia="Arial" w:hAnsi="Arial"/>
          <w:sz w:val="18"/>
          <w:szCs w:val="18"/>
          <w:i w:val="1"/>
          <w:iCs w:val="1"/>
          <w:u w:val="single" w:color="auto"/>
          <w:color w:val="auto"/>
        </w:rPr>
        <w:t>https://investors.asburyauto.com/corporate-governance</w:t>
      </w:r>
      <w:r>
        <w:rPr>
          <w:rFonts w:ascii="Arial" w:cs="Arial" w:eastAsia="Arial" w:hAnsi="Arial"/>
          <w:sz w:val="18"/>
          <w:szCs w:val="18"/>
          <w:i w:val="1"/>
          <w:iCs w:val="1"/>
          <w:color w:val="auto"/>
        </w:rPr>
        <w:t>.</w:t>
      </w:r>
    </w:p>
    <w:p>
      <w:pPr>
        <w:spacing w:after="0" w:line="71"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We will provide our stockholders with copies of the above-mentioned documents free of charge if you call 770-418-8212 or submit a request in writing to the Company's Investor Relations Department at our corporate headquarters.</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The Board’s Risk Oversight Role</w:t>
      </w:r>
    </w:p>
    <w:p>
      <w:pPr>
        <w:spacing w:after="0" w:line="11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Board maintains ultimate oversight responsibility for management of the Company’s enterprise risk management program, which includes material cybersecurity risks. The Board has delegated oversight responsibility for certain areas of potential risk exposure to its committees. Each committee reports to the Board at regular intervals or more frequently, if appropriate, with respect to the risks and matters for which it maintains responsibility. The Company’s Capital Allocation &amp; Risk Management Committee is responsible for further assisting the Board in fulfilling its oversight role by (i) reviewing and evaluating the Company's capital allocation strategy, (ii) identifying, assessing and managing key financial, strategic and operational risks of the Company and (iii) providing management with assistance in evaluating major financial transactions, including acquisitions and divestitures. Management annually reviews with the Capital Allocation &amp; Risk Management Committee our key risks to help evaluate the Company’s risk profile and related risk management processes. In this review, management highlights for the Capital Allocation &amp; Risk Management Committee our most significant risks to facilitate the Capital Allocation &amp; Risk Management Committee’s evaluation of our long-term financial plans, budgets and strategic initiatives. The Capital Allocation &amp; Risk Management Committee, based on such review, considers the appropriate process for managing or mitigating material risks and the appropriate allocation of resources related to such material risks.</w:t>
      </w:r>
    </w:p>
    <w:p>
      <w:pPr>
        <w:spacing w:after="0" w:line="82"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Recognizing that the Capital Allocation &amp; Risk Management Committee’s role complements the Audit Committee’s role in risk oversight, our Capital Allocation &amp; Risk Management Committee charter mandates that at least one member of the Audit Committee be a member of the Capital Allocation &amp; Risk Management Committee. Currently, our Capital Allocation &amp; Risk Management Committee consists of seven members, three of whom are members of our Audit Committee: Ms. Morrison, Mr. Alsfine, Mr. Fay and Mr. Terry.</w:t>
      </w:r>
    </w:p>
    <w:p>
      <w:pPr>
        <w:spacing w:after="0" w:line="68"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The Compensation &amp; Human Resources Committee is primarily responsible for the design and oversight of our executive compensation policies, programs and practices. A key objective of the Compensation &amp; Human Resources Committee, together with the Capital Allocation</w:t>
      </w:r>
    </w:p>
    <w:p>
      <w:pPr>
        <w:ind w:firstLine="8"/>
        <w:spacing w:after="0" w:line="254" w:lineRule="auto"/>
        <w:tabs>
          <w:tab w:leader="none" w:pos="17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Risk Management Committee, is to oversee the implementation and development of our compensation programs to ensure such programs are consistent with the Company’s general philosophy after accounting for the Company’s key risk profile. In 2024, the Compensation &amp; Human Resources Committee and the Capital Allocation &amp; Risk Management Committee reviewed the Company’s risk profile and concluded that our then-current compensation policies and practices for our employees did not create risks reasonably likely to have a material adverse effect on us.</w:t>
      </w:r>
    </w:p>
    <w:p>
      <w:pPr>
        <w:spacing w:after="0" w:line="4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Corporate Responsibility</w:t>
      </w:r>
    </w:p>
    <w:p>
      <w:pPr>
        <w:spacing w:after="0" w:line="150" w:lineRule="exact"/>
        <w:rPr>
          <w:sz w:val="20"/>
          <w:szCs w:val="20"/>
          <w:color w:val="auto"/>
        </w:rPr>
      </w:pPr>
    </w:p>
    <w:p>
      <w:pPr>
        <w:jc w:val="both"/>
        <w:ind w:right="300"/>
        <w:spacing w:after="0" w:line="268" w:lineRule="auto"/>
        <w:rPr>
          <w:sz w:val="20"/>
          <w:szCs w:val="20"/>
          <w:color w:val="auto"/>
        </w:rPr>
      </w:pPr>
      <w:r>
        <w:rPr>
          <w:rFonts w:ascii="Arial" w:cs="Arial" w:eastAsia="Arial" w:hAnsi="Arial"/>
          <w:sz w:val="18"/>
          <w:szCs w:val="18"/>
          <w:color w:val="auto"/>
        </w:rPr>
        <w:t>The Board and its committees oversee the development, refinement and execution of our environmental, social and governance strategy. The Board and management recognize the importance of transparent disclosure concerning our governance and ethics policies, and our commitment to our employees, the environment and the communities in which we operate.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Below are certain highlights of our corporate responsibility strategy:</w:t>
      </w:r>
    </w:p>
    <w:p>
      <w:pPr>
        <w:sectPr>
          <w:pgSz w:w="11900" w:h="16838" w:orient="portrait"/>
          <w:cols w:equalWidth="0" w:num="1">
            <w:col w:w="11200"/>
          </w:cols>
          <w:pgMar w:left="320" w:top="121" w:right="379" w:bottom="1440" w:gutter="0" w:footer="0" w:header="0"/>
        </w:sectPr>
      </w:pPr>
    </w:p>
    <w:p>
      <w:pPr>
        <w:spacing w:after="0" w:line="14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FFFFFF"/>
        </w:rPr>
        <w:t>Environmental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3446145" cy="419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46145" cy="419735"/>
                    </a:xfrm>
                    <a:prstGeom prst="rect">
                      <a:avLst/>
                    </a:prstGeom>
                    <a:noFill/>
                  </pic:spPr>
                </pic:pic>
              </a:graphicData>
            </a:graphic>
          </wp:anchor>
        </w:drawing>
      </w:r>
    </w:p>
    <w:p>
      <w:pPr>
        <w:spacing w:after="0" w:line="128" w:lineRule="exact"/>
        <w:rPr>
          <w:sz w:val="20"/>
          <w:szCs w:val="20"/>
          <w:color w:val="auto"/>
        </w:rPr>
      </w:pPr>
    </w:p>
    <w:p>
      <w:pPr>
        <w:ind w:left="620"/>
        <w:spacing w:after="0"/>
        <w:rPr>
          <w:sz w:val="20"/>
          <w:szCs w:val="20"/>
          <w:color w:val="auto"/>
        </w:rPr>
      </w:pPr>
      <w:r>
        <w:rPr>
          <w:rFonts w:ascii="Arial" w:cs="Arial" w:eastAsia="Arial" w:hAnsi="Arial"/>
          <w:sz w:val="18"/>
          <w:szCs w:val="18"/>
          <w:color w:val="auto"/>
        </w:rPr>
        <w:t>Recycling tires, motor oil, cardboard, glass and plastic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103505</wp:posOffset>
            </wp:positionV>
            <wp:extent cx="248285" cy="2482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48285" cy="248285"/>
                    </a:xfrm>
                    <a:prstGeom prst="rect">
                      <a:avLst/>
                    </a:prstGeom>
                    <a:noFill/>
                  </pic:spPr>
                </pic:pic>
              </a:graphicData>
            </a:graphic>
          </wp:anchor>
        </w:drawing>
      </w:r>
    </w:p>
    <w:p>
      <w:pPr>
        <w:spacing w:after="0" w:line="151" w:lineRule="exact"/>
        <w:rPr>
          <w:sz w:val="20"/>
          <w:szCs w:val="20"/>
          <w:color w:val="auto"/>
        </w:rPr>
      </w:pPr>
    </w:p>
    <w:p>
      <w:pPr>
        <w:ind w:left="620"/>
        <w:spacing w:after="0" w:line="281" w:lineRule="auto"/>
        <w:rPr>
          <w:sz w:val="20"/>
          <w:szCs w:val="20"/>
          <w:color w:val="auto"/>
        </w:rPr>
      </w:pPr>
      <w:r>
        <w:rPr>
          <w:rFonts w:ascii="Arial" w:cs="Arial" w:eastAsia="Arial" w:hAnsi="Arial"/>
          <w:sz w:val="18"/>
          <w:szCs w:val="18"/>
          <w:color w:val="auto"/>
        </w:rPr>
        <w:t>Reducing water usage and instituting water reclamation in our car washes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-3810</wp:posOffset>
            </wp:positionV>
            <wp:extent cx="248285" cy="2482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48285" cy="248285"/>
                    </a:xfrm>
                    <a:prstGeom prst="rect">
                      <a:avLst/>
                    </a:prstGeom>
                    <a:noFill/>
                  </pic:spPr>
                </pic:pic>
              </a:graphicData>
            </a:graphic>
          </wp:anchor>
        </w:drawing>
      </w:r>
    </w:p>
    <w:p>
      <w:pPr>
        <w:ind w:left="620"/>
        <w:spacing w:after="0" w:line="281" w:lineRule="auto"/>
        <w:rPr>
          <w:sz w:val="20"/>
          <w:szCs w:val="20"/>
          <w:color w:val="auto"/>
        </w:rPr>
      </w:pPr>
      <w:r>
        <w:rPr>
          <w:rFonts w:ascii="Arial" w:cs="Arial" w:eastAsia="Arial" w:hAnsi="Arial"/>
          <w:sz w:val="18"/>
          <w:szCs w:val="18"/>
          <w:color w:val="auto"/>
        </w:rPr>
        <w:t>Reducing other water usage by installing motion-activated faucets and lower gallon flush valves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-3810</wp:posOffset>
            </wp:positionV>
            <wp:extent cx="248285" cy="2489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48285" cy="248920"/>
                    </a:xfrm>
                    <a:prstGeom prst="rect">
                      <a:avLst/>
                    </a:prstGeom>
                    <a:noFill/>
                  </pic:spPr>
                </pic:pic>
              </a:graphicData>
            </a:graphic>
          </wp:anchor>
        </w:drawing>
      </w:r>
    </w:p>
    <w:p>
      <w:pPr>
        <w:ind w:left="620" w:right="220"/>
        <w:spacing w:after="0" w:line="281" w:lineRule="auto"/>
        <w:rPr>
          <w:sz w:val="20"/>
          <w:szCs w:val="20"/>
          <w:color w:val="auto"/>
        </w:rPr>
      </w:pPr>
      <w:r>
        <w:rPr>
          <w:rFonts w:ascii="Arial" w:cs="Arial" w:eastAsia="Arial" w:hAnsi="Arial"/>
          <w:sz w:val="18"/>
          <w:szCs w:val="18"/>
          <w:color w:val="auto"/>
        </w:rPr>
        <w:t>Retrofitting our building exteriors and interiors with LED lighting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-3810</wp:posOffset>
            </wp:positionV>
            <wp:extent cx="248285" cy="2482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48285" cy="248285"/>
                    </a:xfrm>
                    <a:prstGeom prst="rect">
                      <a:avLst/>
                    </a:prstGeom>
                    <a:noFill/>
                  </pic:spPr>
                </pic:pic>
              </a:graphicData>
            </a:graphic>
          </wp:anchor>
        </w:drawing>
      </w:r>
    </w:p>
    <w:p>
      <w:pPr>
        <w:ind w:left="620" w:right="260"/>
        <w:spacing w:after="0" w:line="271" w:lineRule="auto"/>
        <w:rPr>
          <w:sz w:val="20"/>
          <w:szCs w:val="20"/>
          <w:color w:val="auto"/>
        </w:rPr>
      </w:pPr>
      <w:r>
        <w:rPr>
          <w:rFonts w:ascii="Arial" w:cs="Arial" w:eastAsia="Arial" w:hAnsi="Arial"/>
          <w:sz w:val="18"/>
          <w:szCs w:val="18"/>
          <w:color w:val="auto"/>
        </w:rPr>
        <w:t>Reducing energy usage in buildings through the use of occupancy and vacancy sensors</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FFFFFF"/>
        </w:rPr>
        <w:t>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-150495</wp:posOffset>
            </wp:positionV>
            <wp:extent cx="3480435"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80435" cy="171450"/>
                    </a:xfrm>
                    <a:prstGeom prst="rect">
                      <a:avLst/>
                    </a:prstGeom>
                    <a:noFill/>
                  </pic:spPr>
                </pic:pic>
              </a:graphicData>
            </a:graphic>
          </wp:anchor>
        </w:drawing>
      </w:r>
    </w:p>
    <w:p>
      <w:pPr>
        <w:spacing w:after="0" w:line="110" w:lineRule="exact"/>
        <w:rPr>
          <w:sz w:val="20"/>
          <w:szCs w:val="20"/>
          <w:color w:val="auto"/>
        </w:rPr>
      </w:pPr>
    </w:p>
    <w:p>
      <w:pPr>
        <w:ind w:left="160"/>
        <w:spacing w:after="0"/>
        <w:tabs>
          <w:tab w:leader="none" w:pos="720" w:val="left"/>
        </w:tabs>
        <w:rPr>
          <w:sz w:val="20"/>
          <w:szCs w:val="20"/>
          <w:color w:val="auto"/>
        </w:rPr>
      </w:pPr>
      <w:r>
        <w:rPr>
          <w:rFonts w:ascii="Arial" w:cs="Arial" w:eastAsia="Arial" w:hAnsi="Arial"/>
          <w:sz w:val="20"/>
          <w:szCs w:val="20"/>
          <w:b w:val="1"/>
          <w:bCs w:val="1"/>
          <w:color w:val="auto"/>
        </w:rPr>
        <w:t>90%</w:t>
      </w:r>
      <w:r>
        <w:rPr>
          <w:sz w:val="20"/>
          <w:szCs w:val="20"/>
          <w:color w:val="auto"/>
        </w:rPr>
        <w:tab/>
      </w:r>
      <w:r>
        <w:rPr>
          <w:rFonts w:ascii="Arial" w:cs="Arial" w:eastAsia="Arial" w:hAnsi="Arial"/>
          <w:sz w:val="18"/>
          <w:szCs w:val="18"/>
          <w:color w:val="auto"/>
        </w:rPr>
        <w:t>All of our directors other than our CEO are 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100330</wp:posOffset>
            </wp:positionV>
            <wp:extent cx="248285" cy="2482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48285" cy="248285"/>
                    </a:xfrm>
                    <a:prstGeom prst="rect">
                      <a:avLst/>
                    </a:prstGeom>
                    <a:noFill/>
                  </pic:spPr>
                </pic:pic>
              </a:graphicData>
            </a:graphic>
          </wp:anchor>
        </w:drawing>
      </w:r>
    </w:p>
    <w:p>
      <w:pPr>
        <w:spacing w:after="0" w:line="254" w:lineRule="exact"/>
        <w:rPr>
          <w:sz w:val="20"/>
          <w:szCs w:val="20"/>
          <w:color w:val="auto"/>
        </w:rPr>
      </w:pPr>
    </w:p>
    <w:p>
      <w:pPr>
        <w:ind w:left="740"/>
        <w:spacing w:after="0"/>
        <w:rPr>
          <w:sz w:val="20"/>
          <w:szCs w:val="20"/>
          <w:color w:val="auto"/>
        </w:rPr>
      </w:pPr>
      <w:r>
        <w:rPr>
          <w:rFonts w:ascii="Arial" w:cs="Arial" w:eastAsia="Arial" w:hAnsi="Arial"/>
          <w:sz w:val="18"/>
          <w:szCs w:val="18"/>
          <w:color w:val="auto"/>
        </w:rPr>
        <w:t>Annual director elections with plurality plus voting standard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103505</wp:posOffset>
            </wp:positionV>
            <wp:extent cx="248285" cy="2482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48285" cy="248285"/>
                    </a:xfrm>
                    <a:prstGeom prst="rect">
                      <a:avLst/>
                    </a:prstGeom>
                    <a:noFill/>
                  </pic:spPr>
                </pic:pic>
              </a:graphicData>
            </a:graphic>
          </wp:anchor>
        </w:drawing>
      </w:r>
    </w:p>
    <w:p>
      <w:pPr>
        <w:spacing w:after="0" w:line="151" w:lineRule="exact"/>
        <w:rPr>
          <w:sz w:val="20"/>
          <w:szCs w:val="20"/>
          <w:color w:val="auto"/>
        </w:rPr>
      </w:pPr>
    </w:p>
    <w:p>
      <w:pPr>
        <w:ind w:left="740" w:right="420"/>
        <w:spacing w:after="0" w:line="271" w:lineRule="auto"/>
        <w:rPr>
          <w:sz w:val="20"/>
          <w:szCs w:val="20"/>
          <w:color w:val="auto"/>
        </w:rPr>
      </w:pPr>
      <w:r>
        <w:rPr>
          <w:rFonts w:ascii="Arial" w:cs="Arial" w:eastAsia="Arial" w:hAnsi="Arial"/>
          <w:sz w:val="18"/>
          <w:szCs w:val="18"/>
          <w:color w:val="auto"/>
        </w:rPr>
        <w:t>Board considers diversity of thought, background and experience when evaluating prospective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6350</wp:posOffset>
            </wp:positionV>
            <wp:extent cx="248285" cy="2489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48285" cy="248920"/>
                    </a:xfrm>
                    <a:prstGeom prst="rect">
                      <a:avLst/>
                    </a:prstGeom>
                    <a:noFill/>
                  </pic:spPr>
                </pic:pic>
              </a:graphicData>
            </a:graphic>
          </wp:anchor>
        </w:drawing>
      </w:r>
    </w:p>
    <w:p>
      <w:pPr>
        <w:spacing w:after="0" w:line="107" w:lineRule="exact"/>
        <w:rPr>
          <w:sz w:val="20"/>
          <w:szCs w:val="20"/>
          <w:color w:val="auto"/>
        </w:rPr>
      </w:pPr>
    </w:p>
    <w:p>
      <w:pPr>
        <w:ind w:left="740"/>
        <w:spacing w:after="0"/>
        <w:rPr>
          <w:sz w:val="20"/>
          <w:szCs w:val="20"/>
          <w:color w:val="auto"/>
        </w:rPr>
      </w:pPr>
      <w:r>
        <w:rPr>
          <w:rFonts w:ascii="Arial" w:cs="Arial" w:eastAsia="Arial" w:hAnsi="Arial"/>
          <w:sz w:val="18"/>
          <w:szCs w:val="18"/>
          <w:color w:val="auto"/>
        </w:rPr>
        <w:t>Board is committed to ongoing board refreshment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103505</wp:posOffset>
            </wp:positionV>
            <wp:extent cx="248285" cy="2482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48285" cy="248285"/>
                    </a:xfrm>
                    <a:prstGeom prst="rect">
                      <a:avLst/>
                    </a:prstGeom>
                    <a:noFill/>
                  </pic:spPr>
                </pic:pic>
              </a:graphicData>
            </a:graphic>
          </wp:anchor>
        </w:drawing>
      </w:r>
    </w:p>
    <w:p>
      <w:pPr>
        <w:spacing w:after="0" w:line="151" w:lineRule="exact"/>
        <w:rPr>
          <w:sz w:val="20"/>
          <w:szCs w:val="20"/>
          <w:color w:val="auto"/>
        </w:rPr>
      </w:pPr>
    </w:p>
    <w:p>
      <w:pPr>
        <w:ind w:left="740" w:right="760"/>
        <w:spacing w:after="0" w:line="271" w:lineRule="auto"/>
        <w:rPr>
          <w:sz w:val="20"/>
          <w:szCs w:val="20"/>
          <w:color w:val="auto"/>
        </w:rPr>
      </w:pPr>
      <w:r>
        <w:rPr>
          <w:rFonts w:ascii="Arial" w:cs="Arial" w:eastAsia="Arial" w:hAnsi="Arial"/>
          <w:sz w:val="18"/>
          <w:szCs w:val="18"/>
          <w:color w:val="auto"/>
        </w:rPr>
        <w:t>Board periodically evaluates the composition and experience of its directors</w:t>
      </w:r>
    </w:p>
    <w:p>
      <w:pPr>
        <w:spacing w:after="0" w:line="200" w:lineRule="exact"/>
        <w:rPr>
          <w:sz w:val="20"/>
          <w:szCs w:val="20"/>
          <w:color w:val="auto"/>
        </w:rPr>
      </w:pPr>
    </w:p>
    <w:p>
      <w:pPr>
        <w:sectPr>
          <w:pgSz w:w="11900" w:h="16838" w:orient="portrait"/>
          <w:cols w:equalWidth="0" w:num="2">
            <w:col w:w="5240" w:space="540"/>
            <w:col w:w="5420"/>
          </w:cols>
          <w:pgMar w:left="320" w:top="121" w:right="379" w:bottom="1440" w:gutter="0" w:footer="0" w:header="0"/>
          <w:type w:val="continuous"/>
        </w:sectPr>
      </w:pPr>
    </w:p>
    <w:p>
      <w:pPr>
        <w:spacing w:after="0" w:line="31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7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FFFFFF"/>
        </w:rPr>
        <w:t>Social (Community &amp; People)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4114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spacing w:after="0" w:line="25" w:lineRule="exact"/>
        <w:rPr>
          <w:sz w:val="20"/>
          <w:szCs w:val="20"/>
          <w:color w:val="auto"/>
        </w:rPr>
      </w:pPr>
    </w:p>
    <w:p>
      <w:pPr>
        <w:ind w:left="620" w:right="140"/>
        <w:spacing w:after="0" w:line="251" w:lineRule="auto"/>
        <w:rPr>
          <w:sz w:val="20"/>
          <w:szCs w:val="20"/>
          <w:color w:val="auto"/>
        </w:rPr>
      </w:pPr>
      <w:r>
        <w:rPr>
          <w:rFonts w:ascii="Arial" w:cs="Arial" w:eastAsia="Arial" w:hAnsi="Arial"/>
          <w:sz w:val="18"/>
          <w:szCs w:val="18"/>
          <w:color w:val="auto"/>
        </w:rPr>
        <w:t>Expanded the Asbury Cares corporate giving program supporting non-profit community partner organizations that focus on reducing social inequities and disparities in our communities.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248285" cy="2489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48285" cy="248920"/>
                    </a:xfrm>
                    <a:prstGeom prst="rect">
                      <a:avLst/>
                    </a:prstGeom>
                    <a:noFill/>
                  </pic:spPr>
                </pic:pic>
              </a:graphicData>
            </a:graphic>
          </wp:anchor>
        </w:drawing>
      </w:r>
    </w:p>
    <w:p>
      <w:pPr>
        <w:spacing w:after="0" w:line="15" w:lineRule="exact"/>
        <w:rPr>
          <w:sz w:val="20"/>
          <w:szCs w:val="20"/>
          <w:color w:val="auto"/>
        </w:rPr>
      </w:pPr>
    </w:p>
    <w:p>
      <w:pPr>
        <w:ind w:left="620" w:right="140"/>
        <w:spacing w:after="0" w:line="256" w:lineRule="auto"/>
        <w:rPr>
          <w:sz w:val="20"/>
          <w:szCs w:val="20"/>
          <w:color w:val="auto"/>
        </w:rPr>
      </w:pPr>
      <w:r>
        <w:rPr>
          <w:rFonts w:ascii="Arial" w:cs="Arial" w:eastAsia="Arial" w:hAnsi="Arial"/>
          <w:sz w:val="18"/>
          <w:szCs w:val="18"/>
          <w:color w:val="auto"/>
        </w:rPr>
        <w:t>Award full-time team members with an additional 40 hours of paid time off per year to volunteer with our community partners with up to 8 hours to be used to support a non-profit of their choice.</w:t>
      </w:r>
    </w:p>
    <w:p>
      <w:pPr>
        <w:spacing w:after="0" w:line="31" w:lineRule="exact"/>
        <w:rPr>
          <w:sz w:val="20"/>
          <w:szCs w:val="20"/>
          <w:color w:val="auto"/>
        </w:rPr>
      </w:pPr>
    </w:p>
    <w:p>
      <w:pPr>
        <w:ind w:left="620" w:right="240"/>
        <w:spacing w:after="0" w:line="251" w:lineRule="auto"/>
        <w:rPr>
          <w:sz w:val="20"/>
          <w:szCs w:val="20"/>
          <w:color w:val="auto"/>
        </w:rPr>
      </w:pPr>
      <w:r>
        <w:rPr>
          <w:rFonts w:ascii="Arial" w:cs="Arial" w:eastAsia="Arial" w:hAnsi="Arial"/>
          <w:sz w:val="17"/>
          <w:szCs w:val="17"/>
          <w:color w:val="050505"/>
        </w:rPr>
        <w:t>Strive to offer competitive compensation and benefits to attract and retain the best people. We offer equity awards to frontline team members because we want them to be owners of our Company and committed to our long-term success. In addition, we offer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-153035</wp:posOffset>
            </wp:positionV>
            <wp:extent cx="248285" cy="2489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48285" cy="248920"/>
                    </a:xfrm>
                    <a:prstGeom prst="rect">
                      <a:avLst/>
                    </a:prstGeom>
                    <a:noFill/>
                  </pic:spPr>
                </pic:pic>
              </a:graphicData>
            </a:graphic>
          </wp:anchor>
        </w:drawing>
      </w:r>
    </w:p>
    <w:p>
      <w:pPr>
        <w:ind w:left="620" w:right="660"/>
        <w:spacing w:after="0" w:line="237" w:lineRule="auto"/>
        <w:rPr>
          <w:sz w:val="20"/>
          <w:szCs w:val="20"/>
          <w:color w:val="auto"/>
        </w:rPr>
      </w:pPr>
      <w:r>
        <w:rPr>
          <w:rFonts w:ascii="Arial" w:cs="Arial" w:eastAsia="Arial" w:hAnsi="Arial"/>
          <w:sz w:val="18"/>
          <w:szCs w:val="18"/>
          <w:color w:val="050505"/>
        </w:rPr>
        <w:t>holiday match savings program and full income replacement in our paid pregnancy disability program and paid parental leave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wp:posOffset>
            </wp:positionV>
            <wp:extent cx="248285" cy="2482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48285" cy="248285"/>
                    </a:xfrm>
                    <a:prstGeom prst="rect">
                      <a:avLst/>
                    </a:prstGeom>
                    <a:noFill/>
                  </pic:spPr>
                </pic:pic>
              </a:graphicData>
            </a:graphic>
          </wp:anchor>
        </w:drawing>
      </w:r>
    </w:p>
    <w:p>
      <w:pPr>
        <w:spacing w:after="0" w:line="10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Launched an online career path tool to aid team members in every position throughout the company chart their desired career path.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103505</wp:posOffset>
            </wp:positionV>
            <wp:extent cx="248285" cy="2489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48285" cy="248920"/>
                    </a:xfrm>
                    <a:prstGeom prst="rect">
                      <a:avLst/>
                    </a:prstGeom>
                    <a:noFill/>
                  </pic:spPr>
                </pic:pic>
              </a:graphicData>
            </a:graphic>
          </wp:anchor>
        </w:drawing>
      </w:r>
    </w:p>
    <w:p>
      <w:pPr>
        <w:spacing w:after="0" w:line="151" w:lineRule="exact"/>
        <w:rPr>
          <w:sz w:val="20"/>
          <w:szCs w:val="20"/>
          <w:color w:val="auto"/>
        </w:rPr>
      </w:pPr>
    </w:p>
    <w:p>
      <w:pPr>
        <w:ind w:left="620" w:right="80"/>
        <w:spacing w:after="0" w:line="256" w:lineRule="auto"/>
        <w:rPr>
          <w:sz w:val="20"/>
          <w:szCs w:val="20"/>
          <w:color w:val="auto"/>
        </w:rPr>
      </w:pPr>
      <w:r>
        <w:rPr>
          <w:rFonts w:ascii="Arial" w:cs="Arial" w:eastAsia="Arial" w:hAnsi="Arial"/>
          <w:sz w:val="18"/>
          <w:szCs w:val="18"/>
          <w:color w:val="auto"/>
        </w:rPr>
        <w:t>Continued to strive to foster a welcoming and inclusive environment that enhances the experience of our team members, guests and partners.</w:t>
      </w:r>
    </w:p>
    <w:p>
      <w:pPr>
        <w:spacing w:after="0" w:line="31" w:lineRule="exact"/>
        <w:rPr>
          <w:sz w:val="20"/>
          <w:szCs w:val="20"/>
          <w:color w:val="auto"/>
        </w:rPr>
      </w:pPr>
    </w:p>
    <w:p>
      <w:pPr>
        <w:ind w:left="620" w:right="240"/>
        <w:spacing w:after="0" w:line="237" w:lineRule="auto"/>
        <w:rPr>
          <w:sz w:val="20"/>
          <w:szCs w:val="20"/>
          <w:color w:val="auto"/>
        </w:rPr>
      </w:pPr>
      <w:r>
        <w:rPr>
          <w:rFonts w:ascii="Arial" w:cs="Arial" w:eastAsia="Arial" w:hAnsi="Arial"/>
          <w:sz w:val="18"/>
          <w:szCs w:val="18"/>
          <w:color w:val="050505"/>
        </w:rPr>
        <w:t>Invest in team members by expanding our learning and development programs and training offerings to include professional and leadership development, guest centric training, education and operational support training to help us create a culture of continuous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-212725</wp:posOffset>
            </wp:positionV>
            <wp:extent cx="248285" cy="2489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48285" cy="248920"/>
                    </a:xfrm>
                    <a:prstGeom prst="rect">
                      <a:avLst/>
                    </a:prstGeom>
                    <a:noFill/>
                  </pic:spPr>
                </pic:pic>
              </a:graphicData>
            </a:graphic>
          </wp:anchor>
        </w:drawing>
      </w:r>
    </w:p>
    <w:p>
      <w:pPr>
        <w:ind w:left="620"/>
        <w:spacing w:after="0"/>
        <w:rPr>
          <w:sz w:val="20"/>
          <w:szCs w:val="20"/>
          <w:color w:val="auto"/>
        </w:rPr>
      </w:pPr>
      <w:r>
        <w:rPr>
          <w:rFonts w:ascii="Arial" w:cs="Arial" w:eastAsia="Arial" w:hAnsi="Arial"/>
          <w:sz w:val="18"/>
          <w:szCs w:val="18"/>
          <w:color w:val="050505"/>
        </w:rPr>
        <w:t>growth and development.</w:t>
      </w:r>
    </w:p>
    <w:p>
      <w:pPr>
        <w:spacing w:after="0" w:line="17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Nomination of Directors</w:t>
      </w:r>
    </w:p>
    <w:p>
      <w:pPr>
        <w:spacing w:after="0" w:line="9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Governance &amp; Nominating Committee evaluates, and recommends to the full Board, nominees to serve as directors on our Board. The nominees for election at the 2025 Annual Meeting are current directors and were originally recommended to the Board by various sources, including other directors and a third-party executive search firm engaged by the Company. Candidates are evaluated in light of the then-current composition of the Board, the operating requirements of the Company and the long-term interests of the stockholders. In performing this evaluation, the Governance &amp; Nominating Committee considers the diversity, age, skills and other experience of the candidate, and other factors it deems appropriate, given the needs of the Board and the Company at the time, to maintain what it considers to be a suitable balance of knowledge, experience and capabilities. Qualified director-nominees are expected to possess an appropriate balance of the following qualities: high moral character and personal integrity, a high level of leadership or managerial experience, experience and knowledge relative to matters affecting the Company, the ability and willingness to contribute to the Board, the ability to exercise sound, independent business judgment, a long-term commitment to the interests of stockholders and growth of the Company, freedom from conflicts of interest, the ability to dedicate sufficient time, energy and attention to Board activities and the diligent performance of their duties.</w:t>
      </w:r>
    </w:p>
    <w:p>
      <w:pPr>
        <w:spacing w:after="0" w:line="74"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 xml:space="preserve">The Board will consider director candidates recommended by the Company’s stockholders. In order to make such a nomination, the stockholder must (i) be a record holder of shares of common stock at the time of giving notice as described below, (ii) be entitled to vote for the election of such director(s) and (iii) comply with the notice procedures set forth in the Company’s By-laws. Our By-laws can be found on our website at </w:t>
      </w:r>
      <w:r>
        <w:rPr>
          <w:rFonts w:ascii="Arial" w:cs="Arial" w:eastAsia="Arial" w:hAnsi="Arial"/>
          <w:sz w:val="18"/>
          <w:szCs w:val="18"/>
          <w:i w:val="1"/>
          <w:iCs w:val="1"/>
          <w:u w:val="single" w:color="auto"/>
          <w:color w:val="auto"/>
        </w:rPr>
        <w:t>https://investors.asburyauto.com/corporate-governance</w:t>
      </w:r>
      <w:r>
        <w:rPr>
          <w:rFonts w:ascii="Arial" w:cs="Arial" w:eastAsia="Arial" w:hAnsi="Arial"/>
          <w:sz w:val="18"/>
          <w:szCs w:val="18"/>
          <w:color w:val="auto"/>
        </w:rPr>
        <w:t>.</w:t>
      </w:r>
    </w:p>
    <w:p>
      <w:pPr>
        <w:spacing w:after="0" w:line="68"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Notice of a stockholder’s recommendation with regard to nominees for election to the Board must be delivered to, or mailed to and received by, the Secretary of the Company not later than 90 days or earlier than 120 days prior to the anniversary date of the preceding year’s Annual Meeting of Stockholders. If the Annual Meeting of Stockholders for which the recommendation is submitted is more than 30 days before or more than 60 days after the first anniversary of the preceding year’s Annual Meeting of Stockholders, such recommendation must be received by the Secretary of the Company not earlier than 120 days prior to the Annual Meeting of Stockholders and not later than 90 days prior to such annual meeting or the 10th day following the day on which public announcement of the annual meeting date is first made by the Company.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The stockholder’s notice shall be signed by the stockholder of record who intends to recommend a nominee, and shall set forth:</w:t>
      </w:r>
    </w:p>
    <w:p>
      <w:pPr>
        <w:spacing w:after="0" w:line="117" w:lineRule="exact"/>
        <w:rPr>
          <w:sz w:val="20"/>
          <w:szCs w:val="20"/>
          <w:color w:val="auto"/>
        </w:rPr>
      </w:pPr>
    </w:p>
    <w:p>
      <w:pPr>
        <w:ind w:left="980" w:hanging="486"/>
        <w:spacing w:after="0" w:line="256" w:lineRule="auto"/>
        <w:tabs>
          <w:tab w:leader="none" w:pos="977" w:val="left"/>
        </w:tabs>
        <w:numPr>
          <w:ilvl w:val="0"/>
          <w:numId w:val="26"/>
        </w:numPr>
        <w:rPr>
          <w:rFonts w:ascii="Arial" w:cs="Arial" w:eastAsia="Arial" w:hAnsi="Arial"/>
          <w:sz w:val="18"/>
          <w:szCs w:val="18"/>
          <w:color w:val="auto"/>
        </w:rPr>
      </w:pPr>
      <w:r>
        <w:rPr>
          <w:rFonts w:ascii="Arial" w:cs="Arial" w:eastAsia="Arial" w:hAnsi="Arial"/>
          <w:sz w:val="18"/>
          <w:szCs w:val="18"/>
          <w:color w:val="auto"/>
        </w:rPr>
        <w:t>as to each person whom the stockholder proposes to nominate for election or reelection as a director: (1) all information relating to such person that is required to be set forth in the notice pursuant to Section 2.07 of the Company’s By-laws (and Items 403 and 404 under Regulation S-K); (2) a written questionnaire with respect to identity, background and qualification of the proposed nominee, (3) a written representation and agreement that the proposed nominee (i) is not and will not become a party to (x) any agreement or similar understanding that the nominee, if elected, will adopt a specific voting commitment on any issue or question that has not been disclosed to the Company or, (y) any voting commitment that could limit or interfere with such person’s fiduciary duty under applicable law, (ii) is not and will not become a party to any agreement or</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ind w:left="980" w:right="200"/>
        <w:spacing w:after="0" w:line="272" w:lineRule="auto"/>
        <w:rPr>
          <w:sz w:val="20"/>
          <w:szCs w:val="20"/>
          <w:color w:val="auto"/>
        </w:rPr>
      </w:pPr>
      <w:r>
        <w:rPr>
          <w:rFonts w:ascii="Arial" w:cs="Arial" w:eastAsia="Arial" w:hAnsi="Arial"/>
          <w:sz w:val="17"/>
          <w:szCs w:val="17"/>
          <w:color w:val="auto"/>
        </w:rPr>
        <w:t>similar understanding with respect to any direct or indirect compensation, reimbursement or indemnification in connection with service as a director, that has not been disclosed to the Company, and (iii) if elected, will comply with all applicable publicly disclosed corporate governance, conflict of interest, confidentiality, stock ownership and trading policies of the Company, and</w:t>
      </w:r>
    </w:p>
    <w:p>
      <w:pPr>
        <w:spacing w:after="0" w:line="1" w:lineRule="exact"/>
        <w:rPr>
          <w:sz w:val="20"/>
          <w:szCs w:val="20"/>
          <w:color w:val="auto"/>
        </w:rPr>
      </w:pPr>
    </w:p>
    <w:p>
      <w:pPr>
        <w:ind w:left="980" w:right="200"/>
        <w:spacing w:after="0" w:line="258" w:lineRule="auto"/>
        <w:tabs>
          <w:tab w:leader="none" w:pos="125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all other information relating to such person that is required to be disclosed in solicitation of proxies for the election of directors, or is otherwise required, in each case pursuant to Regulation 14A under the Exchange Act, including, the nominee’s written consent to being named in the proxy statement as a nominee and to serving as a director if elected; and</w:t>
      </w:r>
    </w:p>
    <w:p>
      <w:pPr>
        <w:spacing w:after="0" w:line="70" w:lineRule="exact"/>
        <w:rPr>
          <w:rFonts w:ascii="Arial" w:cs="Arial" w:eastAsia="Arial" w:hAnsi="Arial"/>
          <w:sz w:val="18"/>
          <w:szCs w:val="18"/>
          <w:color w:val="auto"/>
        </w:rPr>
      </w:pPr>
    </w:p>
    <w:p>
      <w:pPr>
        <w:ind w:left="980" w:hanging="486"/>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as to the stockholder giving the notice and the beneficial owner, if any, on whose behalf the nomination or proposal is made</w:t>
      </w:r>
    </w:p>
    <w:p>
      <w:pPr>
        <w:spacing w:after="0" w:line="27" w:lineRule="exact"/>
        <w:rPr>
          <w:rFonts w:ascii="Arial" w:cs="Arial" w:eastAsia="Arial" w:hAnsi="Arial"/>
          <w:sz w:val="18"/>
          <w:szCs w:val="18"/>
          <w:color w:val="auto"/>
        </w:rPr>
      </w:pPr>
    </w:p>
    <w:p>
      <w:pPr>
        <w:jc w:val="both"/>
        <w:ind w:left="980" w:right="220"/>
        <w:spacing w:after="0" w:line="265" w:lineRule="auto"/>
        <w:tabs>
          <w:tab w:leader="none" w:pos="1250" w:val="left"/>
        </w:tabs>
        <w:numPr>
          <w:ilvl w:val="1"/>
          <w:numId w:val="28"/>
        </w:numPr>
        <w:rPr>
          <w:rFonts w:ascii="Arial" w:cs="Arial" w:eastAsia="Arial" w:hAnsi="Arial"/>
          <w:sz w:val="17"/>
          <w:szCs w:val="17"/>
          <w:color w:val="auto"/>
        </w:rPr>
      </w:pPr>
      <w:r>
        <w:rPr>
          <w:rFonts w:ascii="Arial" w:cs="Arial" w:eastAsia="Arial" w:hAnsi="Arial"/>
          <w:sz w:val="17"/>
          <w:szCs w:val="17"/>
          <w:color w:val="auto"/>
        </w:rPr>
        <w:t>the name and address of such stockholder, as they appear on the Company’s books, and of such beneficial owner, (2) the number of shares of the Company which are owned of record and beneficially by such stockholder and such beneficial owner,</w:t>
      </w:r>
    </w:p>
    <w:p>
      <w:pPr>
        <w:ind w:left="1240" w:hanging="260"/>
        <w:spacing w:after="0"/>
        <w:tabs>
          <w:tab w:leader="none" w:pos="12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 representation that such stockholder is entitled to vote at the meeting and intends to appear virtually or by proxy at the</w:t>
      </w:r>
    </w:p>
    <w:p>
      <w:pPr>
        <w:spacing w:after="0" w:line="9" w:lineRule="exact"/>
        <w:rPr>
          <w:rFonts w:ascii="Arial" w:cs="Arial" w:eastAsia="Arial" w:hAnsi="Arial"/>
          <w:sz w:val="18"/>
          <w:szCs w:val="18"/>
          <w:color w:val="auto"/>
        </w:rPr>
      </w:pPr>
    </w:p>
    <w:p>
      <w:pPr>
        <w:ind w:left="980"/>
        <w:spacing w:after="0" w:line="265" w:lineRule="auto"/>
        <w:rPr>
          <w:rFonts w:ascii="Arial" w:cs="Arial" w:eastAsia="Arial" w:hAnsi="Arial"/>
          <w:sz w:val="18"/>
          <w:szCs w:val="18"/>
          <w:color w:val="auto"/>
        </w:rPr>
      </w:pPr>
      <w:r>
        <w:rPr>
          <w:rFonts w:ascii="Arial" w:cs="Arial" w:eastAsia="Arial" w:hAnsi="Arial"/>
          <w:sz w:val="17"/>
          <w:szCs w:val="17"/>
          <w:color w:val="auto"/>
        </w:rPr>
        <w:t>meeting to nominate the person specified in the notice, (4) a representation whether the stockholder or beneficial owner, if any, intends or is part of a group that intends (x) to deliver a proxy statement and/or form of proxy to holders of at least the percentage of the Company’s outstanding capital stock required to elect the nominee and/or (y) otherwise to solicit proxies from stockholders in support of such nomination, (5) a description of any Derivative Interest (as defined in the By-laws), (6) any proxy, contract, or similar understanding that increases or decreases the voting power of such stockholder or beneficial owner, (7) any dividend rights held of record or beneficially by the stockholder on shares of the Company that are separated or severable from the underlying shares, (8) any performance-related fees (other than an asset-based fee) to which the stockholder or beneficial owner may be entitled as a result of any increase or decrease in the value of shares of the Company or Derivative Interests; and</w:t>
      </w:r>
    </w:p>
    <w:p>
      <w:pPr>
        <w:spacing w:after="0" w:line="1" w:lineRule="exact"/>
        <w:rPr>
          <w:rFonts w:ascii="Arial" w:cs="Arial" w:eastAsia="Arial" w:hAnsi="Arial"/>
          <w:sz w:val="18"/>
          <w:szCs w:val="18"/>
          <w:color w:val="auto"/>
        </w:rPr>
      </w:pPr>
    </w:p>
    <w:p>
      <w:pPr>
        <w:ind w:left="980" w:right="520"/>
        <w:spacing w:after="0" w:line="266" w:lineRule="auto"/>
        <w:tabs>
          <w:tab w:leader="none" w:pos="125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other information relating to such stockholder or beneficial owner that would be required to be disclosed in a proxy statement or other filing required pursuant to Section 14(a) of the Exchange Act.</w:t>
      </w:r>
    </w:p>
    <w:p>
      <w:pPr>
        <w:spacing w:after="0" w:line="3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Service Limitations</w:t>
      </w:r>
    </w:p>
    <w:p>
      <w:pPr>
        <w:spacing w:after="0" w:line="11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Under the Company’s Corporate Governance Guidelines, a director may not stand for re-election if he or she would be age 74 years or older at the date of the election, but need not resign until the end of their term. However, the Board may waive this age limitation, on an annual basis, upon the recommendation of the Governance &amp; Nominating Committee if, in light of all of the circumstances, a director’s continued service is in the best interests of the Company and its stockholders. In no event may the Board waive the requirement more than twice for any individual director. In addition, our Corporate Governance Guidelines provide that the Chairman of the Board and the chair of each committee will not serve greater than five years in their respective chair roles, subject to exceptions approved by the Board. However, because the Company has undergone significant and transformational growth, the Board determined last year it was in the Company’s best interest to grant Mr. Reddin a waiver to serve as Chairman of the Board for an additional two years, with a term ending at the 2026 Annual Meeting of Stockholders.</w:t>
      </w:r>
    </w:p>
    <w:p>
      <w:pPr>
        <w:spacing w:after="0" w:line="4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Communications with the Board</w:t>
      </w:r>
    </w:p>
    <w:p>
      <w:pPr>
        <w:spacing w:after="0" w:line="96" w:lineRule="exact"/>
        <w:rPr>
          <w:sz w:val="20"/>
          <w:szCs w:val="20"/>
          <w:color w:val="auto"/>
        </w:rPr>
      </w:pPr>
    </w:p>
    <w:p>
      <w:pPr>
        <w:jc w:val="both"/>
        <w:ind w:right="120"/>
        <w:spacing w:after="0" w:line="272" w:lineRule="auto"/>
        <w:rPr>
          <w:sz w:val="20"/>
          <w:szCs w:val="20"/>
          <w:color w:val="auto"/>
        </w:rPr>
      </w:pPr>
      <w:r>
        <w:rPr>
          <w:rFonts w:ascii="Arial" w:cs="Arial" w:eastAsia="Arial" w:hAnsi="Arial"/>
          <w:sz w:val="17"/>
          <w:szCs w:val="17"/>
          <w:color w:val="auto"/>
        </w:rPr>
        <w:t>We have a Stockholder Communication Policy with established procedures for stockholders and interested parties to communicate directly with the Board, with our non-management directors or with a particular director. The stockholder or interested party should send any written communications to (i) the Lead Independent Director, if applicable, (ii) the Chairman of the Board or Chair of the appropriate committee,</w:t>
      </w:r>
    </w:p>
    <w:p>
      <w:pPr>
        <w:spacing w:after="0" w:line="1" w:lineRule="exact"/>
        <w:rPr>
          <w:sz w:val="20"/>
          <w:szCs w:val="20"/>
          <w:color w:val="auto"/>
        </w:rPr>
      </w:pPr>
    </w:p>
    <w:p>
      <w:pPr>
        <w:ind w:right="100" w:firstLine="8"/>
        <w:spacing w:after="0" w:line="255" w:lineRule="auto"/>
        <w:tabs>
          <w:tab w:leader="none" w:pos="29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non-management directors, or (iv) an individual director, each in care of the Corporate Secretary at our corporate headquarters. Any communications relating to the Company’s auditing, accounting, internal controls, fraud or unethical behaviors should be directed to the attention of the Chair of the Audit Committee in care of the Corporate Secretary at our corporate headquarters. The Audit Committee will respond to such communication, if appropriate, in accordance with the procedures established with respect to such matters.</w:t>
      </w:r>
    </w:p>
    <w:p>
      <w:pPr>
        <w:spacing w:after="0" w:line="74"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Any written communication should include the name and address of the stockholder or interested party sending such communication so that a response can be provided, if necessary or appropriate. Stockholders and interested parties may, however, remain anonymous. If the stockholder or interested party desires that such communication be kept confidential from management, the envelope must be clearly marked “confidential,” and the Corporate Secretary will then forward the communication, unopened, to the individual addressee.</w:t>
      </w:r>
    </w:p>
    <w:p>
      <w:pPr>
        <w:spacing w:after="0" w:line="3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Related Person Transactions</w:t>
      </w:r>
    </w:p>
    <w:p>
      <w:pPr>
        <w:spacing w:after="0" w:line="11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have adopted a written policy relating to related person transactions, which sets out the criteria for review of transactions between the Company and our affiliates and members of their immediate families. This policy covers our directors and officers, and each stockholder that holds directly or indirectly, more than 5% of our common stock. In addition, we have adopted a written Delegation of Authority Policy, which establishes an executive approval process for many of the Company’s transactions in which certain related person transactions would be included. In reviewing and</w:t>
      </w:r>
    </w:p>
    <w:p>
      <w:pPr>
        <w:spacing w:after="0" w:line="39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approving related person transactions under these policies and procedures, senior management and the Board considers, among other things:</w:t>
      </w:r>
    </w:p>
    <w:p>
      <w:pPr>
        <w:spacing w:after="0" w:line="4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the nature of the related person’s interest in the transaction;</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whether the related person has a direct or indirect material interest in the transaction;</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the material terms of the transaction, including the amount and type of transaction;</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the significance of the transaction to the Company and to the related person;</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whether the terms of the transaction are arms-length; and</w:t>
      </w:r>
    </w:p>
    <w:p>
      <w:pPr>
        <w:spacing w:after="0" w:line="117" w:lineRule="exact"/>
        <w:rPr>
          <w:sz w:val="20"/>
          <w:szCs w:val="20"/>
          <w:color w:val="auto"/>
        </w:rPr>
      </w:pPr>
    </w:p>
    <w:p>
      <w:pPr>
        <w:ind w:left="660" w:hanging="324"/>
        <w:spacing w:after="0" w:line="287" w:lineRule="auto"/>
        <w:rPr>
          <w:sz w:val="20"/>
          <w:szCs w:val="20"/>
          <w:color w:val="auto"/>
        </w:rPr>
      </w:pPr>
      <w:r>
        <w:rPr>
          <w:rFonts w:ascii="Arial" w:cs="Arial" w:eastAsia="Arial" w:hAnsi="Arial"/>
          <w:sz w:val="18"/>
          <w:szCs w:val="18"/>
          <w:color w:val="auto"/>
        </w:rPr>
        <w:t>– whether the transaction would violate the “Conflicts of Interest” provisions of our Code of Business Conduct and Ethics for Directors, Officers and Employees.</w:t>
      </w:r>
    </w:p>
    <w:p>
      <w:pPr>
        <w:spacing w:after="0" w:line="4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maintain an employee vehicle purchase program for our officers, directors and other employees, and their respective friends and family members pursuant to which they may purchase or lease vehicles from us at a discount to our advertised prices. This program is designed to incent additional vehicle sales while ensuring that we earn a measure of gross profit on all vehicles sold pursuant to the program. From time to time, including in 2024, certain of our directors and executive officers, or their respective family members, purchased or leased vehicles from us under this program, which vehicles may be valued at over $120,000.</w:t>
      </w:r>
    </w:p>
    <w:p>
      <w:pPr>
        <w:spacing w:after="0" w:line="39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DIRECTOR COMPENSATION</w:t>
      </w:r>
    </w:p>
    <w:p>
      <w:pPr>
        <w:spacing w:after="0" w:line="8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Director Fees</w:t>
      </w:r>
    </w:p>
    <w:p>
      <w:pPr>
        <w:spacing w:after="0" w:line="8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Directors who are employees of the Company do not receive a retainer or any other fees for service on the Board or its committees. All other directors (“non-management directors”) received the annual retainer and meeting fees in 2024 described below. In addition, in 2024, the non-management directors (i) received a grant of common stock valued at approximately $210,000, that vested immediately upon grant and (ii) were offered the use of a motor vehicle (including transporting the vehicle to the director, any taxes payable relating to the vehicle and repair, maintenance and service of the vehicle).</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In 2024, the compensation program for non-management directors, was as follows:</w:t>
      </w:r>
    </w:p>
    <w:p>
      <w:pPr>
        <w:spacing w:after="0" w:line="9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Annual Retainers (paid quarterly in advance)</w:t>
      </w:r>
    </w:p>
    <w:p>
      <w:pPr>
        <w:spacing w:after="0" w:line="50"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9660" w:type="dxa"/>
            <w:vAlign w:val="bottom"/>
            <w:tcBorders>
              <w:left w:val="single" w:sz="8" w:color="E5E5E5"/>
              <w:right w:val="single" w:sz="8" w:color="E5E5E5"/>
            </w:tcBorders>
            <w:shd w:val="clear" w:color="auto" w:fill="D91E18"/>
          </w:tcPr>
          <w:p>
            <w:pPr>
              <w:ind w:left="40"/>
              <w:spacing w:after="0"/>
              <w:rPr>
                <w:sz w:val="20"/>
                <w:szCs w:val="20"/>
                <w:color w:val="auto"/>
              </w:rPr>
            </w:pPr>
            <w:r>
              <w:rPr>
                <w:rFonts w:ascii="Arial" w:cs="Arial" w:eastAsia="Arial" w:hAnsi="Arial"/>
                <w:sz w:val="18"/>
                <w:szCs w:val="18"/>
                <w:b w:val="1"/>
                <w:bCs w:val="1"/>
                <w:color w:val="FFFFFF"/>
              </w:rPr>
              <w:t>Position</w:t>
            </w:r>
          </w:p>
        </w:tc>
        <w:tc>
          <w:tcPr>
            <w:tcW w:w="1600" w:type="dxa"/>
            <w:vAlign w:val="bottom"/>
            <w:tcBorders>
              <w:right w:val="single" w:sz="8" w:color="E5E5E5"/>
            </w:tcBorders>
            <w:gridSpan w:val="2"/>
            <w:shd w:val="clear" w:color="auto" w:fill="D91E18"/>
          </w:tcPr>
          <w:p>
            <w:pPr>
              <w:jc w:val="right"/>
              <w:ind w:right="30"/>
              <w:spacing w:after="0"/>
              <w:rPr>
                <w:sz w:val="20"/>
                <w:szCs w:val="20"/>
                <w:color w:val="auto"/>
              </w:rPr>
            </w:pPr>
            <w:r>
              <w:rPr>
                <w:rFonts w:ascii="Arial" w:cs="Arial" w:eastAsia="Arial" w:hAnsi="Arial"/>
                <w:sz w:val="18"/>
                <w:szCs w:val="18"/>
                <w:b w:val="1"/>
                <w:bCs w:val="1"/>
                <w:color w:val="FFFFFF"/>
              </w:rPr>
              <w:t>Annual Retainer</w:t>
            </w:r>
          </w:p>
        </w:tc>
      </w:tr>
      <w:tr>
        <w:trPr>
          <w:trHeight w:val="250"/>
        </w:trPr>
        <w:tc>
          <w:tcPr>
            <w:tcW w:w="9660" w:type="dxa"/>
            <w:vAlign w:val="bottom"/>
            <w:tcBorders>
              <w:left w:val="single" w:sz="8" w:color="E5E5E5"/>
              <w:right w:val="single" w:sz="8" w:color="E5E5E5"/>
            </w:tcBorders>
            <w:shd w:val="clear" w:color="auto" w:fill="DBDBDB"/>
          </w:tcPr>
          <w:p>
            <w:pPr>
              <w:ind w:left="40"/>
              <w:spacing w:after="0"/>
              <w:rPr>
                <w:sz w:val="20"/>
                <w:szCs w:val="20"/>
                <w:color w:val="auto"/>
              </w:rPr>
            </w:pPr>
            <w:r>
              <w:rPr>
                <w:rFonts w:ascii="Arial" w:cs="Arial" w:eastAsia="Arial" w:hAnsi="Arial"/>
                <w:sz w:val="18"/>
                <w:szCs w:val="18"/>
                <w:color w:val="auto"/>
              </w:rPr>
              <w:t>Non-Management Directors</w:t>
            </w:r>
          </w:p>
        </w:tc>
        <w:tc>
          <w:tcPr>
            <w:tcW w:w="440" w:type="dxa"/>
            <w:vAlign w:val="bottom"/>
            <w:shd w:val="clear" w:color="auto" w:fill="DBDBDB"/>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Borders>
              <w:right w:val="single" w:sz="8" w:color="E5E5E5"/>
            </w:tcBorders>
            <w:shd w:val="clear" w:color="auto" w:fill="DBDBDB"/>
          </w:tcPr>
          <w:p>
            <w:pPr>
              <w:jc w:val="right"/>
              <w:ind w:right="110"/>
              <w:spacing w:after="0"/>
              <w:rPr>
                <w:sz w:val="20"/>
                <w:szCs w:val="20"/>
                <w:color w:val="auto"/>
              </w:rPr>
            </w:pPr>
            <w:r>
              <w:rPr>
                <w:rFonts w:ascii="Arial" w:cs="Arial" w:eastAsia="Arial" w:hAnsi="Arial"/>
                <w:sz w:val="18"/>
                <w:szCs w:val="18"/>
                <w:color w:val="auto"/>
              </w:rPr>
              <w:t>55,000</w:t>
            </w:r>
          </w:p>
        </w:tc>
      </w:tr>
      <w:tr>
        <w:trPr>
          <w:trHeight w:val="230"/>
        </w:trPr>
        <w:tc>
          <w:tcPr>
            <w:tcW w:w="9660" w:type="dxa"/>
            <w:vAlign w:val="bottom"/>
            <w:tcBorders>
              <w:left w:val="single" w:sz="8" w:color="E5E5E5"/>
              <w:right w:val="single" w:sz="8" w:color="E5E5E5"/>
            </w:tcBorders>
          </w:tcPr>
          <w:p>
            <w:pPr>
              <w:ind w:left="40"/>
              <w:spacing w:after="0"/>
              <w:rPr>
                <w:sz w:val="20"/>
                <w:szCs w:val="20"/>
                <w:color w:val="auto"/>
              </w:rPr>
            </w:pPr>
            <w:r>
              <w:rPr>
                <w:rFonts w:ascii="Arial" w:cs="Arial" w:eastAsia="Arial" w:hAnsi="Arial"/>
                <w:sz w:val="18"/>
                <w:szCs w:val="18"/>
                <w:color w:val="auto"/>
              </w:rPr>
              <w:t>Non-Executive Chairman</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Borders>
              <w:right w:val="single" w:sz="8" w:color="E5E5E5"/>
            </w:tcBorders>
          </w:tcPr>
          <w:p>
            <w:pPr>
              <w:jc w:val="right"/>
              <w:ind w:right="110"/>
              <w:spacing w:after="0"/>
              <w:rPr>
                <w:sz w:val="20"/>
                <w:szCs w:val="20"/>
                <w:color w:val="auto"/>
              </w:rPr>
            </w:pPr>
            <w:r>
              <w:rPr>
                <w:rFonts w:ascii="Arial" w:cs="Arial" w:eastAsia="Arial" w:hAnsi="Arial"/>
                <w:sz w:val="18"/>
                <w:szCs w:val="18"/>
                <w:color w:val="auto"/>
              </w:rPr>
              <w:t>160,000</w:t>
            </w:r>
          </w:p>
        </w:tc>
      </w:tr>
      <w:tr>
        <w:trPr>
          <w:trHeight w:val="256"/>
        </w:trPr>
        <w:tc>
          <w:tcPr>
            <w:tcW w:w="9660" w:type="dxa"/>
            <w:vAlign w:val="bottom"/>
            <w:tcBorders>
              <w:left w:val="single" w:sz="8" w:color="E5E5E5"/>
              <w:right w:val="single" w:sz="8" w:color="E5E5E5"/>
            </w:tcBorders>
            <w:shd w:val="clear" w:color="auto" w:fill="DBDBDB"/>
          </w:tcPr>
          <w:p>
            <w:pPr>
              <w:ind w:left="40"/>
              <w:spacing w:after="0"/>
              <w:rPr>
                <w:sz w:val="20"/>
                <w:szCs w:val="20"/>
                <w:color w:val="auto"/>
              </w:rPr>
            </w:pPr>
            <w:r>
              <w:rPr>
                <w:rFonts w:ascii="Arial" w:cs="Arial" w:eastAsia="Arial" w:hAnsi="Arial"/>
                <w:sz w:val="18"/>
                <w:szCs w:val="18"/>
                <w:color w:val="auto"/>
              </w:rPr>
              <w:t>Audit Committee Chair</w:t>
            </w:r>
          </w:p>
        </w:tc>
        <w:tc>
          <w:tcPr>
            <w:tcW w:w="440" w:type="dxa"/>
            <w:vAlign w:val="bottom"/>
            <w:shd w:val="clear" w:color="auto" w:fill="DBDBDB"/>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Borders>
              <w:right w:val="single" w:sz="8" w:color="E5E5E5"/>
            </w:tcBorders>
            <w:shd w:val="clear" w:color="auto" w:fill="DBDBDB"/>
          </w:tcPr>
          <w:p>
            <w:pPr>
              <w:jc w:val="right"/>
              <w:ind w:right="110"/>
              <w:spacing w:after="0"/>
              <w:rPr>
                <w:sz w:val="20"/>
                <w:szCs w:val="20"/>
                <w:color w:val="auto"/>
              </w:rPr>
            </w:pPr>
            <w:r>
              <w:rPr>
                <w:rFonts w:ascii="Arial" w:cs="Arial" w:eastAsia="Arial" w:hAnsi="Arial"/>
                <w:sz w:val="18"/>
                <w:szCs w:val="18"/>
                <w:color w:val="auto"/>
              </w:rPr>
              <w:t>25,000</w:t>
            </w:r>
          </w:p>
        </w:tc>
      </w:tr>
      <w:tr>
        <w:trPr>
          <w:trHeight w:val="230"/>
        </w:trPr>
        <w:tc>
          <w:tcPr>
            <w:tcW w:w="9660" w:type="dxa"/>
            <w:vAlign w:val="bottom"/>
            <w:tcBorders>
              <w:left w:val="single" w:sz="8" w:color="E5E5E5"/>
              <w:right w:val="single" w:sz="8" w:color="E5E5E5"/>
            </w:tcBorders>
          </w:tcPr>
          <w:p>
            <w:pPr>
              <w:ind w:left="40"/>
              <w:spacing w:after="0"/>
              <w:rPr>
                <w:sz w:val="20"/>
                <w:szCs w:val="20"/>
                <w:color w:val="auto"/>
              </w:rPr>
            </w:pPr>
            <w:r>
              <w:rPr>
                <w:rFonts w:ascii="Arial" w:cs="Arial" w:eastAsia="Arial" w:hAnsi="Arial"/>
                <w:sz w:val="18"/>
                <w:szCs w:val="18"/>
                <w:color w:val="auto"/>
              </w:rPr>
              <w:t>Capital Allocation &amp; Risk Management Committee Chair</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Borders>
              <w:right w:val="single" w:sz="8" w:color="E5E5E5"/>
            </w:tcBorders>
          </w:tcPr>
          <w:p>
            <w:pPr>
              <w:jc w:val="right"/>
              <w:ind w:right="110"/>
              <w:spacing w:after="0"/>
              <w:rPr>
                <w:sz w:val="20"/>
                <w:szCs w:val="20"/>
                <w:color w:val="auto"/>
              </w:rPr>
            </w:pPr>
            <w:r>
              <w:rPr>
                <w:rFonts w:ascii="Arial" w:cs="Arial" w:eastAsia="Arial" w:hAnsi="Arial"/>
                <w:sz w:val="18"/>
                <w:szCs w:val="18"/>
                <w:color w:val="auto"/>
              </w:rPr>
              <w:t>15,000</w:t>
            </w:r>
          </w:p>
        </w:tc>
      </w:tr>
      <w:tr>
        <w:trPr>
          <w:trHeight w:val="257"/>
        </w:trPr>
        <w:tc>
          <w:tcPr>
            <w:tcW w:w="9660" w:type="dxa"/>
            <w:vAlign w:val="bottom"/>
            <w:tcBorders>
              <w:left w:val="single" w:sz="8" w:color="E5E5E5"/>
              <w:right w:val="single" w:sz="8" w:color="E5E5E5"/>
            </w:tcBorders>
            <w:shd w:val="clear" w:color="auto" w:fill="DBDBDB"/>
          </w:tcPr>
          <w:p>
            <w:pPr>
              <w:ind w:left="40"/>
              <w:spacing w:after="0"/>
              <w:rPr>
                <w:sz w:val="20"/>
                <w:szCs w:val="20"/>
                <w:color w:val="auto"/>
              </w:rPr>
            </w:pPr>
            <w:r>
              <w:rPr>
                <w:rFonts w:ascii="Arial" w:cs="Arial" w:eastAsia="Arial" w:hAnsi="Arial"/>
                <w:sz w:val="18"/>
                <w:szCs w:val="18"/>
                <w:color w:val="auto"/>
              </w:rPr>
              <w:t>Compensation &amp; Human Resources Committee Chair</w:t>
            </w:r>
          </w:p>
        </w:tc>
        <w:tc>
          <w:tcPr>
            <w:tcW w:w="440" w:type="dxa"/>
            <w:vAlign w:val="bottom"/>
            <w:shd w:val="clear" w:color="auto" w:fill="DBDBDB"/>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Borders>
              <w:right w:val="single" w:sz="8" w:color="E5E5E5"/>
            </w:tcBorders>
            <w:shd w:val="clear" w:color="auto" w:fill="DBDBDB"/>
          </w:tcPr>
          <w:p>
            <w:pPr>
              <w:jc w:val="right"/>
              <w:ind w:right="110"/>
              <w:spacing w:after="0"/>
              <w:rPr>
                <w:sz w:val="20"/>
                <w:szCs w:val="20"/>
                <w:color w:val="auto"/>
              </w:rPr>
            </w:pPr>
            <w:r>
              <w:rPr>
                <w:rFonts w:ascii="Arial" w:cs="Arial" w:eastAsia="Arial" w:hAnsi="Arial"/>
                <w:sz w:val="18"/>
                <w:szCs w:val="18"/>
                <w:color w:val="auto"/>
              </w:rPr>
              <w:t>20,000</w:t>
            </w:r>
          </w:p>
        </w:tc>
      </w:tr>
      <w:tr>
        <w:trPr>
          <w:trHeight w:val="229"/>
        </w:trPr>
        <w:tc>
          <w:tcPr>
            <w:tcW w:w="9660" w:type="dxa"/>
            <w:vAlign w:val="bottom"/>
            <w:tcBorders>
              <w:left w:val="single" w:sz="8" w:color="E5E5E5"/>
              <w:bottom w:val="single" w:sz="8" w:color="E5E5E5"/>
              <w:right w:val="single" w:sz="8" w:color="E5E5E5"/>
            </w:tcBorders>
          </w:tcPr>
          <w:p>
            <w:pPr>
              <w:ind w:left="40"/>
              <w:spacing w:after="0"/>
              <w:rPr>
                <w:sz w:val="20"/>
                <w:szCs w:val="20"/>
                <w:color w:val="auto"/>
              </w:rPr>
            </w:pPr>
            <w:r>
              <w:rPr>
                <w:rFonts w:ascii="Arial" w:cs="Arial" w:eastAsia="Arial" w:hAnsi="Arial"/>
                <w:sz w:val="18"/>
                <w:szCs w:val="18"/>
                <w:color w:val="auto"/>
              </w:rPr>
              <w:t>Governance &amp; Nominating Committee Chair</w:t>
            </w:r>
          </w:p>
        </w:tc>
        <w:tc>
          <w:tcPr>
            <w:tcW w:w="440" w:type="dxa"/>
            <w:vAlign w:val="bottom"/>
            <w:tcBorders>
              <w:bottom w:val="single" w:sz="8" w:color="E5E5E5"/>
            </w:tcBorders>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5E5E5"/>
              <w:right w:val="single" w:sz="8" w:color="E5E5E5"/>
            </w:tcBorders>
          </w:tcPr>
          <w:p>
            <w:pPr>
              <w:jc w:val="right"/>
              <w:ind w:right="110"/>
              <w:spacing w:after="0"/>
              <w:rPr>
                <w:sz w:val="20"/>
                <w:szCs w:val="20"/>
                <w:color w:val="auto"/>
              </w:rPr>
            </w:pPr>
            <w:r>
              <w:rPr>
                <w:rFonts w:ascii="Arial" w:cs="Arial" w:eastAsia="Arial" w:hAnsi="Arial"/>
                <w:sz w:val="18"/>
                <w:szCs w:val="18"/>
                <w:color w:val="auto"/>
              </w:rPr>
              <w:t>15,000</w:t>
            </w:r>
          </w:p>
        </w:tc>
      </w:tr>
    </w:tbl>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Meeting Fees (paid quarterly in arrears)</w:t>
      </w:r>
    </w:p>
    <w:p>
      <w:pPr>
        <w:spacing w:after="0" w:line="50"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9660" w:type="dxa"/>
            <w:vAlign w:val="bottom"/>
            <w:tcBorders>
              <w:left w:val="single" w:sz="8" w:color="E5E5E5"/>
              <w:right w:val="single" w:sz="8" w:color="E5E5E5"/>
            </w:tcBorders>
            <w:shd w:val="clear" w:color="auto" w:fill="D91E18"/>
          </w:tcPr>
          <w:p>
            <w:pPr>
              <w:ind w:left="40"/>
              <w:spacing w:after="0"/>
              <w:rPr>
                <w:sz w:val="20"/>
                <w:szCs w:val="20"/>
                <w:color w:val="auto"/>
              </w:rPr>
            </w:pPr>
            <w:r>
              <w:rPr>
                <w:rFonts w:ascii="Arial" w:cs="Arial" w:eastAsia="Arial" w:hAnsi="Arial"/>
                <w:sz w:val="18"/>
                <w:szCs w:val="18"/>
                <w:b w:val="1"/>
                <w:bCs w:val="1"/>
                <w:color w:val="FFFFFF"/>
              </w:rPr>
              <w:t>Meeting Type</w:t>
            </w:r>
          </w:p>
        </w:tc>
        <w:tc>
          <w:tcPr>
            <w:tcW w:w="1600" w:type="dxa"/>
            <w:vAlign w:val="bottom"/>
            <w:tcBorders>
              <w:right w:val="single" w:sz="8" w:color="E5E5E5"/>
            </w:tcBorders>
            <w:gridSpan w:val="2"/>
            <w:shd w:val="clear" w:color="auto" w:fill="D91E18"/>
          </w:tcPr>
          <w:p>
            <w:pPr>
              <w:jc w:val="right"/>
              <w:ind w:right="30"/>
              <w:spacing w:after="0"/>
              <w:rPr>
                <w:sz w:val="20"/>
                <w:szCs w:val="20"/>
                <w:color w:val="auto"/>
              </w:rPr>
            </w:pPr>
            <w:r>
              <w:rPr>
                <w:rFonts w:ascii="Arial" w:cs="Arial" w:eastAsia="Arial" w:hAnsi="Arial"/>
                <w:sz w:val="18"/>
                <w:szCs w:val="18"/>
                <w:b w:val="1"/>
                <w:bCs w:val="1"/>
                <w:color w:val="FFFFFF"/>
              </w:rPr>
              <w:t>Per Meeting Fee</w:t>
            </w:r>
          </w:p>
        </w:tc>
      </w:tr>
      <w:tr>
        <w:trPr>
          <w:trHeight w:val="182"/>
        </w:trPr>
        <w:tc>
          <w:tcPr>
            <w:tcW w:w="9660" w:type="dxa"/>
            <w:vAlign w:val="bottom"/>
            <w:tcBorders>
              <w:left w:val="single" w:sz="8" w:color="E5E5E5"/>
              <w:right w:val="single" w:sz="8" w:color="E5E5E5"/>
            </w:tcBorders>
            <w:shd w:val="clear" w:color="auto" w:fill="DBDBDB"/>
          </w:tcPr>
          <w:p>
            <w:pPr>
              <w:ind w:left="40"/>
              <w:spacing w:after="0" w:line="182" w:lineRule="exact"/>
              <w:rPr>
                <w:sz w:val="20"/>
                <w:szCs w:val="20"/>
                <w:color w:val="auto"/>
              </w:rPr>
            </w:pPr>
            <w:r>
              <w:rPr>
                <w:rFonts w:ascii="Arial" w:cs="Arial" w:eastAsia="Arial" w:hAnsi="Arial"/>
                <w:sz w:val="18"/>
                <w:szCs w:val="18"/>
                <w:color w:val="auto"/>
              </w:rPr>
              <w:t>Board, Audit Committee, Compensation &amp; Human Resources Committee, Governance &amp; Nominating Committee and</w:t>
            </w:r>
          </w:p>
        </w:tc>
        <w:tc>
          <w:tcPr>
            <w:tcW w:w="540" w:type="dxa"/>
            <w:vAlign w:val="bottom"/>
            <w:shd w:val="clear" w:color="auto" w:fill="DBDBDB"/>
          </w:tcPr>
          <w:p>
            <w:pPr>
              <w:jc w:val="right"/>
              <w:ind w:right="330"/>
              <w:spacing w:after="0" w:line="182" w:lineRule="exact"/>
              <w:rPr>
                <w:sz w:val="20"/>
                <w:szCs w:val="20"/>
                <w:color w:val="auto"/>
              </w:rPr>
            </w:pPr>
            <w:r>
              <w:rPr>
                <w:rFonts w:ascii="Arial" w:cs="Arial" w:eastAsia="Arial" w:hAnsi="Arial"/>
                <w:sz w:val="18"/>
                <w:szCs w:val="18"/>
                <w:color w:val="auto"/>
                <w:w w:val="99"/>
              </w:rPr>
              <w:t>$</w:t>
            </w:r>
          </w:p>
        </w:tc>
        <w:tc>
          <w:tcPr>
            <w:tcW w:w="1060" w:type="dxa"/>
            <w:vAlign w:val="bottom"/>
            <w:tcBorders>
              <w:right w:val="single" w:sz="8" w:color="E5E5E5"/>
            </w:tcBorders>
            <w:shd w:val="clear" w:color="auto" w:fill="DBDBDB"/>
          </w:tcPr>
          <w:p>
            <w:pPr>
              <w:jc w:val="right"/>
              <w:ind w:right="110"/>
              <w:spacing w:after="0" w:line="182" w:lineRule="exact"/>
              <w:rPr>
                <w:sz w:val="20"/>
                <w:szCs w:val="20"/>
                <w:color w:val="auto"/>
              </w:rPr>
            </w:pPr>
            <w:r>
              <w:rPr>
                <w:rFonts w:ascii="Arial" w:cs="Arial" w:eastAsia="Arial" w:hAnsi="Arial"/>
                <w:sz w:val="18"/>
                <w:szCs w:val="18"/>
                <w:color w:val="auto"/>
              </w:rPr>
              <w:t>2,000</w:t>
            </w:r>
          </w:p>
        </w:tc>
      </w:tr>
      <w:tr>
        <w:trPr>
          <w:trHeight w:val="257"/>
        </w:trPr>
        <w:tc>
          <w:tcPr>
            <w:tcW w:w="9660" w:type="dxa"/>
            <w:vAlign w:val="bottom"/>
            <w:tcBorders>
              <w:left w:val="single" w:sz="8" w:color="E5E5E5"/>
              <w:right w:val="single" w:sz="8" w:color="E5E5E5"/>
            </w:tcBorders>
            <w:shd w:val="clear" w:color="auto" w:fill="DBDBDB"/>
          </w:tcPr>
          <w:p>
            <w:pPr>
              <w:ind w:left="40"/>
              <w:spacing w:after="0"/>
              <w:rPr>
                <w:sz w:val="20"/>
                <w:szCs w:val="20"/>
                <w:color w:val="auto"/>
              </w:rPr>
            </w:pPr>
            <w:r>
              <w:rPr>
                <w:rFonts w:ascii="Arial" w:cs="Arial" w:eastAsia="Arial" w:hAnsi="Arial"/>
                <w:sz w:val="18"/>
                <w:szCs w:val="18"/>
                <w:color w:val="auto"/>
              </w:rPr>
              <w:t>Capital Allocation &amp; Risk Management Committee in person meetings</w:t>
            </w:r>
          </w:p>
        </w:tc>
        <w:tc>
          <w:tcPr>
            <w:tcW w:w="540" w:type="dxa"/>
            <w:vAlign w:val="bottom"/>
            <w:shd w:val="clear" w:color="auto" w:fill="DBDBDB"/>
          </w:tcPr>
          <w:p>
            <w:pPr>
              <w:spacing w:after="0"/>
              <w:rPr>
                <w:sz w:val="22"/>
                <w:szCs w:val="22"/>
                <w:color w:val="auto"/>
              </w:rPr>
            </w:pPr>
          </w:p>
        </w:tc>
        <w:tc>
          <w:tcPr>
            <w:tcW w:w="1060" w:type="dxa"/>
            <w:vAlign w:val="bottom"/>
            <w:tcBorders>
              <w:right w:val="single" w:sz="8" w:color="E5E5E5"/>
            </w:tcBorders>
            <w:shd w:val="clear" w:color="auto" w:fill="DBDBDB"/>
          </w:tcPr>
          <w:p>
            <w:pPr>
              <w:spacing w:after="0"/>
              <w:rPr>
                <w:sz w:val="22"/>
                <w:szCs w:val="22"/>
                <w:color w:val="auto"/>
              </w:rPr>
            </w:pPr>
          </w:p>
        </w:tc>
      </w:tr>
      <w:tr>
        <w:trPr>
          <w:trHeight w:val="175"/>
        </w:trPr>
        <w:tc>
          <w:tcPr>
            <w:tcW w:w="9660" w:type="dxa"/>
            <w:vAlign w:val="bottom"/>
            <w:tcBorders>
              <w:left w:val="single" w:sz="8" w:color="E5E5E5"/>
              <w:right w:val="single" w:sz="8" w:color="E5E5E5"/>
            </w:tcBorders>
          </w:tcPr>
          <w:p>
            <w:pPr>
              <w:ind w:left="40"/>
              <w:spacing w:after="0" w:line="176" w:lineRule="exact"/>
              <w:rPr>
                <w:sz w:val="20"/>
                <w:szCs w:val="20"/>
                <w:color w:val="auto"/>
              </w:rPr>
            </w:pPr>
            <w:r>
              <w:rPr>
                <w:rFonts w:ascii="Arial" w:cs="Arial" w:eastAsia="Arial" w:hAnsi="Arial"/>
                <w:sz w:val="18"/>
                <w:szCs w:val="18"/>
                <w:color w:val="auto"/>
              </w:rPr>
              <w:t>Board, Compensation &amp; Human Resources Committee, Governance &amp; Nominating Committee and Capital Allocation &amp;</w:t>
            </w:r>
          </w:p>
        </w:tc>
        <w:tc>
          <w:tcPr>
            <w:tcW w:w="540" w:type="dxa"/>
            <w:vAlign w:val="bottom"/>
          </w:tcPr>
          <w:p>
            <w:pPr>
              <w:jc w:val="right"/>
              <w:ind w:right="330"/>
              <w:spacing w:after="0" w:line="176" w:lineRule="exact"/>
              <w:rPr>
                <w:sz w:val="20"/>
                <w:szCs w:val="20"/>
                <w:color w:val="auto"/>
              </w:rPr>
            </w:pPr>
            <w:r>
              <w:rPr>
                <w:rFonts w:ascii="Arial" w:cs="Arial" w:eastAsia="Arial" w:hAnsi="Arial"/>
                <w:sz w:val="18"/>
                <w:szCs w:val="18"/>
                <w:color w:val="auto"/>
                <w:w w:val="99"/>
              </w:rPr>
              <w:t>$</w:t>
            </w:r>
          </w:p>
        </w:tc>
        <w:tc>
          <w:tcPr>
            <w:tcW w:w="1060" w:type="dxa"/>
            <w:vAlign w:val="bottom"/>
            <w:tcBorders>
              <w:right w:val="single" w:sz="8" w:color="E5E5E5"/>
            </w:tcBorders>
          </w:tcPr>
          <w:p>
            <w:pPr>
              <w:jc w:val="right"/>
              <w:ind w:right="110"/>
              <w:spacing w:after="0" w:line="176" w:lineRule="exact"/>
              <w:rPr>
                <w:sz w:val="20"/>
                <w:szCs w:val="20"/>
                <w:color w:val="auto"/>
              </w:rPr>
            </w:pPr>
            <w:r>
              <w:rPr>
                <w:rFonts w:ascii="Arial" w:cs="Arial" w:eastAsia="Arial" w:hAnsi="Arial"/>
                <w:sz w:val="18"/>
                <w:szCs w:val="18"/>
                <w:color w:val="auto"/>
              </w:rPr>
              <w:t>1,000</w:t>
            </w:r>
          </w:p>
        </w:tc>
      </w:tr>
      <w:tr>
        <w:trPr>
          <w:trHeight w:val="241"/>
        </w:trPr>
        <w:tc>
          <w:tcPr>
            <w:tcW w:w="9660" w:type="dxa"/>
            <w:vAlign w:val="bottom"/>
            <w:tcBorders>
              <w:left w:val="single" w:sz="8" w:color="E5E5E5"/>
              <w:right w:val="single" w:sz="8" w:color="E5E5E5"/>
            </w:tcBorders>
          </w:tcPr>
          <w:p>
            <w:pPr>
              <w:ind w:left="40"/>
              <w:spacing w:after="0"/>
              <w:rPr>
                <w:sz w:val="20"/>
                <w:szCs w:val="20"/>
                <w:color w:val="auto"/>
              </w:rPr>
            </w:pPr>
            <w:r>
              <w:rPr>
                <w:rFonts w:ascii="Arial" w:cs="Arial" w:eastAsia="Arial" w:hAnsi="Arial"/>
                <w:sz w:val="18"/>
                <w:szCs w:val="18"/>
                <w:color w:val="auto"/>
              </w:rPr>
              <w:t>Risk Management Committee telephonic meetings</w:t>
            </w:r>
          </w:p>
        </w:tc>
        <w:tc>
          <w:tcPr>
            <w:tcW w:w="540" w:type="dxa"/>
            <w:vAlign w:val="bottom"/>
          </w:tcPr>
          <w:p>
            <w:pPr>
              <w:spacing w:after="0"/>
              <w:rPr>
                <w:sz w:val="20"/>
                <w:szCs w:val="20"/>
                <w:color w:val="auto"/>
              </w:rPr>
            </w:pPr>
          </w:p>
        </w:tc>
        <w:tc>
          <w:tcPr>
            <w:tcW w:w="1060" w:type="dxa"/>
            <w:vAlign w:val="bottom"/>
            <w:tcBorders>
              <w:right w:val="single" w:sz="8" w:color="E5E5E5"/>
            </w:tcBorders>
          </w:tcPr>
          <w:p>
            <w:pPr>
              <w:spacing w:after="0"/>
              <w:rPr>
                <w:sz w:val="20"/>
                <w:szCs w:val="20"/>
                <w:color w:val="auto"/>
              </w:rPr>
            </w:pPr>
          </w:p>
        </w:tc>
      </w:tr>
      <w:tr>
        <w:trPr>
          <w:trHeight w:val="259"/>
        </w:trPr>
        <w:tc>
          <w:tcPr>
            <w:tcW w:w="9660" w:type="dxa"/>
            <w:vAlign w:val="bottom"/>
            <w:tcBorders>
              <w:left w:val="single" w:sz="8" w:color="E5E5E5"/>
              <w:right w:val="single" w:sz="8" w:color="E5E5E5"/>
            </w:tcBorders>
            <w:shd w:val="clear" w:color="auto" w:fill="DBDBDB"/>
          </w:tcPr>
          <w:p>
            <w:pPr>
              <w:ind w:left="40"/>
              <w:spacing w:after="0"/>
              <w:rPr>
                <w:sz w:val="20"/>
                <w:szCs w:val="20"/>
                <w:color w:val="auto"/>
              </w:rPr>
            </w:pPr>
            <w:r>
              <w:rPr>
                <w:rFonts w:ascii="Arial" w:cs="Arial" w:eastAsia="Arial" w:hAnsi="Arial"/>
                <w:sz w:val="18"/>
                <w:szCs w:val="18"/>
                <w:color w:val="auto"/>
              </w:rPr>
              <w:t>Audit Committee telephonic meetings and Transaction Committee meetings</w:t>
            </w:r>
          </w:p>
        </w:tc>
        <w:tc>
          <w:tcPr>
            <w:tcW w:w="540" w:type="dxa"/>
            <w:vAlign w:val="bottom"/>
            <w:shd w:val="clear" w:color="auto" w:fill="DBDBDB"/>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Borders>
              <w:right w:val="single" w:sz="8" w:color="E5E5E5"/>
            </w:tcBorders>
            <w:shd w:val="clear" w:color="auto" w:fill="DBDBDB"/>
          </w:tcPr>
          <w:p>
            <w:pPr>
              <w:jc w:val="right"/>
              <w:ind w:right="110"/>
              <w:spacing w:after="0"/>
              <w:rPr>
                <w:sz w:val="20"/>
                <w:szCs w:val="20"/>
                <w:color w:val="auto"/>
              </w:rPr>
            </w:pPr>
            <w:r>
              <w:rPr>
                <w:rFonts w:ascii="Arial" w:cs="Arial" w:eastAsia="Arial" w:hAnsi="Arial"/>
                <w:sz w:val="18"/>
                <w:szCs w:val="18"/>
                <w:color w:val="auto"/>
              </w:rPr>
              <w:t>1,500</w:t>
            </w:r>
          </w:p>
        </w:tc>
      </w:tr>
      <w:tr>
        <w:trPr>
          <w:trHeight w:val="229"/>
        </w:trPr>
        <w:tc>
          <w:tcPr>
            <w:tcW w:w="9660" w:type="dxa"/>
            <w:vAlign w:val="bottom"/>
            <w:tcBorders>
              <w:left w:val="single" w:sz="8" w:color="E5E5E5"/>
              <w:bottom w:val="single" w:sz="8" w:color="E5E5E5"/>
              <w:right w:val="single" w:sz="8" w:color="E5E5E5"/>
            </w:tcBorders>
          </w:tcPr>
          <w:p>
            <w:pPr>
              <w:ind w:left="40"/>
              <w:spacing w:after="0"/>
              <w:rPr>
                <w:sz w:val="20"/>
                <w:szCs w:val="20"/>
                <w:color w:val="auto"/>
              </w:rPr>
            </w:pPr>
            <w:r>
              <w:rPr>
                <w:rFonts w:ascii="Arial" w:cs="Arial" w:eastAsia="Arial" w:hAnsi="Arial"/>
                <w:sz w:val="18"/>
                <w:szCs w:val="18"/>
                <w:color w:val="auto"/>
              </w:rPr>
              <w:t>Executive Committee meetings, in person or telephonic (payable to the Executive Committee chair only)</w:t>
            </w:r>
          </w:p>
        </w:tc>
        <w:tc>
          <w:tcPr>
            <w:tcW w:w="540" w:type="dxa"/>
            <w:vAlign w:val="bottom"/>
            <w:tcBorders>
              <w:bottom w:val="single" w:sz="8" w:color="E5E5E5"/>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E5E5E5"/>
              <w:right w:val="single" w:sz="8" w:color="E5E5E5"/>
            </w:tcBorders>
          </w:tcPr>
          <w:p>
            <w:pPr>
              <w:jc w:val="right"/>
              <w:ind w:right="110"/>
              <w:spacing w:after="0"/>
              <w:rPr>
                <w:sz w:val="20"/>
                <w:szCs w:val="20"/>
                <w:color w:val="auto"/>
              </w:rPr>
            </w:pPr>
            <w:r>
              <w:rPr>
                <w:rFonts w:ascii="Arial" w:cs="Arial" w:eastAsia="Arial" w:hAnsi="Arial"/>
                <w:sz w:val="18"/>
                <w:szCs w:val="18"/>
                <w:color w:val="auto"/>
              </w:rPr>
              <w:t>1,500</w:t>
            </w:r>
          </w:p>
        </w:tc>
      </w:tr>
    </w:tbl>
    <w:p>
      <w:pPr>
        <w:spacing w:after="0" w:line="15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Meeting Attendance</w:t>
      </w:r>
    </w:p>
    <w:p>
      <w:pPr>
        <w:spacing w:after="0" w:line="96"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During 2024, the Board held seven meetings. Each current director attended at least 75% of the total meetings of the Board and committees on which he or she served. In accordance with the NYSE’s rules requiring that non-management directors meet at regularly scheduled executive sessions, our non-management directors held six executive sessions without management present during 2024. Mr. Reddin, as the Non-Executive Chairman, presided over Board meetings, including executive sessions of the Board.</w:t>
      </w:r>
    </w:p>
    <w:p>
      <w:pPr>
        <w:spacing w:after="0" w:line="68"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We do not have a formal policy with regard to the attendance of the members of the Board at Annual Meeting of Stockholders, however, we expect each member of the Board and director-nominees to attend our Annual Meeting of Stockholders. All of the members of the Board, who were then serving on the Board, attended our 2024 Annual Meeting of Stockholders.</w:t>
      </w:r>
    </w:p>
    <w:p>
      <w:pPr>
        <w:spacing w:after="0" w:line="3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2024 Director Compensation Table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compensation earned by the non-management directors for 2024.</w:t>
      </w:r>
    </w:p>
    <w:p>
      <w:pPr>
        <w:spacing w:after="0" w:line="55"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3740" w:type="dxa"/>
            <w:vAlign w:val="bottom"/>
            <w:tcBorders>
              <w:left w:val="single" w:sz="8" w:color="E5E5E5"/>
              <w:right w:val="single" w:sz="8" w:color="E5E5E5"/>
            </w:tcBorders>
            <w:vMerge w:val="restart"/>
            <w:shd w:val="clear" w:color="auto" w:fill="D91E18"/>
          </w:tcPr>
          <w:p>
            <w:pPr>
              <w:ind w:left="80"/>
              <w:spacing w:after="0"/>
              <w:rPr>
                <w:sz w:val="20"/>
                <w:szCs w:val="20"/>
                <w:color w:val="auto"/>
              </w:rPr>
            </w:pPr>
            <w:r>
              <w:rPr>
                <w:rFonts w:ascii="Arial" w:cs="Arial" w:eastAsia="Arial" w:hAnsi="Arial"/>
                <w:sz w:val="18"/>
                <w:szCs w:val="18"/>
                <w:b w:val="1"/>
                <w:bCs w:val="1"/>
                <w:color w:val="FFFFFF"/>
              </w:rPr>
              <w:t>Name</w:t>
            </w:r>
          </w:p>
        </w:tc>
        <w:tc>
          <w:tcPr>
            <w:tcW w:w="1880" w:type="dxa"/>
            <w:vAlign w:val="bottom"/>
            <w:tcBorders>
              <w:right w:val="single" w:sz="8" w:color="E5E5E5"/>
            </w:tcBorders>
            <w:gridSpan w:val="2"/>
            <w:shd w:val="clear" w:color="auto" w:fill="D91E18"/>
          </w:tcPr>
          <w:p>
            <w:pPr>
              <w:jc w:val="right"/>
              <w:spacing w:after="0"/>
              <w:rPr>
                <w:sz w:val="20"/>
                <w:szCs w:val="20"/>
                <w:color w:val="auto"/>
              </w:rPr>
            </w:pPr>
            <w:r>
              <w:rPr>
                <w:rFonts w:ascii="Arial" w:cs="Arial" w:eastAsia="Arial" w:hAnsi="Arial"/>
                <w:sz w:val="18"/>
                <w:szCs w:val="18"/>
                <w:b w:val="1"/>
                <w:bCs w:val="1"/>
                <w:color w:val="FFFFFF"/>
              </w:rPr>
              <w:t>Fees Earned or Paid</w:t>
            </w:r>
          </w:p>
        </w:tc>
        <w:tc>
          <w:tcPr>
            <w:tcW w:w="320" w:type="dxa"/>
            <w:vAlign w:val="bottom"/>
            <w:shd w:val="clear" w:color="auto" w:fill="D91E18"/>
          </w:tcPr>
          <w:p>
            <w:pPr>
              <w:spacing w:after="0"/>
              <w:rPr>
                <w:sz w:val="22"/>
                <w:szCs w:val="22"/>
                <w:color w:val="auto"/>
              </w:rPr>
            </w:pPr>
          </w:p>
        </w:tc>
        <w:tc>
          <w:tcPr>
            <w:tcW w:w="1560" w:type="dxa"/>
            <w:vAlign w:val="bottom"/>
            <w:tcBorders>
              <w:right w:val="single" w:sz="8" w:color="E5E5E5"/>
            </w:tcBorders>
            <w:shd w:val="clear" w:color="auto" w:fill="D91E18"/>
          </w:tcPr>
          <w:p>
            <w:pPr>
              <w:jc w:val="right"/>
              <w:ind w:right="630"/>
              <w:spacing w:after="0"/>
              <w:rPr>
                <w:sz w:val="20"/>
                <w:szCs w:val="20"/>
                <w:color w:val="auto"/>
              </w:rPr>
            </w:pPr>
            <w:r>
              <w:rPr>
                <w:rFonts w:ascii="Arial" w:cs="Arial" w:eastAsia="Arial" w:hAnsi="Arial"/>
                <w:sz w:val="18"/>
                <w:szCs w:val="18"/>
                <w:b w:val="1"/>
                <w:bCs w:val="1"/>
                <w:color w:val="FFFFFF"/>
              </w:rPr>
              <w:t>Stock</w:t>
            </w:r>
          </w:p>
        </w:tc>
        <w:tc>
          <w:tcPr>
            <w:tcW w:w="160" w:type="dxa"/>
            <w:vAlign w:val="bottom"/>
            <w:shd w:val="clear" w:color="auto" w:fill="D91E18"/>
          </w:tcPr>
          <w:p>
            <w:pPr>
              <w:spacing w:after="0"/>
              <w:rPr>
                <w:sz w:val="22"/>
                <w:szCs w:val="22"/>
                <w:color w:val="auto"/>
              </w:rPr>
            </w:pPr>
          </w:p>
        </w:tc>
        <w:tc>
          <w:tcPr>
            <w:tcW w:w="1720" w:type="dxa"/>
            <w:vAlign w:val="bottom"/>
            <w:tcBorders>
              <w:right w:val="single" w:sz="8" w:color="E5E5E5"/>
            </w:tcBorders>
            <w:shd w:val="clear" w:color="auto" w:fill="D91E18"/>
          </w:tcPr>
          <w:p>
            <w:pPr>
              <w:jc w:val="right"/>
              <w:ind w:right="490"/>
              <w:spacing w:after="0"/>
              <w:rPr>
                <w:sz w:val="20"/>
                <w:szCs w:val="20"/>
                <w:color w:val="auto"/>
              </w:rPr>
            </w:pPr>
            <w:r>
              <w:rPr>
                <w:rFonts w:ascii="Arial" w:cs="Arial" w:eastAsia="Arial" w:hAnsi="Arial"/>
                <w:sz w:val="18"/>
                <w:szCs w:val="18"/>
                <w:b w:val="1"/>
                <w:bCs w:val="1"/>
                <w:color w:val="FFFFFF"/>
              </w:rPr>
              <w:t>All Other</w:t>
            </w:r>
          </w:p>
        </w:tc>
        <w:tc>
          <w:tcPr>
            <w:tcW w:w="420" w:type="dxa"/>
            <w:vAlign w:val="bottom"/>
            <w:shd w:val="clear" w:color="auto" w:fill="D91E18"/>
          </w:tcPr>
          <w:p>
            <w:pPr>
              <w:spacing w:after="0"/>
              <w:rPr>
                <w:sz w:val="22"/>
                <w:szCs w:val="22"/>
                <w:color w:val="auto"/>
              </w:rPr>
            </w:pPr>
          </w:p>
        </w:tc>
        <w:tc>
          <w:tcPr>
            <w:tcW w:w="1460" w:type="dxa"/>
            <w:vAlign w:val="bottom"/>
            <w:tcBorders>
              <w:right w:val="single" w:sz="8" w:color="E5E5E5"/>
            </w:tcBorders>
            <w:vMerge w:val="restart"/>
            <w:shd w:val="clear" w:color="auto" w:fill="D91E18"/>
          </w:tcPr>
          <w:p>
            <w:pPr>
              <w:jc w:val="right"/>
              <w:ind w:right="650"/>
              <w:spacing w:after="0"/>
              <w:rPr>
                <w:sz w:val="20"/>
                <w:szCs w:val="20"/>
                <w:color w:val="auto"/>
              </w:rPr>
            </w:pPr>
            <w:r>
              <w:rPr>
                <w:rFonts w:ascii="Arial" w:cs="Arial" w:eastAsia="Arial" w:hAnsi="Arial"/>
                <w:sz w:val="18"/>
                <w:szCs w:val="18"/>
                <w:b w:val="1"/>
                <w:bCs w:val="1"/>
                <w:color w:val="FFFFFF"/>
              </w:rPr>
              <w:t>Total</w:t>
            </w:r>
          </w:p>
        </w:tc>
        <w:tc>
          <w:tcPr>
            <w:tcW w:w="0" w:type="dxa"/>
            <w:vAlign w:val="bottom"/>
          </w:tcPr>
          <w:p>
            <w:pPr>
              <w:spacing w:after="0"/>
              <w:rPr>
                <w:sz w:val="1"/>
                <w:szCs w:val="1"/>
                <w:color w:val="auto"/>
              </w:rPr>
            </w:pPr>
          </w:p>
        </w:tc>
      </w:tr>
      <w:tr>
        <w:trPr>
          <w:trHeight w:val="250"/>
        </w:trPr>
        <w:tc>
          <w:tcPr>
            <w:tcW w:w="3740" w:type="dxa"/>
            <w:vAlign w:val="bottom"/>
            <w:tcBorders>
              <w:left w:val="single" w:sz="8" w:color="E5E5E5"/>
              <w:right w:val="single" w:sz="8" w:color="E5E5E5"/>
            </w:tcBorders>
            <w:vMerge w:val="continue"/>
            <w:shd w:val="clear" w:color="auto" w:fill="D91E18"/>
          </w:tcPr>
          <w:p>
            <w:pPr>
              <w:spacing w:after="0"/>
              <w:rPr>
                <w:sz w:val="21"/>
                <w:szCs w:val="21"/>
                <w:color w:val="auto"/>
              </w:rPr>
            </w:pPr>
          </w:p>
        </w:tc>
        <w:tc>
          <w:tcPr>
            <w:tcW w:w="360" w:type="dxa"/>
            <w:vAlign w:val="bottom"/>
            <w:shd w:val="clear" w:color="auto" w:fill="D91E18"/>
          </w:tcPr>
          <w:p>
            <w:pPr>
              <w:spacing w:after="0"/>
              <w:rPr>
                <w:sz w:val="21"/>
                <w:szCs w:val="21"/>
                <w:color w:val="auto"/>
              </w:rPr>
            </w:pPr>
          </w:p>
        </w:tc>
        <w:tc>
          <w:tcPr>
            <w:tcW w:w="1520" w:type="dxa"/>
            <w:vAlign w:val="bottom"/>
            <w:tcBorders>
              <w:right w:val="single" w:sz="8" w:color="E5E5E5"/>
            </w:tcBorders>
            <w:shd w:val="clear" w:color="auto" w:fill="D91E18"/>
          </w:tcPr>
          <w:p>
            <w:pPr>
              <w:jc w:val="right"/>
              <w:ind w:right="530"/>
              <w:spacing w:after="0"/>
              <w:rPr>
                <w:sz w:val="20"/>
                <w:szCs w:val="20"/>
                <w:color w:val="auto"/>
              </w:rPr>
            </w:pPr>
            <w:r>
              <w:rPr>
                <w:rFonts w:ascii="Arial" w:cs="Arial" w:eastAsia="Arial" w:hAnsi="Arial"/>
                <w:sz w:val="18"/>
                <w:szCs w:val="18"/>
                <w:b w:val="1"/>
                <w:bCs w:val="1"/>
                <w:color w:val="FFFFFF"/>
              </w:rPr>
              <w:t>in Cash</w:t>
            </w:r>
          </w:p>
        </w:tc>
        <w:tc>
          <w:tcPr>
            <w:tcW w:w="320" w:type="dxa"/>
            <w:vAlign w:val="bottom"/>
            <w:shd w:val="clear" w:color="auto" w:fill="D91E18"/>
          </w:tcPr>
          <w:p>
            <w:pPr>
              <w:spacing w:after="0"/>
              <w:rPr>
                <w:sz w:val="21"/>
                <w:szCs w:val="21"/>
                <w:color w:val="auto"/>
              </w:rPr>
            </w:pPr>
          </w:p>
        </w:tc>
        <w:tc>
          <w:tcPr>
            <w:tcW w:w="1560" w:type="dxa"/>
            <w:vAlign w:val="bottom"/>
            <w:tcBorders>
              <w:right w:val="single" w:sz="8" w:color="E5E5E5"/>
            </w:tcBorders>
            <w:shd w:val="clear" w:color="auto" w:fill="D91E18"/>
          </w:tcPr>
          <w:p>
            <w:pPr>
              <w:jc w:val="right"/>
              <w:ind w:right="450"/>
              <w:spacing w:after="0" w:line="243" w:lineRule="exact"/>
              <w:rPr>
                <w:sz w:val="20"/>
                <w:szCs w:val="20"/>
                <w:color w:val="auto"/>
              </w:rPr>
            </w:pPr>
            <w:r>
              <w:rPr>
                <w:rFonts w:ascii="Arial" w:cs="Arial" w:eastAsia="Arial" w:hAnsi="Arial"/>
                <w:sz w:val="18"/>
                <w:szCs w:val="18"/>
                <w:b w:val="1"/>
                <w:bCs w:val="1"/>
                <w:color w:val="FFFFFF"/>
              </w:rPr>
              <w:t>Awards</w:t>
            </w:r>
            <w:r>
              <w:rPr>
                <w:rFonts w:ascii="Arial" w:cs="Arial" w:eastAsia="Arial" w:hAnsi="Arial"/>
                <w:sz w:val="23"/>
                <w:szCs w:val="23"/>
                <w:b w:val="1"/>
                <w:bCs w:val="1"/>
                <w:color w:val="FFFFFF"/>
                <w:vertAlign w:val="superscript"/>
              </w:rPr>
              <w:t>(1)</w:t>
            </w:r>
          </w:p>
        </w:tc>
        <w:tc>
          <w:tcPr>
            <w:tcW w:w="160" w:type="dxa"/>
            <w:vAlign w:val="bottom"/>
            <w:shd w:val="clear" w:color="auto" w:fill="D91E18"/>
          </w:tcPr>
          <w:p>
            <w:pPr>
              <w:spacing w:after="0"/>
              <w:rPr>
                <w:sz w:val="21"/>
                <w:szCs w:val="21"/>
                <w:color w:val="auto"/>
              </w:rPr>
            </w:pPr>
          </w:p>
        </w:tc>
        <w:tc>
          <w:tcPr>
            <w:tcW w:w="1720" w:type="dxa"/>
            <w:vAlign w:val="bottom"/>
            <w:tcBorders>
              <w:right w:val="single" w:sz="8" w:color="E5E5E5"/>
            </w:tcBorders>
            <w:shd w:val="clear" w:color="auto" w:fill="D91E18"/>
          </w:tcPr>
          <w:p>
            <w:pPr>
              <w:jc w:val="right"/>
              <w:ind w:right="170"/>
              <w:spacing w:after="0" w:line="243" w:lineRule="exact"/>
              <w:rPr>
                <w:sz w:val="20"/>
                <w:szCs w:val="20"/>
                <w:color w:val="auto"/>
              </w:rPr>
            </w:pPr>
            <w:r>
              <w:rPr>
                <w:rFonts w:ascii="Arial" w:cs="Arial" w:eastAsia="Arial" w:hAnsi="Arial"/>
                <w:sz w:val="18"/>
                <w:szCs w:val="18"/>
                <w:b w:val="1"/>
                <w:bCs w:val="1"/>
                <w:color w:val="FFFFFF"/>
              </w:rPr>
              <w:t>Compensation</w:t>
            </w:r>
            <w:r>
              <w:rPr>
                <w:rFonts w:ascii="Arial" w:cs="Arial" w:eastAsia="Arial" w:hAnsi="Arial"/>
                <w:sz w:val="23"/>
                <w:szCs w:val="23"/>
                <w:b w:val="1"/>
                <w:bCs w:val="1"/>
                <w:color w:val="FFFFFF"/>
                <w:vertAlign w:val="superscript"/>
              </w:rPr>
              <w:t>(2)</w:t>
            </w:r>
          </w:p>
        </w:tc>
        <w:tc>
          <w:tcPr>
            <w:tcW w:w="420" w:type="dxa"/>
            <w:vAlign w:val="bottom"/>
            <w:shd w:val="clear" w:color="auto" w:fill="D91E18"/>
          </w:tcPr>
          <w:p>
            <w:pPr>
              <w:spacing w:after="0"/>
              <w:rPr>
                <w:sz w:val="21"/>
                <w:szCs w:val="21"/>
                <w:color w:val="auto"/>
              </w:rPr>
            </w:pPr>
          </w:p>
        </w:tc>
        <w:tc>
          <w:tcPr>
            <w:tcW w:w="1460" w:type="dxa"/>
            <w:vAlign w:val="bottom"/>
            <w:tcBorders>
              <w:right w:val="single" w:sz="8" w:color="E5E5E5"/>
            </w:tcBorders>
            <w:vMerge w:val="continue"/>
            <w:shd w:val="clear" w:color="auto" w:fill="D91E18"/>
          </w:tcPr>
          <w:p>
            <w:pPr>
              <w:spacing w:after="0"/>
              <w:rPr>
                <w:sz w:val="21"/>
                <w:szCs w:val="21"/>
                <w:color w:val="auto"/>
              </w:rPr>
            </w:pPr>
          </w:p>
        </w:tc>
        <w:tc>
          <w:tcPr>
            <w:tcW w:w="0" w:type="dxa"/>
            <w:vAlign w:val="bottom"/>
          </w:tcPr>
          <w:p>
            <w:pPr>
              <w:spacing w:after="0"/>
              <w:rPr>
                <w:sz w:val="1"/>
                <w:szCs w:val="1"/>
                <w:color w:val="auto"/>
              </w:rPr>
            </w:pPr>
          </w:p>
        </w:tc>
      </w:tr>
      <w:tr>
        <w:trPr>
          <w:trHeight w:val="290"/>
        </w:trPr>
        <w:tc>
          <w:tcPr>
            <w:tcW w:w="3740" w:type="dxa"/>
            <w:vAlign w:val="bottom"/>
            <w:tcBorders>
              <w:left w:val="single" w:sz="8" w:color="E5E5E5"/>
              <w:right w:val="single" w:sz="8" w:color="E5E5E5"/>
            </w:tcBorders>
            <w:shd w:val="clear" w:color="auto" w:fill="DBDBDB"/>
          </w:tcPr>
          <w:p>
            <w:pPr>
              <w:ind w:left="80"/>
              <w:spacing w:after="0"/>
              <w:rPr>
                <w:sz w:val="20"/>
                <w:szCs w:val="20"/>
                <w:color w:val="auto"/>
              </w:rPr>
            </w:pPr>
            <w:r>
              <w:rPr>
                <w:rFonts w:ascii="Arial" w:cs="Arial" w:eastAsia="Arial" w:hAnsi="Arial"/>
                <w:sz w:val="18"/>
                <w:szCs w:val="18"/>
                <w:color w:val="auto"/>
              </w:rPr>
              <w:t>Joel Alsfine</w:t>
            </w: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520" w:type="dxa"/>
            <w:vAlign w:val="bottom"/>
            <w:tcBorders>
              <w:right w:val="single" w:sz="8" w:color="E5E5E5"/>
            </w:tcBorders>
            <w:shd w:val="clear" w:color="auto" w:fill="DBDBDB"/>
          </w:tcPr>
          <w:p>
            <w:pPr>
              <w:jc w:val="right"/>
              <w:ind w:right="110"/>
              <w:spacing w:after="0"/>
              <w:rPr>
                <w:sz w:val="20"/>
                <w:szCs w:val="20"/>
                <w:color w:val="auto"/>
              </w:rPr>
            </w:pPr>
            <w:r>
              <w:rPr>
                <w:rFonts w:ascii="Arial" w:cs="Arial" w:eastAsia="Arial" w:hAnsi="Arial"/>
                <w:sz w:val="18"/>
                <w:szCs w:val="18"/>
                <w:color w:val="auto"/>
              </w:rPr>
              <w:t>88,500</w:t>
            </w:r>
          </w:p>
        </w:tc>
        <w:tc>
          <w:tcPr>
            <w:tcW w:w="32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w w:val="79"/>
              </w:rPr>
              <w:t>$</w:t>
            </w:r>
          </w:p>
        </w:tc>
        <w:tc>
          <w:tcPr>
            <w:tcW w:w="1560" w:type="dxa"/>
            <w:vAlign w:val="bottom"/>
            <w:tcBorders>
              <w:right w:val="single" w:sz="8" w:color="E5E5E5"/>
            </w:tcBorders>
            <w:shd w:val="clear" w:color="auto" w:fill="DBDBDB"/>
          </w:tcPr>
          <w:p>
            <w:pPr>
              <w:jc w:val="right"/>
              <w:ind w:right="110"/>
              <w:spacing w:after="0"/>
              <w:rPr>
                <w:sz w:val="20"/>
                <w:szCs w:val="20"/>
                <w:color w:val="auto"/>
              </w:rPr>
            </w:pPr>
            <w:r>
              <w:rPr>
                <w:rFonts w:ascii="Arial" w:cs="Arial" w:eastAsia="Arial" w:hAnsi="Arial"/>
                <w:sz w:val="18"/>
                <w:szCs w:val="18"/>
                <w:color w:val="auto"/>
              </w:rPr>
              <w:t>209,950</w:t>
            </w:r>
          </w:p>
        </w:tc>
        <w:tc>
          <w:tcPr>
            <w:tcW w:w="160" w:type="dxa"/>
            <w:vAlign w:val="bottom"/>
            <w:shd w:val="clear" w:color="auto" w:fill="DBDBDB"/>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right w:val="single" w:sz="8" w:color="E5E5E5"/>
            </w:tcBorders>
            <w:shd w:val="clear" w:color="auto" w:fill="DBDBDB"/>
          </w:tcPr>
          <w:p>
            <w:pPr>
              <w:jc w:val="right"/>
              <w:ind w:right="110"/>
              <w:spacing w:after="0"/>
              <w:rPr>
                <w:sz w:val="20"/>
                <w:szCs w:val="20"/>
                <w:color w:val="auto"/>
              </w:rPr>
            </w:pPr>
            <w:r>
              <w:rPr>
                <w:rFonts w:ascii="Arial" w:cs="Arial" w:eastAsia="Arial" w:hAnsi="Arial"/>
                <w:sz w:val="18"/>
                <w:szCs w:val="18"/>
                <w:color w:val="auto"/>
              </w:rPr>
              <w:t>18,592</w:t>
            </w:r>
          </w:p>
        </w:tc>
        <w:tc>
          <w:tcPr>
            <w:tcW w:w="420" w:type="dxa"/>
            <w:vAlign w:val="bottom"/>
            <w:shd w:val="clear" w:color="auto" w:fill="DBDBDB"/>
          </w:tcPr>
          <w:p>
            <w:pPr>
              <w:jc w:val="right"/>
              <w:ind w:right="210"/>
              <w:spacing w:after="0"/>
              <w:rPr>
                <w:sz w:val="20"/>
                <w:szCs w:val="20"/>
                <w:color w:val="auto"/>
              </w:rPr>
            </w:pPr>
            <w:r>
              <w:rPr>
                <w:rFonts w:ascii="Arial" w:cs="Arial" w:eastAsia="Arial" w:hAnsi="Arial"/>
                <w:sz w:val="18"/>
                <w:szCs w:val="18"/>
                <w:color w:val="auto"/>
                <w:w w:val="99"/>
              </w:rPr>
              <w:t>$</w:t>
            </w:r>
          </w:p>
        </w:tc>
        <w:tc>
          <w:tcPr>
            <w:tcW w:w="1460" w:type="dxa"/>
            <w:vAlign w:val="bottom"/>
            <w:tcBorders>
              <w:right w:val="single" w:sz="8" w:color="E5E5E5"/>
            </w:tcBorders>
            <w:shd w:val="clear" w:color="auto" w:fill="DBDBDB"/>
          </w:tcPr>
          <w:p>
            <w:pPr>
              <w:jc w:val="right"/>
              <w:ind w:right="110"/>
              <w:spacing w:after="0"/>
              <w:rPr>
                <w:sz w:val="20"/>
                <w:szCs w:val="20"/>
                <w:color w:val="auto"/>
              </w:rPr>
            </w:pPr>
            <w:r>
              <w:rPr>
                <w:rFonts w:ascii="Arial" w:cs="Arial" w:eastAsia="Arial" w:hAnsi="Arial"/>
                <w:sz w:val="18"/>
                <w:szCs w:val="18"/>
                <w:color w:val="auto"/>
              </w:rPr>
              <w:t>317,042</w:t>
            </w:r>
          </w:p>
        </w:tc>
        <w:tc>
          <w:tcPr>
            <w:tcW w:w="0" w:type="dxa"/>
            <w:vAlign w:val="bottom"/>
          </w:tcPr>
          <w:p>
            <w:pPr>
              <w:spacing w:after="0"/>
              <w:rPr>
                <w:sz w:val="1"/>
                <w:szCs w:val="1"/>
                <w:color w:val="auto"/>
              </w:rPr>
            </w:pPr>
          </w:p>
        </w:tc>
      </w:tr>
      <w:tr>
        <w:trPr>
          <w:trHeight w:val="229"/>
        </w:trPr>
        <w:tc>
          <w:tcPr>
            <w:tcW w:w="3740" w:type="dxa"/>
            <w:vAlign w:val="bottom"/>
            <w:tcBorders>
              <w:left w:val="single" w:sz="8" w:color="E5E5E5"/>
              <w:right w:val="single" w:sz="8" w:color="E5E5E5"/>
            </w:tcBorders>
          </w:tcPr>
          <w:p>
            <w:pPr>
              <w:ind w:left="80"/>
              <w:spacing w:after="0"/>
              <w:rPr>
                <w:sz w:val="20"/>
                <w:szCs w:val="20"/>
                <w:color w:val="auto"/>
              </w:rPr>
            </w:pPr>
            <w:r>
              <w:rPr>
                <w:rFonts w:ascii="Arial" w:cs="Arial" w:eastAsia="Arial" w:hAnsi="Arial"/>
                <w:sz w:val="18"/>
                <w:szCs w:val="18"/>
                <w:color w:val="auto"/>
              </w:rPr>
              <w:t>William D. Fay</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520" w:type="dxa"/>
            <w:vAlign w:val="bottom"/>
            <w:tcBorders>
              <w:right w:val="single" w:sz="8" w:color="E5E5E5"/>
            </w:tcBorders>
          </w:tcPr>
          <w:p>
            <w:pPr>
              <w:jc w:val="right"/>
              <w:ind w:right="110"/>
              <w:spacing w:after="0"/>
              <w:rPr>
                <w:sz w:val="20"/>
                <w:szCs w:val="20"/>
                <w:color w:val="auto"/>
              </w:rPr>
            </w:pPr>
            <w:r>
              <w:rPr>
                <w:rFonts w:ascii="Arial" w:cs="Arial" w:eastAsia="Arial" w:hAnsi="Arial"/>
                <w:sz w:val="18"/>
                <w:szCs w:val="18"/>
                <w:color w:val="auto"/>
              </w:rPr>
              <w:t>110,500</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560" w:type="dxa"/>
            <w:vAlign w:val="bottom"/>
            <w:tcBorders>
              <w:right w:val="single" w:sz="8" w:color="E5E5E5"/>
            </w:tcBorders>
          </w:tcPr>
          <w:p>
            <w:pPr>
              <w:jc w:val="right"/>
              <w:ind w:right="110"/>
              <w:spacing w:after="0"/>
              <w:rPr>
                <w:sz w:val="20"/>
                <w:szCs w:val="20"/>
                <w:color w:val="auto"/>
              </w:rPr>
            </w:pPr>
            <w:r>
              <w:rPr>
                <w:rFonts w:ascii="Arial" w:cs="Arial" w:eastAsia="Arial" w:hAnsi="Arial"/>
                <w:sz w:val="18"/>
                <w:szCs w:val="18"/>
                <w:color w:val="auto"/>
              </w:rPr>
              <w:t>209,950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right w:val="single" w:sz="8" w:color="E5E5E5"/>
            </w:tcBorders>
          </w:tcPr>
          <w:p>
            <w:pPr>
              <w:jc w:val="right"/>
              <w:ind w:right="110"/>
              <w:spacing w:after="0"/>
              <w:rPr>
                <w:sz w:val="20"/>
                <w:szCs w:val="20"/>
                <w:color w:val="auto"/>
              </w:rPr>
            </w:pPr>
            <w:r>
              <w:rPr>
                <w:rFonts w:ascii="Arial" w:cs="Arial" w:eastAsia="Arial" w:hAnsi="Arial"/>
                <w:sz w:val="18"/>
                <w:szCs w:val="18"/>
                <w:color w:val="auto"/>
              </w:rPr>
              <w:t>27,759</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60" w:type="dxa"/>
            <w:vAlign w:val="bottom"/>
            <w:tcBorders>
              <w:right w:val="single" w:sz="8" w:color="E5E5E5"/>
            </w:tcBorders>
          </w:tcPr>
          <w:p>
            <w:pPr>
              <w:jc w:val="right"/>
              <w:ind w:right="110"/>
              <w:spacing w:after="0"/>
              <w:rPr>
                <w:sz w:val="20"/>
                <w:szCs w:val="20"/>
                <w:color w:val="auto"/>
              </w:rPr>
            </w:pPr>
            <w:r>
              <w:rPr>
                <w:rFonts w:ascii="Arial" w:cs="Arial" w:eastAsia="Arial" w:hAnsi="Arial"/>
                <w:sz w:val="18"/>
                <w:szCs w:val="18"/>
                <w:color w:val="auto"/>
              </w:rPr>
              <w:t>348,209</w:t>
            </w:r>
          </w:p>
        </w:tc>
        <w:tc>
          <w:tcPr>
            <w:tcW w:w="0" w:type="dxa"/>
            <w:vAlign w:val="bottom"/>
          </w:tcPr>
          <w:p>
            <w:pPr>
              <w:spacing w:after="0"/>
              <w:rPr>
                <w:sz w:val="1"/>
                <w:szCs w:val="1"/>
                <w:color w:val="auto"/>
              </w:rPr>
            </w:pPr>
          </w:p>
        </w:tc>
      </w:tr>
      <w:tr>
        <w:trPr>
          <w:trHeight w:val="297"/>
        </w:trPr>
        <w:tc>
          <w:tcPr>
            <w:tcW w:w="3740" w:type="dxa"/>
            <w:vAlign w:val="bottom"/>
            <w:tcBorders>
              <w:left w:val="single" w:sz="8" w:color="E5E5E5"/>
              <w:right w:val="single" w:sz="8" w:color="E5E5E5"/>
            </w:tcBorders>
            <w:shd w:val="clear" w:color="auto" w:fill="DBDBDB"/>
          </w:tcPr>
          <w:p>
            <w:pPr>
              <w:ind w:left="80"/>
              <w:spacing w:after="0"/>
              <w:rPr>
                <w:sz w:val="20"/>
                <w:szCs w:val="20"/>
                <w:color w:val="auto"/>
              </w:rPr>
            </w:pPr>
            <w:r>
              <w:rPr>
                <w:rFonts w:ascii="Arial" w:cs="Arial" w:eastAsia="Arial" w:hAnsi="Arial"/>
                <w:sz w:val="18"/>
                <w:szCs w:val="18"/>
                <w:color w:val="auto"/>
              </w:rPr>
              <w:t>Juanita T. James</w:t>
            </w: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520" w:type="dxa"/>
            <w:vAlign w:val="bottom"/>
            <w:tcBorders>
              <w:right w:val="single" w:sz="8" w:color="E5E5E5"/>
            </w:tcBorders>
            <w:shd w:val="clear" w:color="auto" w:fill="DBDBDB"/>
          </w:tcPr>
          <w:p>
            <w:pPr>
              <w:jc w:val="right"/>
              <w:ind w:right="110"/>
              <w:spacing w:after="0"/>
              <w:rPr>
                <w:sz w:val="20"/>
                <w:szCs w:val="20"/>
                <w:color w:val="auto"/>
              </w:rPr>
            </w:pPr>
            <w:r>
              <w:rPr>
                <w:rFonts w:ascii="Arial" w:cs="Arial" w:eastAsia="Arial" w:hAnsi="Arial"/>
                <w:sz w:val="18"/>
                <w:szCs w:val="18"/>
                <w:color w:val="auto"/>
              </w:rPr>
              <w:t>104,000</w:t>
            </w:r>
          </w:p>
        </w:tc>
        <w:tc>
          <w:tcPr>
            <w:tcW w:w="32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w w:val="79"/>
              </w:rPr>
              <w:t>$</w:t>
            </w:r>
          </w:p>
        </w:tc>
        <w:tc>
          <w:tcPr>
            <w:tcW w:w="1560" w:type="dxa"/>
            <w:vAlign w:val="bottom"/>
            <w:tcBorders>
              <w:right w:val="single" w:sz="8" w:color="E5E5E5"/>
            </w:tcBorders>
            <w:shd w:val="clear" w:color="auto" w:fill="DBDBDB"/>
          </w:tcPr>
          <w:p>
            <w:pPr>
              <w:jc w:val="right"/>
              <w:ind w:right="110"/>
              <w:spacing w:after="0"/>
              <w:rPr>
                <w:sz w:val="20"/>
                <w:szCs w:val="20"/>
                <w:color w:val="auto"/>
              </w:rPr>
            </w:pPr>
            <w:r>
              <w:rPr>
                <w:rFonts w:ascii="Arial" w:cs="Arial" w:eastAsia="Arial" w:hAnsi="Arial"/>
                <w:sz w:val="18"/>
                <w:szCs w:val="18"/>
                <w:color w:val="auto"/>
              </w:rPr>
              <w:t>209,950</w:t>
            </w:r>
          </w:p>
        </w:tc>
        <w:tc>
          <w:tcPr>
            <w:tcW w:w="160" w:type="dxa"/>
            <w:vAlign w:val="bottom"/>
            <w:shd w:val="clear" w:color="auto" w:fill="DBDBDB"/>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right w:val="single" w:sz="8" w:color="E5E5E5"/>
            </w:tcBorders>
            <w:shd w:val="clear" w:color="auto" w:fill="DBDBDB"/>
          </w:tcPr>
          <w:p>
            <w:pPr>
              <w:jc w:val="right"/>
              <w:ind w:right="110"/>
              <w:spacing w:after="0"/>
              <w:rPr>
                <w:sz w:val="20"/>
                <w:szCs w:val="20"/>
                <w:color w:val="auto"/>
              </w:rPr>
            </w:pPr>
            <w:r>
              <w:rPr>
                <w:rFonts w:ascii="Arial" w:cs="Arial" w:eastAsia="Arial" w:hAnsi="Arial"/>
                <w:sz w:val="18"/>
                <w:szCs w:val="18"/>
                <w:color w:val="auto"/>
              </w:rPr>
              <w:t>21,660</w:t>
            </w:r>
          </w:p>
        </w:tc>
        <w:tc>
          <w:tcPr>
            <w:tcW w:w="420" w:type="dxa"/>
            <w:vAlign w:val="bottom"/>
            <w:shd w:val="clear" w:color="auto" w:fill="DBDBDB"/>
          </w:tcPr>
          <w:p>
            <w:pPr>
              <w:jc w:val="right"/>
              <w:ind w:right="210"/>
              <w:spacing w:after="0"/>
              <w:rPr>
                <w:sz w:val="20"/>
                <w:szCs w:val="20"/>
                <w:color w:val="auto"/>
              </w:rPr>
            </w:pPr>
            <w:r>
              <w:rPr>
                <w:rFonts w:ascii="Arial" w:cs="Arial" w:eastAsia="Arial" w:hAnsi="Arial"/>
                <w:sz w:val="18"/>
                <w:szCs w:val="18"/>
                <w:color w:val="auto"/>
                <w:w w:val="99"/>
              </w:rPr>
              <w:t>$</w:t>
            </w:r>
          </w:p>
        </w:tc>
        <w:tc>
          <w:tcPr>
            <w:tcW w:w="1460" w:type="dxa"/>
            <w:vAlign w:val="bottom"/>
            <w:tcBorders>
              <w:right w:val="single" w:sz="8" w:color="E5E5E5"/>
            </w:tcBorders>
            <w:shd w:val="clear" w:color="auto" w:fill="DBDBDB"/>
          </w:tcPr>
          <w:p>
            <w:pPr>
              <w:jc w:val="right"/>
              <w:ind w:right="110"/>
              <w:spacing w:after="0"/>
              <w:rPr>
                <w:sz w:val="20"/>
                <w:szCs w:val="20"/>
                <w:color w:val="auto"/>
              </w:rPr>
            </w:pPr>
            <w:r>
              <w:rPr>
                <w:rFonts w:ascii="Arial" w:cs="Arial" w:eastAsia="Arial" w:hAnsi="Arial"/>
                <w:sz w:val="18"/>
                <w:szCs w:val="18"/>
                <w:color w:val="auto"/>
              </w:rPr>
              <w:t>335,610</w:t>
            </w:r>
          </w:p>
        </w:tc>
        <w:tc>
          <w:tcPr>
            <w:tcW w:w="0" w:type="dxa"/>
            <w:vAlign w:val="bottom"/>
          </w:tcPr>
          <w:p>
            <w:pPr>
              <w:spacing w:after="0"/>
              <w:rPr>
                <w:sz w:val="1"/>
                <w:szCs w:val="1"/>
                <w:color w:val="auto"/>
              </w:rPr>
            </w:pPr>
          </w:p>
        </w:tc>
      </w:tr>
      <w:tr>
        <w:trPr>
          <w:trHeight w:val="270"/>
        </w:trPr>
        <w:tc>
          <w:tcPr>
            <w:tcW w:w="3740" w:type="dxa"/>
            <w:vAlign w:val="bottom"/>
            <w:tcBorders>
              <w:left w:val="single" w:sz="8" w:color="E5E5E5"/>
              <w:right w:val="single" w:sz="8" w:color="E5E5E5"/>
            </w:tcBorders>
          </w:tcPr>
          <w:p>
            <w:pPr>
              <w:ind w:left="80"/>
              <w:spacing w:after="0"/>
              <w:rPr>
                <w:sz w:val="20"/>
                <w:szCs w:val="20"/>
                <w:color w:val="auto"/>
              </w:rPr>
            </w:pPr>
            <w:r>
              <w:rPr>
                <w:rFonts w:ascii="Arial" w:cs="Arial" w:eastAsia="Arial" w:hAnsi="Arial"/>
                <w:sz w:val="18"/>
                <w:szCs w:val="18"/>
                <w:color w:val="auto"/>
              </w:rPr>
              <w:t>Philip F. Maritz</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520" w:type="dxa"/>
            <w:vAlign w:val="bottom"/>
            <w:tcBorders>
              <w:right w:val="single" w:sz="8" w:color="E5E5E5"/>
            </w:tcBorders>
          </w:tcPr>
          <w:p>
            <w:pPr>
              <w:jc w:val="right"/>
              <w:ind w:right="110"/>
              <w:spacing w:after="0"/>
              <w:rPr>
                <w:sz w:val="20"/>
                <w:szCs w:val="20"/>
                <w:color w:val="auto"/>
              </w:rPr>
            </w:pPr>
            <w:r>
              <w:rPr>
                <w:rFonts w:ascii="Arial" w:cs="Arial" w:eastAsia="Arial" w:hAnsi="Arial"/>
                <w:sz w:val="18"/>
                <w:szCs w:val="18"/>
                <w:color w:val="auto"/>
              </w:rPr>
              <w:t>84,000</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560" w:type="dxa"/>
            <w:vAlign w:val="bottom"/>
            <w:tcBorders>
              <w:right w:val="single" w:sz="8" w:color="E5E5E5"/>
            </w:tcBorders>
          </w:tcPr>
          <w:p>
            <w:pPr>
              <w:jc w:val="right"/>
              <w:ind w:right="110"/>
              <w:spacing w:after="0"/>
              <w:rPr>
                <w:sz w:val="20"/>
                <w:szCs w:val="20"/>
                <w:color w:val="auto"/>
              </w:rPr>
            </w:pPr>
            <w:r>
              <w:rPr>
                <w:rFonts w:ascii="Arial" w:cs="Arial" w:eastAsia="Arial" w:hAnsi="Arial"/>
                <w:sz w:val="18"/>
                <w:szCs w:val="18"/>
                <w:color w:val="auto"/>
              </w:rPr>
              <w:t>209,950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right w:val="single" w:sz="8" w:color="E5E5E5"/>
            </w:tcBorders>
          </w:tcPr>
          <w:p>
            <w:pPr>
              <w:jc w:val="right"/>
              <w:ind w:right="110"/>
              <w:spacing w:after="0"/>
              <w:rPr>
                <w:sz w:val="20"/>
                <w:szCs w:val="20"/>
                <w:color w:val="auto"/>
              </w:rPr>
            </w:pPr>
            <w:r>
              <w:rPr>
                <w:rFonts w:ascii="Arial" w:cs="Arial" w:eastAsia="Arial" w:hAnsi="Arial"/>
                <w:sz w:val="18"/>
                <w:szCs w:val="18"/>
                <w:color w:val="auto"/>
              </w:rPr>
              <w:t>21,244</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60" w:type="dxa"/>
            <w:vAlign w:val="bottom"/>
            <w:tcBorders>
              <w:right w:val="single" w:sz="8" w:color="E5E5E5"/>
            </w:tcBorders>
          </w:tcPr>
          <w:p>
            <w:pPr>
              <w:jc w:val="right"/>
              <w:ind w:right="110"/>
              <w:spacing w:after="0"/>
              <w:rPr>
                <w:sz w:val="20"/>
                <w:szCs w:val="20"/>
                <w:color w:val="auto"/>
              </w:rPr>
            </w:pPr>
            <w:r>
              <w:rPr>
                <w:rFonts w:ascii="Arial" w:cs="Arial" w:eastAsia="Arial" w:hAnsi="Arial"/>
                <w:sz w:val="18"/>
                <w:szCs w:val="18"/>
                <w:color w:val="auto"/>
              </w:rPr>
              <w:t>315,194</w:t>
            </w:r>
          </w:p>
        </w:tc>
        <w:tc>
          <w:tcPr>
            <w:tcW w:w="0" w:type="dxa"/>
            <w:vAlign w:val="bottom"/>
          </w:tcPr>
          <w:p>
            <w:pPr>
              <w:spacing w:after="0"/>
              <w:rPr>
                <w:sz w:val="1"/>
                <w:szCs w:val="1"/>
                <w:color w:val="auto"/>
              </w:rPr>
            </w:pPr>
          </w:p>
        </w:tc>
      </w:tr>
      <w:tr>
        <w:trPr>
          <w:trHeight w:val="297"/>
        </w:trPr>
        <w:tc>
          <w:tcPr>
            <w:tcW w:w="3740" w:type="dxa"/>
            <w:vAlign w:val="bottom"/>
            <w:tcBorders>
              <w:left w:val="single" w:sz="8" w:color="E5E5E5"/>
              <w:right w:val="single" w:sz="8" w:color="E5E5E5"/>
            </w:tcBorders>
            <w:shd w:val="clear" w:color="auto" w:fill="DBDBDB"/>
          </w:tcPr>
          <w:p>
            <w:pPr>
              <w:ind w:left="80"/>
              <w:spacing w:after="0"/>
              <w:rPr>
                <w:sz w:val="20"/>
                <w:szCs w:val="20"/>
                <w:color w:val="auto"/>
              </w:rPr>
            </w:pPr>
            <w:r>
              <w:rPr>
                <w:rFonts w:ascii="Arial" w:cs="Arial" w:eastAsia="Arial" w:hAnsi="Arial"/>
                <w:sz w:val="18"/>
                <w:szCs w:val="18"/>
                <w:color w:val="auto"/>
              </w:rPr>
              <w:t>Maureen F. Morrison</w:t>
            </w: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520" w:type="dxa"/>
            <w:vAlign w:val="bottom"/>
            <w:tcBorders>
              <w:right w:val="single" w:sz="8" w:color="E5E5E5"/>
            </w:tcBorders>
            <w:shd w:val="clear" w:color="auto" w:fill="DBDBDB"/>
          </w:tcPr>
          <w:p>
            <w:pPr>
              <w:jc w:val="right"/>
              <w:ind w:right="110"/>
              <w:spacing w:after="0"/>
              <w:rPr>
                <w:sz w:val="20"/>
                <w:szCs w:val="20"/>
                <w:color w:val="auto"/>
              </w:rPr>
            </w:pPr>
            <w:r>
              <w:rPr>
                <w:rFonts w:ascii="Arial" w:cs="Arial" w:eastAsia="Arial" w:hAnsi="Arial"/>
                <w:sz w:val="18"/>
                <w:szCs w:val="18"/>
                <w:color w:val="auto"/>
              </w:rPr>
              <w:t>127,500</w:t>
            </w:r>
          </w:p>
        </w:tc>
        <w:tc>
          <w:tcPr>
            <w:tcW w:w="32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w w:val="79"/>
              </w:rPr>
              <w:t>$</w:t>
            </w:r>
          </w:p>
        </w:tc>
        <w:tc>
          <w:tcPr>
            <w:tcW w:w="1560" w:type="dxa"/>
            <w:vAlign w:val="bottom"/>
            <w:tcBorders>
              <w:right w:val="single" w:sz="8" w:color="E5E5E5"/>
            </w:tcBorders>
            <w:shd w:val="clear" w:color="auto" w:fill="DBDBDB"/>
          </w:tcPr>
          <w:p>
            <w:pPr>
              <w:jc w:val="right"/>
              <w:ind w:right="110"/>
              <w:spacing w:after="0"/>
              <w:rPr>
                <w:sz w:val="20"/>
                <w:szCs w:val="20"/>
                <w:color w:val="auto"/>
              </w:rPr>
            </w:pPr>
            <w:r>
              <w:rPr>
                <w:rFonts w:ascii="Arial" w:cs="Arial" w:eastAsia="Arial" w:hAnsi="Arial"/>
                <w:sz w:val="18"/>
                <w:szCs w:val="18"/>
                <w:color w:val="auto"/>
              </w:rPr>
              <w:t>209,950</w:t>
            </w:r>
          </w:p>
        </w:tc>
        <w:tc>
          <w:tcPr>
            <w:tcW w:w="160" w:type="dxa"/>
            <w:vAlign w:val="bottom"/>
            <w:shd w:val="clear" w:color="auto" w:fill="DBDBDB"/>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right w:val="single" w:sz="8" w:color="E5E5E5"/>
            </w:tcBorders>
            <w:shd w:val="clear" w:color="auto" w:fill="DBDBDB"/>
          </w:tcPr>
          <w:p>
            <w:pPr>
              <w:jc w:val="right"/>
              <w:ind w:right="110"/>
              <w:spacing w:after="0"/>
              <w:rPr>
                <w:sz w:val="20"/>
                <w:szCs w:val="20"/>
                <w:color w:val="auto"/>
              </w:rPr>
            </w:pPr>
            <w:r>
              <w:rPr>
                <w:rFonts w:ascii="Arial" w:cs="Arial" w:eastAsia="Arial" w:hAnsi="Arial"/>
                <w:sz w:val="18"/>
                <w:szCs w:val="18"/>
                <w:color w:val="auto"/>
              </w:rPr>
              <w:t>31,219</w:t>
            </w:r>
          </w:p>
        </w:tc>
        <w:tc>
          <w:tcPr>
            <w:tcW w:w="420" w:type="dxa"/>
            <w:vAlign w:val="bottom"/>
            <w:shd w:val="clear" w:color="auto" w:fill="DBDBDB"/>
          </w:tcPr>
          <w:p>
            <w:pPr>
              <w:jc w:val="right"/>
              <w:ind w:right="210"/>
              <w:spacing w:after="0"/>
              <w:rPr>
                <w:sz w:val="20"/>
                <w:szCs w:val="20"/>
                <w:color w:val="auto"/>
              </w:rPr>
            </w:pPr>
            <w:r>
              <w:rPr>
                <w:rFonts w:ascii="Arial" w:cs="Arial" w:eastAsia="Arial" w:hAnsi="Arial"/>
                <w:sz w:val="18"/>
                <w:szCs w:val="18"/>
                <w:color w:val="auto"/>
                <w:w w:val="99"/>
              </w:rPr>
              <w:t>$</w:t>
            </w:r>
          </w:p>
        </w:tc>
        <w:tc>
          <w:tcPr>
            <w:tcW w:w="1460" w:type="dxa"/>
            <w:vAlign w:val="bottom"/>
            <w:tcBorders>
              <w:right w:val="single" w:sz="8" w:color="E5E5E5"/>
            </w:tcBorders>
            <w:shd w:val="clear" w:color="auto" w:fill="DBDBDB"/>
          </w:tcPr>
          <w:p>
            <w:pPr>
              <w:jc w:val="right"/>
              <w:ind w:right="110"/>
              <w:spacing w:after="0"/>
              <w:rPr>
                <w:sz w:val="20"/>
                <w:szCs w:val="20"/>
                <w:color w:val="auto"/>
              </w:rPr>
            </w:pPr>
            <w:r>
              <w:rPr>
                <w:rFonts w:ascii="Arial" w:cs="Arial" w:eastAsia="Arial" w:hAnsi="Arial"/>
                <w:sz w:val="18"/>
                <w:szCs w:val="18"/>
                <w:color w:val="auto"/>
              </w:rPr>
              <w:t>368,669</w:t>
            </w:r>
          </w:p>
        </w:tc>
        <w:tc>
          <w:tcPr>
            <w:tcW w:w="0" w:type="dxa"/>
            <w:vAlign w:val="bottom"/>
          </w:tcPr>
          <w:p>
            <w:pPr>
              <w:spacing w:after="0"/>
              <w:rPr>
                <w:sz w:val="1"/>
                <w:szCs w:val="1"/>
                <w:color w:val="auto"/>
              </w:rPr>
            </w:pPr>
          </w:p>
        </w:tc>
      </w:tr>
      <w:tr>
        <w:trPr>
          <w:trHeight w:val="229"/>
        </w:trPr>
        <w:tc>
          <w:tcPr>
            <w:tcW w:w="3740" w:type="dxa"/>
            <w:vAlign w:val="bottom"/>
            <w:tcBorders>
              <w:left w:val="single" w:sz="8" w:color="E5E5E5"/>
              <w:right w:val="single" w:sz="8" w:color="E5E5E5"/>
            </w:tcBorders>
          </w:tcPr>
          <w:p>
            <w:pPr>
              <w:ind w:left="80"/>
              <w:spacing w:after="0" w:line="230" w:lineRule="exact"/>
              <w:rPr>
                <w:sz w:val="20"/>
                <w:szCs w:val="20"/>
                <w:color w:val="auto"/>
              </w:rPr>
            </w:pPr>
            <w:r>
              <w:rPr>
                <w:rFonts w:ascii="Arial" w:cs="Arial" w:eastAsia="Arial" w:hAnsi="Arial"/>
                <w:sz w:val="18"/>
                <w:szCs w:val="18"/>
                <w:color w:val="auto"/>
              </w:rPr>
              <w:t>Shamla Naidoo</w:t>
            </w:r>
            <w:r>
              <w:rPr>
                <w:rFonts w:ascii="Arial" w:cs="Arial" w:eastAsia="Arial" w:hAnsi="Arial"/>
                <w:sz w:val="23"/>
                <w:szCs w:val="23"/>
                <w:color w:val="auto"/>
                <w:vertAlign w:val="superscript"/>
              </w:rPr>
              <w:t>(3)</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520" w:type="dxa"/>
            <w:vAlign w:val="bottom"/>
            <w:tcBorders>
              <w:right w:val="single" w:sz="8" w:color="E5E5E5"/>
            </w:tcBorders>
          </w:tcPr>
          <w:p>
            <w:pPr>
              <w:jc w:val="right"/>
              <w:ind w:right="11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560" w:type="dxa"/>
            <w:vAlign w:val="bottom"/>
            <w:tcBorders>
              <w:right w:val="single" w:sz="8" w:color="E5E5E5"/>
            </w:tcBorders>
          </w:tcPr>
          <w:p>
            <w:pPr>
              <w:jc w:val="right"/>
              <w:ind w:right="11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right w:val="single" w:sz="8" w:color="E5E5E5"/>
            </w:tcBorders>
          </w:tcPr>
          <w:p>
            <w:pPr>
              <w:jc w:val="right"/>
              <w:ind w:right="11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60" w:type="dxa"/>
            <w:vAlign w:val="bottom"/>
            <w:tcBorders>
              <w:right w:val="single" w:sz="8" w:color="E5E5E5"/>
            </w:tcBorders>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3740" w:type="dxa"/>
            <w:vAlign w:val="bottom"/>
            <w:tcBorders>
              <w:left w:val="single" w:sz="8" w:color="E5E5E5"/>
              <w:right w:val="single" w:sz="8" w:color="E5E5E5"/>
            </w:tcBorders>
            <w:shd w:val="clear" w:color="auto" w:fill="DBDBDB"/>
          </w:tcPr>
          <w:p>
            <w:pPr>
              <w:ind w:left="80"/>
              <w:spacing w:after="0"/>
              <w:rPr>
                <w:sz w:val="20"/>
                <w:szCs w:val="20"/>
                <w:color w:val="auto"/>
              </w:rPr>
            </w:pPr>
            <w:r>
              <w:rPr>
                <w:rFonts w:ascii="Arial" w:cs="Arial" w:eastAsia="Arial" w:hAnsi="Arial"/>
                <w:sz w:val="18"/>
                <w:szCs w:val="18"/>
                <w:color w:val="auto"/>
              </w:rPr>
              <w:t>Thomas J. Reddin</w:t>
            </w: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520" w:type="dxa"/>
            <w:vAlign w:val="bottom"/>
            <w:tcBorders>
              <w:right w:val="single" w:sz="8" w:color="E5E5E5"/>
            </w:tcBorders>
            <w:shd w:val="clear" w:color="auto" w:fill="DBDBDB"/>
          </w:tcPr>
          <w:p>
            <w:pPr>
              <w:jc w:val="right"/>
              <w:ind w:right="110"/>
              <w:spacing w:after="0"/>
              <w:rPr>
                <w:sz w:val="20"/>
                <w:szCs w:val="20"/>
                <w:color w:val="auto"/>
              </w:rPr>
            </w:pPr>
            <w:r>
              <w:rPr>
                <w:rFonts w:ascii="Arial" w:cs="Arial" w:eastAsia="Arial" w:hAnsi="Arial"/>
                <w:sz w:val="18"/>
                <w:szCs w:val="18"/>
                <w:color w:val="auto"/>
              </w:rPr>
              <w:t>255,500</w:t>
            </w:r>
          </w:p>
        </w:tc>
        <w:tc>
          <w:tcPr>
            <w:tcW w:w="32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w w:val="79"/>
              </w:rPr>
              <w:t>$</w:t>
            </w:r>
          </w:p>
        </w:tc>
        <w:tc>
          <w:tcPr>
            <w:tcW w:w="1560" w:type="dxa"/>
            <w:vAlign w:val="bottom"/>
            <w:tcBorders>
              <w:right w:val="single" w:sz="8" w:color="E5E5E5"/>
            </w:tcBorders>
            <w:shd w:val="clear" w:color="auto" w:fill="DBDBDB"/>
          </w:tcPr>
          <w:p>
            <w:pPr>
              <w:jc w:val="right"/>
              <w:ind w:right="110"/>
              <w:spacing w:after="0"/>
              <w:rPr>
                <w:sz w:val="20"/>
                <w:szCs w:val="20"/>
                <w:color w:val="auto"/>
              </w:rPr>
            </w:pPr>
            <w:r>
              <w:rPr>
                <w:rFonts w:ascii="Arial" w:cs="Arial" w:eastAsia="Arial" w:hAnsi="Arial"/>
                <w:sz w:val="18"/>
                <w:szCs w:val="18"/>
                <w:color w:val="auto"/>
              </w:rPr>
              <w:t>209,950</w:t>
            </w:r>
          </w:p>
        </w:tc>
        <w:tc>
          <w:tcPr>
            <w:tcW w:w="160" w:type="dxa"/>
            <w:vAlign w:val="bottom"/>
            <w:shd w:val="clear" w:color="auto" w:fill="DBDBDB"/>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right w:val="single" w:sz="8" w:color="E5E5E5"/>
            </w:tcBorders>
            <w:shd w:val="clear" w:color="auto" w:fill="DBDBDB"/>
          </w:tcPr>
          <w:p>
            <w:pPr>
              <w:jc w:val="right"/>
              <w:ind w:right="110"/>
              <w:spacing w:after="0"/>
              <w:rPr>
                <w:sz w:val="20"/>
                <w:szCs w:val="20"/>
                <w:color w:val="auto"/>
              </w:rPr>
            </w:pPr>
            <w:r>
              <w:rPr>
                <w:rFonts w:ascii="Arial" w:cs="Arial" w:eastAsia="Arial" w:hAnsi="Arial"/>
                <w:sz w:val="18"/>
                <w:szCs w:val="18"/>
                <w:color w:val="auto"/>
              </w:rPr>
              <w:t>30,571</w:t>
            </w:r>
          </w:p>
        </w:tc>
        <w:tc>
          <w:tcPr>
            <w:tcW w:w="420" w:type="dxa"/>
            <w:vAlign w:val="bottom"/>
            <w:shd w:val="clear" w:color="auto" w:fill="DBDBDB"/>
          </w:tcPr>
          <w:p>
            <w:pPr>
              <w:jc w:val="right"/>
              <w:ind w:right="210"/>
              <w:spacing w:after="0"/>
              <w:rPr>
                <w:sz w:val="20"/>
                <w:szCs w:val="20"/>
                <w:color w:val="auto"/>
              </w:rPr>
            </w:pPr>
            <w:r>
              <w:rPr>
                <w:rFonts w:ascii="Arial" w:cs="Arial" w:eastAsia="Arial" w:hAnsi="Arial"/>
                <w:sz w:val="18"/>
                <w:szCs w:val="18"/>
                <w:color w:val="auto"/>
                <w:w w:val="99"/>
              </w:rPr>
              <w:t>$</w:t>
            </w:r>
          </w:p>
        </w:tc>
        <w:tc>
          <w:tcPr>
            <w:tcW w:w="1460" w:type="dxa"/>
            <w:vAlign w:val="bottom"/>
            <w:tcBorders>
              <w:right w:val="single" w:sz="8" w:color="E5E5E5"/>
            </w:tcBorders>
            <w:shd w:val="clear" w:color="auto" w:fill="DBDBDB"/>
          </w:tcPr>
          <w:p>
            <w:pPr>
              <w:jc w:val="right"/>
              <w:ind w:right="110"/>
              <w:spacing w:after="0"/>
              <w:rPr>
                <w:sz w:val="20"/>
                <w:szCs w:val="20"/>
                <w:color w:val="auto"/>
              </w:rPr>
            </w:pPr>
            <w:r>
              <w:rPr>
                <w:rFonts w:ascii="Arial" w:cs="Arial" w:eastAsia="Arial" w:hAnsi="Arial"/>
                <w:sz w:val="18"/>
                <w:szCs w:val="18"/>
                <w:color w:val="auto"/>
              </w:rPr>
              <w:t>496,021</w:t>
            </w:r>
          </w:p>
        </w:tc>
        <w:tc>
          <w:tcPr>
            <w:tcW w:w="0" w:type="dxa"/>
            <w:vAlign w:val="bottom"/>
          </w:tcPr>
          <w:p>
            <w:pPr>
              <w:spacing w:after="0"/>
              <w:rPr>
                <w:sz w:val="1"/>
                <w:szCs w:val="1"/>
                <w:color w:val="auto"/>
              </w:rPr>
            </w:pPr>
          </w:p>
        </w:tc>
      </w:tr>
      <w:tr>
        <w:trPr>
          <w:trHeight w:val="270"/>
        </w:trPr>
        <w:tc>
          <w:tcPr>
            <w:tcW w:w="3740" w:type="dxa"/>
            <w:vAlign w:val="bottom"/>
            <w:tcBorders>
              <w:left w:val="single" w:sz="8" w:color="E5E5E5"/>
              <w:right w:val="single" w:sz="8" w:color="E5E5E5"/>
            </w:tcBorders>
          </w:tcPr>
          <w:p>
            <w:pPr>
              <w:ind w:left="80"/>
              <w:spacing w:after="0"/>
              <w:rPr>
                <w:sz w:val="20"/>
                <w:szCs w:val="20"/>
                <w:color w:val="auto"/>
              </w:rPr>
            </w:pPr>
            <w:r>
              <w:rPr>
                <w:rFonts w:ascii="Arial" w:cs="Arial" w:eastAsia="Arial" w:hAnsi="Arial"/>
                <w:sz w:val="18"/>
                <w:szCs w:val="18"/>
                <w:color w:val="auto"/>
              </w:rPr>
              <w:t>Bridget Ryan-Berman</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520" w:type="dxa"/>
            <w:vAlign w:val="bottom"/>
            <w:tcBorders>
              <w:right w:val="single" w:sz="8" w:color="E5E5E5"/>
            </w:tcBorders>
          </w:tcPr>
          <w:p>
            <w:pPr>
              <w:jc w:val="right"/>
              <w:ind w:right="110"/>
              <w:spacing w:after="0"/>
              <w:rPr>
                <w:sz w:val="20"/>
                <w:szCs w:val="20"/>
                <w:color w:val="auto"/>
              </w:rPr>
            </w:pPr>
            <w:r>
              <w:rPr>
                <w:rFonts w:ascii="Arial" w:cs="Arial" w:eastAsia="Arial" w:hAnsi="Arial"/>
                <w:sz w:val="18"/>
                <w:szCs w:val="18"/>
                <w:color w:val="auto"/>
              </w:rPr>
              <w:t>106,000</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560" w:type="dxa"/>
            <w:vAlign w:val="bottom"/>
            <w:tcBorders>
              <w:right w:val="single" w:sz="8" w:color="E5E5E5"/>
            </w:tcBorders>
          </w:tcPr>
          <w:p>
            <w:pPr>
              <w:jc w:val="right"/>
              <w:ind w:right="110"/>
              <w:spacing w:after="0"/>
              <w:rPr>
                <w:sz w:val="20"/>
                <w:szCs w:val="20"/>
                <w:color w:val="auto"/>
              </w:rPr>
            </w:pPr>
            <w:r>
              <w:rPr>
                <w:rFonts w:ascii="Arial" w:cs="Arial" w:eastAsia="Arial" w:hAnsi="Arial"/>
                <w:sz w:val="18"/>
                <w:szCs w:val="18"/>
                <w:color w:val="auto"/>
              </w:rPr>
              <w:t>209,950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right w:val="single" w:sz="8" w:color="E5E5E5"/>
            </w:tcBorders>
          </w:tcPr>
          <w:p>
            <w:pPr>
              <w:jc w:val="right"/>
              <w:ind w:right="110"/>
              <w:spacing w:after="0"/>
              <w:rPr>
                <w:sz w:val="20"/>
                <w:szCs w:val="20"/>
                <w:color w:val="auto"/>
              </w:rPr>
            </w:pPr>
            <w:r>
              <w:rPr>
                <w:rFonts w:ascii="Arial" w:cs="Arial" w:eastAsia="Arial" w:hAnsi="Arial"/>
                <w:sz w:val="18"/>
                <w:szCs w:val="18"/>
                <w:color w:val="auto"/>
              </w:rPr>
              <w:t>31,856</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60" w:type="dxa"/>
            <w:vAlign w:val="bottom"/>
            <w:tcBorders>
              <w:right w:val="single" w:sz="8" w:color="E5E5E5"/>
            </w:tcBorders>
          </w:tcPr>
          <w:p>
            <w:pPr>
              <w:jc w:val="right"/>
              <w:ind w:right="110"/>
              <w:spacing w:after="0"/>
              <w:rPr>
                <w:sz w:val="20"/>
                <w:szCs w:val="20"/>
                <w:color w:val="auto"/>
              </w:rPr>
            </w:pPr>
            <w:r>
              <w:rPr>
                <w:rFonts w:ascii="Arial" w:cs="Arial" w:eastAsia="Arial" w:hAnsi="Arial"/>
                <w:sz w:val="18"/>
                <w:szCs w:val="18"/>
                <w:color w:val="auto"/>
              </w:rPr>
              <w:t>347,806</w:t>
            </w:r>
          </w:p>
        </w:tc>
        <w:tc>
          <w:tcPr>
            <w:tcW w:w="0" w:type="dxa"/>
            <w:vAlign w:val="bottom"/>
          </w:tcPr>
          <w:p>
            <w:pPr>
              <w:spacing w:after="0"/>
              <w:rPr>
                <w:sz w:val="1"/>
                <w:szCs w:val="1"/>
                <w:color w:val="auto"/>
              </w:rPr>
            </w:pPr>
          </w:p>
        </w:tc>
      </w:tr>
      <w:tr>
        <w:trPr>
          <w:trHeight w:val="257"/>
        </w:trPr>
        <w:tc>
          <w:tcPr>
            <w:tcW w:w="3740" w:type="dxa"/>
            <w:vAlign w:val="bottom"/>
            <w:tcBorders>
              <w:left w:val="single" w:sz="8" w:color="E5E5E5"/>
              <w:right w:val="single" w:sz="8" w:color="E5E5E5"/>
            </w:tcBorders>
            <w:shd w:val="clear" w:color="auto" w:fill="DBDBDB"/>
          </w:tcPr>
          <w:p>
            <w:pPr>
              <w:ind w:left="80"/>
              <w:spacing w:after="0"/>
              <w:rPr>
                <w:sz w:val="20"/>
                <w:szCs w:val="20"/>
                <w:color w:val="auto"/>
              </w:rPr>
            </w:pPr>
            <w:r>
              <w:rPr>
                <w:rFonts w:ascii="Arial" w:cs="Arial" w:eastAsia="Arial" w:hAnsi="Arial"/>
                <w:sz w:val="18"/>
                <w:szCs w:val="18"/>
                <w:color w:val="auto"/>
              </w:rPr>
              <w:t>Hilliard C. Terry, III</w:t>
            </w: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520" w:type="dxa"/>
            <w:vAlign w:val="bottom"/>
            <w:tcBorders>
              <w:right w:val="single" w:sz="8" w:color="E5E5E5"/>
            </w:tcBorders>
            <w:shd w:val="clear" w:color="auto" w:fill="DBDBDB"/>
          </w:tcPr>
          <w:p>
            <w:pPr>
              <w:jc w:val="right"/>
              <w:ind w:right="110"/>
              <w:spacing w:after="0"/>
              <w:rPr>
                <w:sz w:val="20"/>
                <w:szCs w:val="20"/>
                <w:color w:val="auto"/>
              </w:rPr>
            </w:pPr>
            <w:r>
              <w:rPr>
                <w:rFonts w:ascii="Arial" w:cs="Arial" w:eastAsia="Arial" w:hAnsi="Arial"/>
                <w:sz w:val="18"/>
                <w:szCs w:val="18"/>
                <w:color w:val="auto"/>
              </w:rPr>
              <w:t>89,000</w:t>
            </w:r>
          </w:p>
        </w:tc>
        <w:tc>
          <w:tcPr>
            <w:tcW w:w="32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w w:val="79"/>
              </w:rPr>
              <w:t>$</w:t>
            </w:r>
          </w:p>
        </w:tc>
        <w:tc>
          <w:tcPr>
            <w:tcW w:w="1560" w:type="dxa"/>
            <w:vAlign w:val="bottom"/>
            <w:tcBorders>
              <w:right w:val="single" w:sz="8" w:color="E5E5E5"/>
            </w:tcBorders>
            <w:shd w:val="clear" w:color="auto" w:fill="DBDBDB"/>
          </w:tcPr>
          <w:p>
            <w:pPr>
              <w:jc w:val="right"/>
              <w:ind w:right="110"/>
              <w:spacing w:after="0"/>
              <w:rPr>
                <w:sz w:val="20"/>
                <w:szCs w:val="20"/>
                <w:color w:val="auto"/>
              </w:rPr>
            </w:pPr>
            <w:r>
              <w:rPr>
                <w:rFonts w:ascii="Arial" w:cs="Arial" w:eastAsia="Arial" w:hAnsi="Arial"/>
                <w:sz w:val="18"/>
                <w:szCs w:val="18"/>
                <w:color w:val="auto"/>
              </w:rPr>
              <w:t>209,950</w:t>
            </w:r>
          </w:p>
        </w:tc>
        <w:tc>
          <w:tcPr>
            <w:tcW w:w="160" w:type="dxa"/>
            <w:vAlign w:val="bottom"/>
            <w:shd w:val="clear" w:color="auto" w:fill="DBDBDB"/>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right w:val="single" w:sz="8" w:color="E5E5E5"/>
            </w:tcBorders>
            <w:shd w:val="clear" w:color="auto" w:fill="DBDBDB"/>
          </w:tcPr>
          <w:p>
            <w:pPr>
              <w:jc w:val="right"/>
              <w:ind w:right="110"/>
              <w:spacing w:after="0"/>
              <w:rPr>
                <w:sz w:val="20"/>
                <w:szCs w:val="20"/>
                <w:color w:val="auto"/>
              </w:rPr>
            </w:pPr>
            <w:r>
              <w:rPr>
                <w:rFonts w:ascii="Arial" w:cs="Arial" w:eastAsia="Arial" w:hAnsi="Arial"/>
                <w:sz w:val="18"/>
                <w:szCs w:val="18"/>
                <w:color w:val="auto"/>
              </w:rPr>
              <w:t>34,141</w:t>
            </w:r>
          </w:p>
        </w:tc>
        <w:tc>
          <w:tcPr>
            <w:tcW w:w="420" w:type="dxa"/>
            <w:vAlign w:val="bottom"/>
            <w:shd w:val="clear" w:color="auto" w:fill="DBDBDB"/>
          </w:tcPr>
          <w:p>
            <w:pPr>
              <w:jc w:val="right"/>
              <w:ind w:right="210"/>
              <w:spacing w:after="0"/>
              <w:rPr>
                <w:sz w:val="20"/>
                <w:szCs w:val="20"/>
                <w:color w:val="auto"/>
              </w:rPr>
            </w:pPr>
            <w:r>
              <w:rPr>
                <w:rFonts w:ascii="Arial" w:cs="Arial" w:eastAsia="Arial" w:hAnsi="Arial"/>
                <w:sz w:val="18"/>
                <w:szCs w:val="18"/>
                <w:color w:val="auto"/>
                <w:w w:val="99"/>
              </w:rPr>
              <w:t>$</w:t>
            </w:r>
          </w:p>
        </w:tc>
        <w:tc>
          <w:tcPr>
            <w:tcW w:w="1460" w:type="dxa"/>
            <w:vAlign w:val="bottom"/>
            <w:tcBorders>
              <w:right w:val="single" w:sz="8" w:color="E5E5E5"/>
            </w:tcBorders>
            <w:shd w:val="clear" w:color="auto" w:fill="DBDBDB"/>
          </w:tcPr>
          <w:p>
            <w:pPr>
              <w:jc w:val="right"/>
              <w:ind w:right="110"/>
              <w:spacing w:after="0"/>
              <w:rPr>
                <w:sz w:val="20"/>
                <w:szCs w:val="20"/>
                <w:color w:val="auto"/>
              </w:rPr>
            </w:pPr>
            <w:r>
              <w:rPr>
                <w:rFonts w:ascii="Arial" w:cs="Arial" w:eastAsia="Arial" w:hAnsi="Arial"/>
                <w:sz w:val="18"/>
                <w:szCs w:val="18"/>
                <w:color w:val="auto"/>
              </w:rPr>
              <w:t>333,091</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340" w:right="160" w:hanging="332"/>
        <w:spacing w:after="0" w:line="265" w:lineRule="auto"/>
        <w:tabs>
          <w:tab w:leader="none" w:pos="335"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amount in this column for each director represents the grant date fair value of 968 shares of common stock granted to each non-management director on February 20, 2024. Amounts were calculated in accordance with Financial Accounting Standards Board (“FASB”) Accounting Standards Codification (“ASC”) Topic 718. For a more detailed discussion of the assumptions used to determine the valuation of the stock awards set forth in this column please see a discussion of such valuation in Note 22 of the Consolidated Financial Statements in our Annual Report on Form 10-K for the year ended December 31, 2024 filed with the SEC on February 26, 2025.</w:t>
      </w:r>
    </w:p>
    <w:p>
      <w:pPr>
        <w:spacing w:after="0" w:line="10" w:lineRule="exact"/>
        <w:rPr>
          <w:rFonts w:ascii="Arial" w:cs="Arial" w:eastAsia="Arial" w:hAnsi="Arial"/>
          <w:sz w:val="16"/>
          <w:szCs w:val="16"/>
          <w:color w:val="auto"/>
        </w:rPr>
      </w:pPr>
    </w:p>
    <w:p>
      <w:pPr>
        <w:ind w:left="340" w:right="40" w:hanging="332"/>
        <w:spacing w:after="0" w:line="290" w:lineRule="auto"/>
        <w:tabs>
          <w:tab w:leader="none" w:pos="335"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Represents the estimated incremental cost to the Company for the use of a vehicle. The estimated incremental cost is based on rules established by the Internal Revenue Service. The amounts in this column also include the cost of repairs and maintenance for the vehicle.</w:t>
      </w:r>
    </w:p>
    <w:p>
      <w:pPr>
        <w:ind w:left="320" w:hanging="312"/>
        <w:spacing w:after="0"/>
        <w:tabs>
          <w:tab w:leader="none" w:pos="3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Ms. Naidoo was appointed to the Board effective January 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EXECUTIVE OFFICERS</w:t>
      </w:r>
    </w:p>
    <w:p>
      <w:pPr>
        <w:spacing w:after="0" w:line="104"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Set forth below is information regarding the Company’s executive officers. All of our executive officers are elected by and serve at the discretion of the Board.</w:t>
      </w:r>
    </w:p>
    <w:tbl>
      <w:tblPr>
        <w:tblLayout w:type="fixed"/>
        <w:tblInd w:w="10" w:type="dxa"/>
        <w:tblCellMar>
          <w:top w:w="0" w:type="dxa"/>
          <w:left w:w="0" w:type="dxa"/>
          <w:bottom w:w="0" w:type="dxa"/>
          <w:right w:w="0" w:type="dxa"/>
        </w:tblCellMar>
      </w:tblPr>
      <w:tr>
        <w:trPr>
          <w:trHeight w:val="270"/>
        </w:trPr>
        <w:tc>
          <w:tcPr>
            <w:tcW w:w="2240" w:type="dxa"/>
            <w:vAlign w:val="bottom"/>
            <w:tcBorders>
              <w:left w:val="single" w:sz="8" w:color="E5E5E5"/>
              <w:bottom w:val="single" w:sz="8" w:color="D91E18"/>
              <w:right w:val="single" w:sz="8" w:color="E5E5E5"/>
            </w:tcBorders>
            <w:shd w:val="clear" w:color="auto" w:fill="D91E18"/>
          </w:tcPr>
          <w:p>
            <w:pPr>
              <w:ind w:left="80"/>
              <w:spacing w:after="0"/>
              <w:rPr>
                <w:sz w:val="20"/>
                <w:szCs w:val="20"/>
                <w:color w:val="auto"/>
              </w:rPr>
            </w:pPr>
            <w:r>
              <w:rPr>
                <w:rFonts w:ascii="Arial" w:cs="Arial" w:eastAsia="Arial" w:hAnsi="Arial"/>
                <w:sz w:val="18"/>
                <w:szCs w:val="18"/>
                <w:b w:val="1"/>
                <w:bCs w:val="1"/>
                <w:color w:val="FFFFFF"/>
              </w:rPr>
              <w:t>Name</w:t>
            </w:r>
          </w:p>
        </w:tc>
        <w:tc>
          <w:tcPr>
            <w:tcW w:w="680" w:type="dxa"/>
            <w:vAlign w:val="bottom"/>
            <w:tcBorders>
              <w:bottom w:val="single" w:sz="8" w:color="D91E18"/>
              <w:right w:val="single" w:sz="8" w:color="E5E5E5"/>
            </w:tcBorders>
            <w:shd w:val="clear" w:color="auto" w:fill="D91E18"/>
          </w:tcPr>
          <w:p>
            <w:pPr>
              <w:jc w:val="center"/>
              <w:spacing w:after="0"/>
              <w:rPr>
                <w:sz w:val="20"/>
                <w:szCs w:val="20"/>
                <w:color w:val="auto"/>
              </w:rPr>
            </w:pPr>
            <w:r>
              <w:rPr>
                <w:rFonts w:ascii="Arial" w:cs="Arial" w:eastAsia="Arial" w:hAnsi="Arial"/>
                <w:sz w:val="18"/>
                <w:szCs w:val="18"/>
                <w:b w:val="1"/>
                <w:bCs w:val="1"/>
                <w:color w:val="FFFFFF"/>
                <w:w w:val="99"/>
              </w:rPr>
              <w:t>Age</w:t>
            </w:r>
          </w:p>
        </w:tc>
        <w:tc>
          <w:tcPr>
            <w:tcW w:w="8340" w:type="dxa"/>
            <w:vAlign w:val="bottom"/>
            <w:tcBorders>
              <w:bottom w:val="single" w:sz="8" w:color="D91E18"/>
              <w:right w:val="single" w:sz="8" w:color="E5E5E5"/>
            </w:tcBorders>
            <w:shd w:val="clear" w:color="auto" w:fill="D91E18"/>
          </w:tcPr>
          <w:p>
            <w:pPr>
              <w:ind w:left="40"/>
              <w:spacing w:after="0"/>
              <w:rPr>
                <w:sz w:val="20"/>
                <w:szCs w:val="20"/>
                <w:color w:val="auto"/>
              </w:rPr>
            </w:pPr>
            <w:r>
              <w:rPr>
                <w:rFonts w:ascii="Arial" w:cs="Arial" w:eastAsia="Arial" w:hAnsi="Arial"/>
                <w:sz w:val="18"/>
                <w:szCs w:val="18"/>
                <w:b w:val="1"/>
                <w:bCs w:val="1"/>
                <w:color w:val="FFFFFF"/>
              </w:rPr>
              <w:t>Position</w:t>
            </w:r>
          </w:p>
        </w:tc>
      </w:tr>
      <w:tr>
        <w:trPr>
          <w:trHeight w:val="270"/>
        </w:trPr>
        <w:tc>
          <w:tcPr>
            <w:tcW w:w="2240" w:type="dxa"/>
            <w:vAlign w:val="bottom"/>
            <w:tcBorders>
              <w:left w:val="single" w:sz="8" w:color="E5E5E5"/>
              <w:bottom w:val="single" w:sz="8" w:color="DBDBDB"/>
              <w:right w:val="single" w:sz="8" w:color="E5E5E5"/>
            </w:tcBorders>
            <w:shd w:val="clear" w:color="auto" w:fill="DBDBDB"/>
          </w:tcPr>
          <w:p>
            <w:pPr>
              <w:ind w:left="80"/>
              <w:spacing w:after="0"/>
              <w:rPr>
                <w:sz w:val="20"/>
                <w:szCs w:val="20"/>
                <w:color w:val="auto"/>
              </w:rPr>
            </w:pPr>
            <w:r>
              <w:rPr>
                <w:rFonts w:ascii="Arial" w:cs="Arial" w:eastAsia="Arial" w:hAnsi="Arial"/>
                <w:sz w:val="18"/>
                <w:szCs w:val="18"/>
                <w:color w:val="auto"/>
              </w:rPr>
              <w:t>David W. Hult</w:t>
            </w:r>
          </w:p>
        </w:tc>
        <w:tc>
          <w:tcPr>
            <w:tcW w:w="680" w:type="dxa"/>
            <w:vAlign w:val="bottom"/>
            <w:tcBorders>
              <w:bottom w:val="single" w:sz="8" w:color="DBDBDB"/>
              <w:right w:val="single" w:sz="8" w:color="E5E5E5"/>
            </w:tcBorders>
            <w:shd w:val="clear" w:color="auto" w:fill="DBDBDB"/>
          </w:tcPr>
          <w:p>
            <w:pPr>
              <w:jc w:val="center"/>
              <w:spacing w:after="0"/>
              <w:rPr>
                <w:sz w:val="20"/>
                <w:szCs w:val="20"/>
                <w:color w:val="auto"/>
              </w:rPr>
            </w:pPr>
            <w:r>
              <w:rPr>
                <w:rFonts w:ascii="Arial" w:cs="Arial" w:eastAsia="Arial" w:hAnsi="Arial"/>
                <w:sz w:val="18"/>
                <w:szCs w:val="18"/>
                <w:color w:val="auto"/>
                <w:w w:val="99"/>
              </w:rPr>
              <w:t>59</w:t>
            </w:r>
          </w:p>
        </w:tc>
        <w:tc>
          <w:tcPr>
            <w:tcW w:w="8340" w:type="dxa"/>
            <w:vAlign w:val="bottom"/>
            <w:tcBorders>
              <w:bottom w:val="single" w:sz="8" w:color="DBDBDB"/>
              <w:right w:val="single" w:sz="8" w:color="E5E5E5"/>
            </w:tcBorders>
            <w:shd w:val="clear" w:color="auto" w:fill="DBDBDB"/>
          </w:tcPr>
          <w:p>
            <w:pPr>
              <w:ind w:left="40"/>
              <w:spacing w:after="0"/>
              <w:rPr>
                <w:sz w:val="20"/>
                <w:szCs w:val="20"/>
                <w:color w:val="auto"/>
              </w:rPr>
            </w:pPr>
            <w:r>
              <w:rPr>
                <w:rFonts w:ascii="Arial" w:cs="Arial" w:eastAsia="Arial" w:hAnsi="Arial"/>
                <w:sz w:val="18"/>
                <w:szCs w:val="18"/>
                <w:color w:val="auto"/>
              </w:rPr>
              <w:t>President &amp; Chief Executive Officer</w:t>
            </w:r>
          </w:p>
        </w:tc>
      </w:tr>
      <w:tr>
        <w:trPr>
          <w:trHeight w:val="230"/>
        </w:trPr>
        <w:tc>
          <w:tcPr>
            <w:tcW w:w="2240" w:type="dxa"/>
            <w:vAlign w:val="bottom"/>
            <w:tcBorders>
              <w:left w:val="single" w:sz="8" w:color="E5E5E5"/>
              <w:right w:val="single" w:sz="8" w:color="E5E5E5"/>
            </w:tcBorders>
          </w:tcPr>
          <w:p>
            <w:pPr>
              <w:ind w:left="80"/>
              <w:spacing w:after="0"/>
              <w:rPr>
                <w:sz w:val="20"/>
                <w:szCs w:val="20"/>
                <w:color w:val="auto"/>
              </w:rPr>
            </w:pPr>
            <w:r>
              <w:rPr>
                <w:rFonts w:ascii="Arial" w:cs="Arial" w:eastAsia="Arial" w:hAnsi="Arial"/>
                <w:sz w:val="18"/>
                <w:szCs w:val="18"/>
                <w:color w:val="auto"/>
              </w:rPr>
              <w:t>Michael Welch</w:t>
            </w:r>
          </w:p>
        </w:tc>
        <w:tc>
          <w:tcPr>
            <w:tcW w:w="680" w:type="dxa"/>
            <w:vAlign w:val="bottom"/>
            <w:tcBorders>
              <w:right w:val="single" w:sz="8" w:color="E5E5E5"/>
            </w:tcBorders>
          </w:tcPr>
          <w:p>
            <w:pPr>
              <w:jc w:val="center"/>
              <w:spacing w:after="0"/>
              <w:rPr>
                <w:sz w:val="20"/>
                <w:szCs w:val="20"/>
                <w:color w:val="auto"/>
              </w:rPr>
            </w:pPr>
            <w:r>
              <w:rPr>
                <w:rFonts w:ascii="Arial" w:cs="Arial" w:eastAsia="Arial" w:hAnsi="Arial"/>
                <w:sz w:val="18"/>
                <w:szCs w:val="18"/>
                <w:color w:val="auto"/>
                <w:w w:val="99"/>
              </w:rPr>
              <w:t>50</w:t>
            </w:r>
          </w:p>
        </w:tc>
        <w:tc>
          <w:tcPr>
            <w:tcW w:w="8340" w:type="dxa"/>
            <w:vAlign w:val="bottom"/>
            <w:tcBorders>
              <w:right w:val="single" w:sz="8" w:color="E5E5E5"/>
            </w:tcBorders>
          </w:tcPr>
          <w:p>
            <w:pPr>
              <w:ind w:left="40"/>
              <w:spacing w:after="0"/>
              <w:rPr>
                <w:sz w:val="20"/>
                <w:szCs w:val="20"/>
                <w:color w:val="auto"/>
              </w:rPr>
            </w:pPr>
            <w:r>
              <w:rPr>
                <w:rFonts w:ascii="Arial" w:cs="Arial" w:eastAsia="Arial" w:hAnsi="Arial"/>
                <w:sz w:val="18"/>
                <w:szCs w:val="18"/>
                <w:color w:val="auto"/>
              </w:rPr>
              <w:t>Senior Vice President &amp; Chief Financial Officer</w:t>
            </w:r>
          </w:p>
        </w:tc>
      </w:tr>
      <w:tr>
        <w:trPr>
          <w:trHeight w:val="277"/>
        </w:trPr>
        <w:tc>
          <w:tcPr>
            <w:tcW w:w="2240" w:type="dxa"/>
            <w:vAlign w:val="bottom"/>
            <w:tcBorders>
              <w:left w:val="single" w:sz="8" w:color="E5E5E5"/>
              <w:bottom w:val="single" w:sz="8" w:color="DBDBDB"/>
              <w:right w:val="single" w:sz="8" w:color="E5E5E5"/>
            </w:tcBorders>
            <w:shd w:val="clear" w:color="auto" w:fill="DBDBDB"/>
          </w:tcPr>
          <w:p>
            <w:pPr>
              <w:ind w:left="80"/>
              <w:spacing w:after="0"/>
              <w:rPr>
                <w:sz w:val="20"/>
                <w:szCs w:val="20"/>
                <w:color w:val="auto"/>
              </w:rPr>
            </w:pPr>
            <w:r>
              <w:rPr>
                <w:rFonts w:ascii="Arial" w:cs="Arial" w:eastAsia="Arial" w:hAnsi="Arial"/>
                <w:sz w:val="18"/>
                <w:szCs w:val="18"/>
                <w:color w:val="auto"/>
              </w:rPr>
              <w:t>Daniel Clara</w:t>
            </w:r>
          </w:p>
        </w:tc>
        <w:tc>
          <w:tcPr>
            <w:tcW w:w="680" w:type="dxa"/>
            <w:vAlign w:val="bottom"/>
            <w:tcBorders>
              <w:bottom w:val="single" w:sz="8" w:color="DBDBDB"/>
              <w:right w:val="single" w:sz="8" w:color="E5E5E5"/>
            </w:tcBorders>
            <w:shd w:val="clear" w:color="auto" w:fill="DBDBDB"/>
          </w:tcPr>
          <w:p>
            <w:pPr>
              <w:jc w:val="center"/>
              <w:spacing w:after="0"/>
              <w:rPr>
                <w:sz w:val="20"/>
                <w:szCs w:val="20"/>
                <w:color w:val="auto"/>
              </w:rPr>
            </w:pPr>
            <w:r>
              <w:rPr>
                <w:rFonts w:ascii="Arial" w:cs="Arial" w:eastAsia="Arial" w:hAnsi="Arial"/>
                <w:sz w:val="18"/>
                <w:szCs w:val="18"/>
                <w:color w:val="auto"/>
                <w:w w:val="99"/>
              </w:rPr>
              <w:t>45</w:t>
            </w:r>
          </w:p>
        </w:tc>
        <w:tc>
          <w:tcPr>
            <w:tcW w:w="8340" w:type="dxa"/>
            <w:vAlign w:val="bottom"/>
            <w:tcBorders>
              <w:bottom w:val="single" w:sz="8" w:color="DBDBDB"/>
              <w:right w:val="single" w:sz="8" w:color="E5E5E5"/>
            </w:tcBorders>
            <w:shd w:val="clear" w:color="auto" w:fill="DBDBDB"/>
          </w:tcPr>
          <w:p>
            <w:pPr>
              <w:ind w:left="40"/>
              <w:spacing w:after="0"/>
              <w:rPr>
                <w:sz w:val="20"/>
                <w:szCs w:val="20"/>
                <w:color w:val="auto"/>
              </w:rPr>
            </w:pPr>
            <w:r>
              <w:rPr>
                <w:rFonts w:ascii="Arial" w:cs="Arial" w:eastAsia="Arial" w:hAnsi="Arial"/>
                <w:sz w:val="18"/>
                <w:szCs w:val="18"/>
                <w:color w:val="auto"/>
              </w:rPr>
              <w:t>Chief Operating Officer</w:t>
            </w:r>
          </w:p>
        </w:tc>
      </w:tr>
      <w:tr>
        <w:trPr>
          <w:trHeight w:val="247"/>
        </w:trPr>
        <w:tc>
          <w:tcPr>
            <w:tcW w:w="2240" w:type="dxa"/>
            <w:vAlign w:val="bottom"/>
            <w:tcBorders>
              <w:left w:val="single" w:sz="8" w:color="E5E5E5"/>
              <w:right w:val="single" w:sz="8" w:color="E5E5E5"/>
            </w:tcBorders>
          </w:tcPr>
          <w:p>
            <w:pPr>
              <w:ind w:left="80"/>
              <w:spacing w:after="0"/>
              <w:rPr>
                <w:sz w:val="20"/>
                <w:szCs w:val="20"/>
                <w:color w:val="auto"/>
              </w:rPr>
            </w:pPr>
            <w:r>
              <w:rPr>
                <w:rFonts w:ascii="Arial" w:cs="Arial" w:eastAsia="Arial" w:hAnsi="Arial"/>
                <w:sz w:val="18"/>
                <w:szCs w:val="18"/>
                <w:color w:val="auto"/>
              </w:rPr>
              <w:t>Dean Calloway</w:t>
            </w:r>
          </w:p>
        </w:tc>
        <w:tc>
          <w:tcPr>
            <w:tcW w:w="680" w:type="dxa"/>
            <w:vAlign w:val="bottom"/>
            <w:tcBorders>
              <w:right w:val="single" w:sz="8" w:color="E5E5E5"/>
            </w:tcBorders>
          </w:tcPr>
          <w:p>
            <w:pPr>
              <w:jc w:val="center"/>
              <w:spacing w:after="0"/>
              <w:rPr>
                <w:sz w:val="20"/>
                <w:szCs w:val="20"/>
                <w:color w:val="auto"/>
              </w:rPr>
            </w:pPr>
            <w:r>
              <w:rPr>
                <w:rFonts w:ascii="Arial" w:cs="Arial" w:eastAsia="Arial" w:hAnsi="Arial"/>
                <w:sz w:val="18"/>
                <w:szCs w:val="18"/>
                <w:color w:val="auto"/>
                <w:w w:val="99"/>
              </w:rPr>
              <w:t>57</w:t>
            </w:r>
          </w:p>
        </w:tc>
        <w:tc>
          <w:tcPr>
            <w:tcW w:w="8340" w:type="dxa"/>
            <w:vAlign w:val="bottom"/>
            <w:tcBorders>
              <w:right w:val="single" w:sz="8" w:color="E5E5E5"/>
            </w:tcBorders>
          </w:tcPr>
          <w:p>
            <w:pPr>
              <w:ind w:left="40"/>
              <w:spacing w:after="0"/>
              <w:rPr>
                <w:sz w:val="20"/>
                <w:szCs w:val="20"/>
                <w:color w:val="auto"/>
              </w:rPr>
            </w:pPr>
            <w:r>
              <w:rPr>
                <w:rFonts w:ascii="Arial" w:cs="Arial" w:eastAsia="Arial" w:hAnsi="Arial"/>
                <w:sz w:val="18"/>
                <w:szCs w:val="18"/>
                <w:color w:val="auto"/>
              </w:rPr>
              <w:t>Senior Vice President, General Counsel &amp; Secretary</w:t>
            </w:r>
          </w:p>
        </w:tc>
      </w:tr>
      <w:tr>
        <w:trPr>
          <w:trHeight w:val="23"/>
        </w:trPr>
        <w:tc>
          <w:tcPr>
            <w:tcW w:w="2240" w:type="dxa"/>
            <w:vAlign w:val="bottom"/>
            <w:tcBorders>
              <w:left w:val="single" w:sz="8" w:color="E5E5E5"/>
              <w:right w:val="single" w:sz="8" w:color="E5E5E5"/>
            </w:tcBorders>
          </w:tcPr>
          <w:p>
            <w:pPr>
              <w:spacing w:after="0"/>
              <w:rPr>
                <w:sz w:val="2"/>
                <w:szCs w:val="2"/>
                <w:color w:val="auto"/>
              </w:rPr>
            </w:pPr>
          </w:p>
        </w:tc>
        <w:tc>
          <w:tcPr>
            <w:tcW w:w="680" w:type="dxa"/>
            <w:vAlign w:val="bottom"/>
            <w:tcBorders>
              <w:right w:val="single" w:sz="8" w:color="E5E5E5"/>
            </w:tcBorders>
          </w:tcPr>
          <w:p>
            <w:pPr>
              <w:spacing w:after="0"/>
              <w:rPr>
                <w:sz w:val="2"/>
                <w:szCs w:val="2"/>
                <w:color w:val="auto"/>
              </w:rPr>
            </w:pPr>
          </w:p>
        </w:tc>
        <w:tc>
          <w:tcPr>
            <w:tcW w:w="8340" w:type="dxa"/>
            <w:vAlign w:val="bottom"/>
            <w:tcBorders>
              <w:right w:val="single" w:sz="8" w:color="E5E5E5"/>
            </w:tcBorders>
          </w:tcPr>
          <w:p>
            <w:pPr>
              <w:spacing w:after="0"/>
              <w:rPr>
                <w:sz w:val="2"/>
                <w:szCs w:val="2"/>
                <w:color w:val="auto"/>
              </w:rPr>
            </w:pPr>
          </w:p>
        </w:tc>
      </w:tr>
      <w:tr>
        <w:trPr>
          <w:trHeight w:val="261"/>
        </w:trPr>
        <w:tc>
          <w:tcPr>
            <w:tcW w:w="2240" w:type="dxa"/>
            <w:vAlign w:val="bottom"/>
            <w:tcBorders>
              <w:left w:val="single" w:sz="8" w:color="E5E5E5"/>
              <w:right w:val="single" w:sz="8" w:color="E5E5E5"/>
            </w:tcBorders>
            <w:shd w:val="clear" w:color="auto" w:fill="DBDBDB"/>
          </w:tcPr>
          <w:p>
            <w:pPr>
              <w:ind w:left="80"/>
              <w:spacing w:after="0"/>
              <w:rPr>
                <w:sz w:val="20"/>
                <w:szCs w:val="20"/>
                <w:color w:val="auto"/>
              </w:rPr>
            </w:pPr>
            <w:r>
              <w:rPr>
                <w:rFonts w:ascii="Arial" w:cs="Arial" w:eastAsia="Arial" w:hAnsi="Arial"/>
                <w:sz w:val="18"/>
                <w:szCs w:val="18"/>
                <w:color w:val="auto"/>
              </w:rPr>
              <w:t>Jed M. Milstein</w:t>
            </w:r>
          </w:p>
        </w:tc>
        <w:tc>
          <w:tcPr>
            <w:tcW w:w="680" w:type="dxa"/>
            <w:vAlign w:val="bottom"/>
            <w:tcBorders>
              <w:right w:val="single" w:sz="8" w:color="E5E5E5"/>
            </w:tcBorders>
            <w:shd w:val="clear" w:color="auto" w:fill="DBDBDB"/>
          </w:tcPr>
          <w:p>
            <w:pPr>
              <w:jc w:val="center"/>
              <w:spacing w:after="0"/>
              <w:rPr>
                <w:sz w:val="20"/>
                <w:szCs w:val="20"/>
                <w:color w:val="auto"/>
              </w:rPr>
            </w:pPr>
            <w:r>
              <w:rPr>
                <w:rFonts w:ascii="Arial" w:cs="Arial" w:eastAsia="Arial" w:hAnsi="Arial"/>
                <w:sz w:val="18"/>
                <w:szCs w:val="18"/>
                <w:color w:val="auto"/>
                <w:w w:val="99"/>
              </w:rPr>
              <w:t>56</w:t>
            </w:r>
          </w:p>
        </w:tc>
        <w:tc>
          <w:tcPr>
            <w:tcW w:w="8340" w:type="dxa"/>
            <w:vAlign w:val="bottom"/>
            <w:tcBorders>
              <w:right w:val="single" w:sz="8" w:color="E5E5E5"/>
            </w:tcBorders>
            <w:shd w:val="clear" w:color="auto" w:fill="DBDBDB"/>
          </w:tcPr>
          <w:p>
            <w:pPr>
              <w:ind w:left="40"/>
              <w:spacing w:after="0"/>
              <w:rPr>
                <w:sz w:val="20"/>
                <w:szCs w:val="20"/>
                <w:color w:val="auto"/>
              </w:rPr>
            </w:pPr>
            <w:r>
              <w:rPr>
                <w:rFonts w:ascii="Arial" w:cs="Arial" w:eastAsia="Arial" w:hAnsi="Arial"/>
                <w:sz w:val="18"/>
                <w:szCs w:val="18"/>
                <w:color w:val="auto"/>
              </w:rPr>
              <w:t>Senior Vice President &amp; Chief Human Resources Officer</w:t>
            </w:r>
          </w:p>
        </w:tc>
      </w:tr>
      <w:tr>
        <w:trPr>
          <w:trHeight w:val="36"/>
        </w:trPr>
        <w:tc>
          <w:tcPr>
            <w:tcW w:w="2240" w:type="dxa"/>
            <w:vAlign w:val="bottom"/>
            <w:tcBorders>
              <w:left w:val="single" w:sz="8" w:color="E5E5E5"/>
              <w:right w:val="single" w:sz="8" w:color="E5E5E5"/>
            </w:tcBorders>
            <w:shd w:val="clear" w:color="auto" w:fill="DBDBDB"/>
          </w:tcPr>
          <w:p>
            <w:pPr>
              <w:spacing w:after="0"/>
              <w:rPr>
                <w:sz w:val="3"/>
                <w:szCs w:val="3"/>
                <w:color w:val="auto"/>
              </w:rPr>
            </w:pPr>
          </w:p>
        </w:tc>
        <w:tc>
          <w:tcPr>
            <w:tcW w:w="680" w:type="dxa"/>
            <w:vAlign w:val="bottom"/>
            <w:tcBorders>
              <w:right w:val="single" w:sz="8" w:color="E5E5E5"/>
            </w:tcBorders>
            <w:shd w:val="clear" w:color="auto" w:fill="DBDBDB"/>
          </w:tcPr>
          <w:p>
            <w:pPr>
              <w:spacing w:after="0"/>
              <w:rPr>
                <w:sz w:val="3"/>
                <w:szCs w:val="3"/>
                <w:color w:val="auto"/>
              </w:rPr>
            </w:pPr>
          </w:p>
        </w:tc>
        <w:tc>
          <w:tcPr>
            <w:tcW w:w="8340" w:type="dxa"/>
            <w:vAlign w:val="bottom"/>
            <w:tcBorders>
              <w:right w:val="single" w:sz="8" w:color="E5E5E5"/>
            </w:tcBorders>
            <w:shd w:val="clear" w:color="auto" w:fill="DBDBDB"/>
          </w:tcPr>
          <w:p>
            <w:pPr>
              <w:spacing w:after="0"/>
              <w:rPr>
                <w:sz w:val="3"/>
                <w:szCs w:val="3"/>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Set forth below is a brief description of the business experience of the Company’s executive officers.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David W. Hult </w:t>
      </w:r>
      <w:r>
        <w:rPr>
          <w:rFonts w:ascii="Arial" w:cs="Arial" w:eastAsia="Arial" w:hAnsi="Arial"/>
          <w:sz w:val="18"/>
          <w:szCs w:val="18"/>
          <w:color w:val="auto"/>
        </w:rPr>
        <w:t>Please see Mr. Hult’s biographical information under “Nominees for Election as Directors” above.</w:t>
      </w:r>
    </w:p>
    <w:p>
      <w:pPr>
        <w:spacing w:after="0" w:line="117" w:lineRule="exact"/>
        <w:rPr>
          <w:sz w:val="20"/>
          <w:szCs w:val="20"/>
          <w:color w:val="auto"/>
        </w:rPr>
      </w:pPr>
    </w:p>
    <w:p>
      <w:pPr>
        <w:ind w:right="80"/>
        <w:spacing w:after="0" w:line="278" w:lineRule="auto"/>
        <w:rPr>
          <w:sz w:val="20"/>
          <w:szCs w:val="20"/>
          <w:color w:val="auto"/>
        </w:rPr>
      </w:pPr>
      <w:r>
        <w:rPr>
          <w:rFonts w:ascii="Arial" w:cs="Arial" w:eastAsia="Arial" w:hAnsi="Arial"/>
          <w:sz w:val="17"/>
          <w:szCs w:val="17"/>
          <w:b w:val="1"/>
          <w:bCs w:val="1"/>
          <w:color w:val="auto"/>
        </w:rPr>
        <w:t xml:space="preserve">Michael Welch </w:t>
      </w:r>
      <w:r>
        <w:rPr>
          <w:rFonts w:ascii="Arial" w:cs="Arial" w:eastAsia="Arial" w:hAnsi="Arial"/>
          <w:sz w:val="17"/>
          <w:szCs w:val="17"/>
          <w:i w:val="1"/>
          <w:iCs w:val="1"/>
          <w:color w:val="auto"/>
        </w:rPr>
        <w:t>(age</w:t>
      </w:r>
      <w:r>
        <w:rPr>
          <w:rFonts w:ascii="Arial" w:cs="Arial" w:eastAsia="Arial" w:hAnsi="Arial"/>
          <w:sz w:val="17"/>
          <w:szCs w:val="17"/>
          <w:b w:val="1"/>
          <w:bCs w:val="1"/>
          <w:color w:val="auto"/>
        </w:rPr>
        <w:t xml:space="preserve"> </w:t>
      </w:r>
      <w:r>
        <w:rPr>
          <w:rFonts w:ascii="Arial" w:cs="Arial" w:eastAsia="Arial" w:hAnsi="Arial"/>
          <w:sz w:val="17"/>
          <w:szCs w:val="17"/>
          <w:color w:val="auto"/>
        </w:rPr>
        <w:t>50</w:t>
      </w:r>
      <w:r>
        <w:rPr>
          <w:rFonts w:ascii="Arial" w:cs="Arial" w:eastAsia="Arial" w:hAnsi="Arial"/>
          <w:sz w:val="17"/>
          <w:szCs w:val="17"/>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has served as our Senior Vice President &amp; Chief Financial Officer since August 2021. Mr. Welch joined Asbury after</w:t>
      </w:r>
      <w:r>
        <w:rPr>
          <w:rFonts w:ascii="Arial" w:cs="Arial" w:eastAsia="Arial" w:hAnsi="Arial"/>
          <w:sz w:val="17"/>
          <w:szCs w:val="17"/>
          <w:b w:val="1"/>
          <w:bCs w:val="1"/>
          <w:color w:val="auto"/>
        </w:rPr>
        <w:t xml:space="preserve"> </w:t>
      </w:r>
      <w:r>
        <w:rPr>
          <w:rFonts w:ascii="Arial" w:cs="Arial" w:eastAsia="Arial" w:hAnsi="Arial"/>
          <w:sz w:val="17"/>
          <w:szCs w:val="17"/>
          <w:color w:val="auto"/>
        </w:rPr>
        <w:t>holding the position of Vice President and Corporate Controller at Group 1 Automotive, Inc. (“GPI”) since June 2019. From June 2000 until June 2019, Mr. Welch held various other positions with GPI of increasing responsibility, where he gained extensive experience in treasury, financial reporting, financial planning and analysis and internal audit. Mr. Welch began his career at Price Waterhouse. Mr. Welch received his Bachelor of Business Administration from Oklahoma Baptist University, and is a Certified Public Accountant in the State of Texas.</w:t>
      </w:r>
    </w:p>
    <w:p>
      <w:pPr>
        <w:spacing w:after="0" w:line="5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b w:val="1"/>
          <w:bCs w:val="1"/>
          <w:color w:val="auto"/>
        </w:rPr>
        <w:t xml:space="preserve">Daniel Clara </w:t>
      </w:r>
      <w:r>
        <w:rPr>
          <w:rFonts w:ascii="Arial" w:cs="Arial" w:eastAsia="Arial" w:hAnsi="Arial"/>
          <w:sz w:val="18"/>
          <w:szCs w:val="18"/>
          <w:i w:val="1"/>
          <w:iCs w:val="1"/>
          <w:color w:val="auto"/>
        </w:rPr>
        <w:t>(age</w:t>
      </w:r>
      <w:r>
        <w:rPr>
          <w:rFonts w:ascii="Arial" w:cs="Arial" w:eastAsia="Arial" w:hAnsi="Arial"/>
          <w:sz w:val="18"/>
          <w:szCs w:val="18"/>
          <w:b w:val="1"/>
          <w:bCs w:val="1"/>
          <w:color w:val="auto"/>
        </w:rPr>
        <w:t xml:space="preserve"> </w:t>
      </w:r>
      <w:r>
        <w:rPr>
          <w:rFonts w:ascii="Arial" w:cs="Arial" w:eastAsia="Arial" w:hAnsi="Arial"/>
          <w:sz w:val="18"/>
          <w:szCs w:val="18"/>
          <w:color w:val="auto"/>
        </w:rPr>
        <w:t>45</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has served as our Chief Operating Officer since February 2025. Mr. Clara served as Senior Vice President,</w:t>
      </w:r>
      <w:r>
        <w:rPr>
          <w:rFonts w:ascii="Arial" w:cs="Arial" w:eastAsia="Arial" w:hAnsi="Arial"/>
          <w:sz w:val="18"/>
          <w:szCs w:val="18"/>
          <w:b w:val="1"/>
          <w:bCs w:val="1"/>
          <w:color w:val="auto"/>
        </w:rPr>
        <w:t xml:space="preserve"> </w:t>
      </w:r>
      <w:r>
        <w:rPr>
          <w:rFonts w:ascii="Arial" w:cs="Arial" w:eastAsia="Arial" w:hAnsi="Arial"/>
          <w:sz w:val="18"/>
          <w:szCs w:val="18"/>
          <w:color w:val="auto"/>
        </w:rPr>
        <w:t>Operations of the Company from January 2020 to February 2025. Mr. Clara joined the Company in 2002 and has held many positions with the Company including Vice President of Market Operations, Managing Market Director, General Manager, General Sales Manager, Used Car Manager, New Car Sales Manager, F&amp;I Manager and Client Advisor. Mr. Clara received his bachelor’s degree in International Business from Northwood University.</w:t>
      </w:r>
    </w:p>
    <w:p>
      <w:pPr>
        <w:spacing w:after="0" w:line="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color w:val="auto"/>
        </w:rPr>
        <w:t xml:space="preserve">Dean A. Calloway </w:t>
      </w:r>
      <w:r>
        <w:rPr>
          <w:rFonts w:ascii="Arial" w:cs="Arial" w:eastAsia="Arial" w:hAnsi="Arial"/>
          <w:sz w:val="18"/>
          <w:szCs w:val="18"/>
          <w:i w:val="1"/>
          <w:iCs w:val="1"/>
          <w:color w:val="auto"/>
        </w:rPr>
        <w:t>(age 57)</w:t>
      </w:r>
      <w:r>
        <w:rPr>
          <w:rFonts w:ascii="Arial" w:cs="Arial" w:eastAsia="Arial" w:hAnsi="Arial"/>
          <w:sz w:val="18"/>
          <w:szCs w:val="18"/>
          <w:b w:val="1"/>
          <w:bCs w:val="1"/>
          <w:color w:val="auto"/>
        </w:rPr>
        <w:t xml:space="preserve"> </w:t>
      </w:r>
      <w:r>
        <w:rPr>
          <w:rFonts w:ascii="Arial" w:cs="Arial" w:eastAsia="Arial" w:hAnsi="Arial"/>
          <w:sz w:val="18"/>
          <w:szCs w:val="18"/>
          <w:color w:val="auto"/>
        </w:rPr>
        <w:t>has served as Senior Vice President, General Counsel &amp; Secretary since July 2024. As General Counsel, Mr.</w:t>
      </w:r>
      <w:r>
        <w:rPr>
          <w:rFonts w:ascii="Arial" w:cs="Arial" w:eastAsia="Arial" w:hAnsi="Arial"/>
          <w:sz w:val="18"/>
          <w:szCs w:val="18"/>
          <w:b w:val="1"/>
          <w:bCs w:val="1"/>
          <w:color w:val="auto"/>
        </w:rPr>
        <w:t xml:space="preserve"> </w:t>
      </w:r>
      <w:r>
        <w:rPr>
          <w:rFonts w:ascii="Arial" w:cs="Arial" w:eastAsia="Arial" w:hAnsi="Arial"/>
          <w:sz w:val="18"/>
          <w:szCs w:val="18"/>
          <w:color w:val="auto"/>
        </w:rPr>
        <w:t>Calloway provides advice to the senior management team and others across the Company on a variety of matters, including automotive franchise laws, corporate governance, litigation, regulatory compliance, cybersecurity, and human resources. Prior to joining Asbury in October 2013, Mr. Calloway worked as a litigation partner in the Atlanta office of an Am Law 15 firm. Mr. Calloway holds a J.D. from The Law School at the University of Chicago, an M.S. from Carnegie Mellon University, and a B.S. from the University of Washington.</w:t>
      </w:r>
    </w:p>
    <w:p>
      <w:pPr>
        <w:spacing w:after="0" w:line="7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b w:val="1"/>
          <w:bCs w:val="1"/>
          <w:color w:val="auto"/>
        </w:rPr>
        <w:t xml:space="preserve">Jed M. Milstein </w:t>
      </w:r>
      <w:r>
        <w:rPr>
          <w:rFonts w:ascii="Arial" w:cs="Arial" w:eastAsia="Arial" w:hAnsi="Arial"/>
          <w:sz w:val="18"/>
          <w:szCs w:val="18"/>
          <w:i w:val="1"/>
          <w:iCs w:val="1"/>
          <w:color w:val="auto"/>
        </w:rPr>
        <w:t>(age</w:t>
      </w:r>
      <w:r>
        <w:rPr>
          <w:rFonts w:ascii="Arial" w:cs="Arial" w:eastAsia="Arial" w:hAnsi="Arial"/>
          <w:sz w:val="18"/>
          <w:szCs w:val="18"/>
          <w:b w:val="1"/>
          <w:bCs w:val="1"/>
          <w:color w:val="auto"/>
        </w:rPr>
        <w:t xml:space="preserve"> </w:t>
      </w:r>
      <w:r>
        <w:rPr>
          <w:rFonts w:ascii="Arial" w:cs="Arial" w:eastAsia="Arial" w:hAnsi="Arial"/>
          <w:sz w:val="18"/>
          <w:szCs w:val="18"/>
          <w:color w:val="auto"/>
        </w:rPr>
        <w:t>56</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has served as our Senior Vice President &amp; Chief Human Resources Officer since January 2018. Mr. Milstein joined</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in July 2016 as Vice President &amp; Chief Human Resources Officer. Prior to joining the Company, Mr. Milstein served as Executive Vice President &amp; Chief Human Resources Officer of AmeriCold Logistics, LLC from May 2013 to July 2016. From December 2011 to May 2013, Mr. Milstein served as Executive Vice President of Human Resources of TransCentra, Inc. From January 2008 to May 2013 Mr. Milstein held various executive management positions at Cerberus Operations &amp; Advisory Company, LLC. Mr. Milstein also served as Vice President HR Shared Services of Broadridge Financial Solutions, Inc. from 2007 to 2008 and ADP from 1998 to 2007. Earlier in his career, Mr. Milstein served as a Deputy Attorney General for the State of New Jersey prior to joining the labor and employment law practice at Carpenter, Bennett and Morrissey in Newark, New Jersey. Mr. Milstein holds a J.D. from George Washington University Law School and a BBA from the University of Michigan.</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COMPENSATION DISCUSSION &amp; ANALYSIS</w:t>
      </w:r>
    </w:p>
    <w:p>
      <w:pPr>
        <w:spacing w:after="0" w:line="104" w:lineRule="exact"/>
        <w:rPr>
          <w:sz w:val="20"/>
          <w:szCs w:val="20"/>
          <w:color w:val="auto"/>
        </w:rPr>
      </w:pPr>
    </w:p>
    <w:p>
      <w:pPr>
        <w:jc w:val="both"/>
        <w:ind w:right="80"/>
        <w:spacing w:after="0" w:line="268" w:lineRule="auto"/>
        <w:rPr>
          <w:sz w:val="20"/>
          <w:szCs w:val="20"/>
          <w:color w:val="auto"/>
        </w:rPr>
      </w:pPr>
      <w:r>
        <w:rPr>
          <w:rFonts w:ascii="Arial" w:cs="Arial" w:eastAsia="Arial" w:hAnsi="Arial"/>
          <w:sz w:val="18"/>
          <w:szCs w:val="18"/>
          <w:color w:val="auto"/>
        </w:rPr>
        <w:t>This compensation discussion and analysis (“CD&amp;A”) provides detail on the Company's compensation philosophy, policies and programs as they relate to our executive officers, with certain additional detail about the compensation paid, or payable, to our “named executive officers” in 2024. Our named executive officers ("NEOs") in 2024 were as follows:</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David W. Hult, President &amp; Chief Executive Officer;</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Michael Welch, Senior Vice President &amp; Chief Financial Officer;</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Daniel Clara, Chief Operating Officer, who was promoted to this position effective February 17, 2025;</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Jed Milstein, Senior Vice President &amp; Chief Human Resources Officer;</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Dean Calloway, Senior Vice President, General Counsel &amp; Secretary, who was promoted to this position effective July 1, 2024;</w:t>
      </w:r>
    </w:p>
    <w:p>
      <w:pPr>
        <w:spacing w:after="0" w:line="117" w:lineRule="exact"/>
        <w:rPr>
          <w:sz w:val="20"/>
          <w:szCs w:val="20"/>
          <w:color w:val="auto"/>
        </w:rPr>
      </w:pPr>
    </w:p>
    <w:p>
      <w:pPr>
        <w:ind w:left="660" w:right="460" w:hanging="324"/>
        <w:spacing w:after="0" w:line="287" w:lineRule="auto"/>
        <w:rPr>
          <w:sz w:val="20"/>
          <w:szCs w:val="20"/>
          <w:color w:val="auto"/>
        </w:rPr>
      </w:pPr>
      <w:r>
        <w:rPr>
          <w:rFonts w:ascii="Arial" w:cs="Arial" w:eastAsia="Arial" w:hAnsi="Arial"/>
          <w:sz w:val="18"/>
          <w:szCs w:val="18"/>
          <w:color w:val="auto"/>
        </w:rPr>
        <w:t>– George A. Villasana, Senior Vice President, Chief Legal Officer &amp; Secretary, who retired from these positions effective June 30, 2024; and</w:t>
      </w:r>
    </w:p>
    <w:p>
      <w:pPr>
        <w:spacing w:after="0" w:line="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Miran Maric, Senior Vice President, Strategy &amp; Innovation, who resigned from this position effective November 14, 2024.</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Compensation &amp; Human Resources Committee of the Board (also referred to in this CD&amp;A as the “Committee”) is charged with various matters concerning the compensation of our executive officers, including the development and implementation of our compensation philosophy relating to those individuals. Our philosophy emphasizes a pay-for-results culture designed to align the interests of our executive officers with those of our stockholders through the use of incentive-based pay opportunities. With respect to decisions directly impacting executive compensation, the Committee’s primary responsibilities are to:</w:t>
      </w:r>
    </w:p>
    <w:p>
      <w:pPr>
        <w:spacing w:after="0" w:line="71" w:lineRule="exact"/>
        <w:rPr>
          <w:sz w:val="20"/>
          <w:szCs w:val="20"/>
          <w:color w:val="auto"/>
        </w:rPr>
      </w:pPr>
    </w:p>
    <w:p>
      <w:pPr>
        <w:ind w:left="660" w:hanging="324"/>
        <w:spacing w:after="0" w:line="268" w:lineRule="auto"/>
        <w:rPr>
          <w:sz w:val="20"/>
          <w:szCs w:val="20"/>
          <w:color w:val="auto"/>
        </w:rPr>
      </w:pPr>
      <w:r>
        <w:rPr>
          <w:rFonts w:ascii="Arial" w:cs="Arial" w:eastAsia="Arial" w:hAnsi="Arial"/>
          <w:sz w:val="18"/>
          <w:szCs w:val="18"/>
          <w:color w:val="auto"/>
        </w:rPr>
        <w:t>– within the constructs of our philosophy and guidelines, establish all aspects of compensation for our executive officers, including the named executive officers, and, subject to Board ratification, approve awards to the Chief Executive Officer under our incentive-based compensation plans;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oversee the development, implementation and administration of our compensation and benefit plans; and</w:t>
      </w:r>
    </w:p>
    <w:p>
      <w:pPr>
        <w:spacing w:after="0" w:line="117" w:lineRule="exact"/>
        <w:rPr>
          <w:sz w:val="20"/>
          <w:szCs w:val="20"/>
          <w:color w:val="auto"/>
        </w:rPr>
      </w:pPr>
    </w:p>
    <w:p>
      <w:pPr>
        <w:ind w:left="660" w:right="20" w:hanging="324"/>
        <w:spacing w:after="0" w:line="287" w:lineRule="auto"/>
        <w:rPr>
          <w:sz w:val="20"/>
          <w:szCs w:val="20"/>
          <w:color w:val="auto"/>
        </w:rPr>
      </w:pPr>
      <w:r>
        <w:rPr>
          <w:rFonts w:ascii="Arial" w:cs="Arial" w:eastAsia="Arial" w:hAnsi="Arial"/>
          <w:sz w:val="18"/>
          <w:szCs w:val="18"/>
          <w:color w:val="auto"/>
        </w:rPr>
        <w:t>– prepare the Compensation &amp; Human Resources Committee Report and review and discuss with management as required the CD&amp;A to be included in our annual proxy statement.</w:t>
      </w:r>
    </w:p>
    <w:p>
      <w:pPr>
        <w:spacing w:after="0" w:line="4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For additional information regarding the Committee’s function and composition, see “Governance of the Company—Committees of the Board —Compensation &amp; Human Resources Committee.”</w:t>
      </w:r>
    </w:p>
    <w:p>
      <w:pPr>
        <w:spacing w:after="0" w:line="1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Overview</w:t>
      </w:r>
    </w:p>
    <w:p>
      <w:pPr>
        <w:spacing w:after="0" w:line="96"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color w:val="auto"/>
        </w:rPr>
        <w:t>We believe that fostering an entrepreneurial spirit at Asbury is essential to our success. Consistent with our overall business strategy of driving operational excellence through the attraction and retention of the best talent, our executive compensation philosophy is to:</w:t>
      </w:r>
    </w:p>
    <w:p>
      <w:pPr>
        <w:spacing w:after="0" w:line="4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support the attainment of our vision, business strategy and operating imperatives;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guide the design and implementation of effective executive compensation and benefit plans;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reinforce our business values; and</w:t>
      </w:r>
    </w:p>
    <w:p>
      <w:pPr>
        <w:spacing w:after="0" w:line="117" w:lineRule="exact"/>
        <w:rPr>
          <w:sz w:val="20"/>
          <w:szCs w:val="20"/>
          <w:color w:val="auto"/>
        </w:rPr>
      </w:pPr>
    </w:p>
    <w:p>
      <w:pPr>
        <w:ind w:left="660" w:right="40" w:hanging="324"/>
        <w:spacing w:after="0" w:line="268" w:lineRule="auto"/>
        <w:rPr>
          <w:sz w:val="20"/>
          <w:szCs w:val="20"/>
          <w:color w:val="auto"/>
        </w:rPr>
      </w:pPr>
      <w:r>
        <w:rPr>
          <w:rFonts w:ascii="Arial" w:cs="Arial" w:eastAsia="Arial" w:hAnsi="Arial"/>
          <w:sz w:val="18"/>
          <w:szCs w:val="18"/>
          <w:color w:val="auto"/>
        </w:rPr>
        <w:t>– further align management and stockholder interests by providing appropriate opportunities for meaningful compensation based upon the achievement of various corporate goals set from time to time and generally related to corresponding increases in earnings and stockholder value, subject to limitations designed to discourage unnecessary or excessive risk-taking.</w:t>
      </w:r>
    </w:p>
    <w:p>
      <w:pPr>
        <w:spacing w:after="0" w:line="6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 it has done in prior years, the Committee engaged an independent executive compensation consultant, Pay Governance LLC (“Pay Governance”), to assist with the development and implementation of our executive compensation program for 2024, as described in more detail below. In determining and setting compensation levels and opportunities for our executive officers, the Committee generally considers a number of factors and analyzes comparative data provided by Pay Governance on compensation paid to executive officers in similar positions within a Peer Group (as defined below) of companies. For 2024 executive compensation, the Committee approved and implemented incentive compensation programs designed to appropriately reward and incentivize our executive management team to focus on the long-term interests of our stockholders and further improve the measurable financial metrics described below, which remain a focus of the Board and the Committee when analyzing our financial results and success.</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determining and setting compensation levels and opportunities for executive officers during 2024, the Committee considered factors including, among other things, the significant expansion of the nature and scope of the individual’s responsibilities to the Company as a result of the Company's growth through recent acquisitions and other independent factors, such as skills, experience, tenure and historical and expected contributions to the Company. In addition, in setting 2024 executive compensation, the Committee considered the Company's financial performance in 2023 (as compared to 2022), including the following:</w:t>
      </w:r>
    </w:p>
    <w:p>
      <w:pPr>
        <w:spacing w:after="0" w:line="71" w:lineRule="exact"/>
        <w:rPr>
          <w:sz w:val="20"/>
          <w:szCs w:val="20"/>
          <w:color w:val="auto"/>
        </w:rPr>
      </w:pPr>
    </w:p>
    <w:p>
      <w:pPr>
        <w:ind w:left="660" w:right="400" w:hanging="324"/>
        <w:spacing w:after="0" w:line="268" w:lineRule="auto"/>
        <w:rPr>
          <w:sz w:val="20"/>
          <w:szCs w:val="20"/>
          <w:color w:val="auto"/>
        </w:rPr>
      </w:pPr>
      <w:r>
        <w:rPr>
          <w:rFonts w:ascii="Arial" w:cs="Arial" w:eastAsia="Arial" w:hAnsi="Arial"/>
          <w:sz w:val="18"/>
          <w:szCs w:val="18"/>
          <w:color w:val="auto"/>
        </w:rPr>
        <w:t>– our adjusted earnings before non-floor plan interest, taxes, depreciation and amortization (“Adjusted EBITDA”), a metric used by management and that the Committee believes is often used by investors and market analysts in comparing performance and determining enterprise value, was $1.14 billion, a decrease of 15.0% over 2022;</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our adjusted diluted earnings per share ("EPS") was $32.60, a decrease of 13.4% over 2022; and</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our adjusted operating margin was 7.3%, which is the highest amongst the Automotive Peer Group (as defined below).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For an explanation of non-GAAP measures and a reconciliation to GAAP, please see Appendix A to this proxy statement.</w:t>
      </w:r>
    </w:p>
    <w:p>
      <w:pPr>
        <w:spacing w:after="0" w:line="11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For 2024 executive compensation, the Committee analyzed comparative data provided by Pay Governance on compensation paid to executive officers in similar positions within the Peer Group, although the Committee did not specifically benchmark executive compensation against the Peer Group or other companies. In evaluating Peer Group data, selecting metrics and setting appropriate performance targets in connection with the implementation of the Company’s executive compensation programs in 2024, the Committee acknowledged that, as a result of the significant variable components of compensation described in more detail elsewhere in this CD&amp;A, actual total executive compensation may be above or below target compensation and/or the actual compensation paid to executives in similar positions within the Peer Group based on our actual performance when compared to target performance.</w:t>
      </w:r>
    </w:p>
    <w:p>
      <w:pPr>
        <w:spacing w:after="0" w:line="4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Incentive Compensation Programs</w:t>
      </w:r>
    </w:p>
    <w:p>
      <w:pPr>
        <w:spacing w:after="0" w:line="11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Consistent with the approach in prior years, payouts for 2024 were intended to reward a number of significant achievements, particularly in light of our overall, and each individual officer’s, performance, in successfully executing on the Company's success and progress of integrating acquisitions, the advancement of the Company’s environmental, social and governance ("ESG") strategy, and the Company's operating margin relative to automotive retail peers. In addition, the following results and achievements in 2024 impacted actual payouts and the overall compensation of our executive officers under our incentive compensation programs for 2024:</w:t>
      </w:r>
    </w:p>
    <w:p>
      <w:pPr>
        <w:spacing w:after="0" w:line="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our Adjusted EBITDA was $980 million, a decline of 13.5% over 2023;</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our adjusted diluted EPS was $27.24, a decline of 16.5% over 2023; and</w:t>
      </w:r>
    </w:p>
    <w:p>
      <w:pPr>
        <w:spacing w:after="0" w:line="117" w:lineRule="exact"/>
        <w:rPr>
          <w:sz w:val="20"/>
          <w:szCs w:val="20"/>
          <w:color w:val="auto"/>
        </w:rPr>
      </w:pPr>
    </w:p>
    <w:p>
      <w:pPr>
        <w:ind w:right="2660" w:firstLine="324"/>
        <w:spacing w:after="0" w:line="375" w:lineRule="auto"/>
        <w:rPr>
          <w:sz w:val="20"/>
          <w:szCs w:val="20"/>
          <w:color w:val="auto"/>
        </w:rPr>
      </w:pPr>
      <w:r>
        <w:rPr>
          <w:rFonts w:ascii="Arial" w:cs="Arial" w:eastAsia="Arial" w:hAnsi="Arial"/>
          <w:sz w:val="18"/>
          <w:szCs w:val="18"/>
          <w:color w:val="auto"/>
        </w:rPr>
        <w:t>– our adjusted operating margin was 5.8%, which is the highest amongst the Automotive Peer Group. For an explanation of non-GAAP measures and a reconciliation to GAAP, please see Appendix A.</w:t>
      </w:r>
    </w:p>
    <w:p>
      <w:pPr>
        <w:spacing w:after="0" w:line="1"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In determining the applicable payouts, the Committee considered each of the results above in light of the 2024 SAAR level, which impacted gross profits from new vehicle sales.</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Compensation Philosophy &amp; Guidelines</w:t>
      </w:r>
    </w:p>
    <w:p>
      <w:pPr>
        <w:spacing w:after="0" w:line="110" w:lineRule="exact"/>
        <w:rPr>
          <w:sz w:val="20"/>
          <w:szCs w:val="20"/>
          <w:color w:val="auto"/>
        </w:rPr>
      </w:pPr>
    </w:p>
    <w:p>
      <w:pPr>
        <w:jc w:val="both"/>
        <w:ind w:right="320"/>
        <w:spacing w:after="0" w:line="268" w:lineRule="auto"/>
        <w:rPr>
          <w:sz w:val="20"/>
          <w:szCs w:val="20"/>
          <w:color w:val="auto"/>
        </w:rPr>
      </w:pPr>
      <w:r>
        <w:rPr>
          <w:rFonts w:ascii="Arial" w:cs="Arial" w:eastAsia="Arial" w:hAnsi="Arial"/>
          <w:sz w:val="18"/>
          <w:szCs w:val="18"/>
          <w:color w:val="auto"/>
        </w:rPr>
        <w:t>The Committee, with the input of Pay Governance, has developed an executive compensation philosophy that sets forth certain general guidelines the Committee considers in making decisions and recommendations related to executive compensation (including our named executive officers’ compensation). The key principles and considerations underlying our compensation philosophy are the following:</w:t>
      </w:r>
    </w:p>
    <w:p>
      <w:pPr>
        <w:spacing w:after="0" w:line="63" w:lineRule="exact"/>
        <w:rPr>
          <w:sz w:val="20"/>
          <w:szCs w:val="20"/>
          <w:color w:val="auto"/>
        </w:rPr>
      </w:pPr>
    </w:p>
    <w:p>
      <w:pPr>
        <w:ind w:left="660" w:right="140" w:hanging="324"/>
        <w:spacing w:after="0" w:line="287" w:lineRule="auto"/>
        <w:rPr>
          <w:sz w:val="20"/>
          <w:szCs w:val="20"/>
          <w:color w:val="auto"/>
        </w:rPr>
      </w:pPr>
      <w:r>
        <w:rPr>
          <w:rFonts w:ascii="Arial" w:cs="Arial" w:eastAsia="Arial" w:hAnsi="Arial"/>
          <w:sz w:val="18"/>
          <w:szCs w:val="18"/>
          <w:color w:val="auto"/>
        </w:rPr>
        <w:t>– create a “pay-for-results” culture with clear emphasis on pay-for-performance and accountability through the grant of performance-based cash and equity award opportunities;</w:t>
      </w:r>
    </w:p>
    <w:p>
      <w:pPr>
        <w:spacing w:after="0" w:line="44" w:lineRule="exact"/>
        <w:rPr>
          <w:sz w:val="20"/>
          <w:szCs w:val="20"/>
          <w:color w:val="auto"/>
        </w:rPr>
      </w:pPr>
    </w:p>
    <w:p>
      <w:pPr>
        <w:ind w:left="660" w:right="140" w:hanging="324"/>
        <w:spacing w:after="0" w:line="287" w:lineRule="auto"/>
        <w:rPr>
          <w:sz w:val="20"/>
          <w:szCs w:val="20"/>
          <w:color w:val="auto"/>
        </w:rPr>
      </w:pPr>
      <w:r>
        <w:rPr>
          <w:rFonts w:ascii="Arial" w:cs="Arial" w:eastAsia="Arial" w:hAnsi="Arial"/>
          <w:sz w:val="18"/>
          <w:szCs w:val="18"/>
          <w:color w:val="auto"/>
        </w:rPr>
        <w:t>– effectively manage the cost of compensation programs by providing that a substantial portion of executive pay opportunity is in the form of performance-based compensation;</w:t>
      </w:r>
    </w:p>
    <w:p>
      <w:pPr>
        <w:spacing w:after="0" w:line="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set performance goals that are actionable, clearly communicated and understood, and are challenging, yet obtainable;</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provide the opportunity for above market total compensation upon the achievement of performance above target performance;</w:t>
      </w:r>
    </w:p>
    <w:p>
      <w:pPr>
        <w:spacing w:after="0" w:line="117" w:lineRule="exact"/>
        <w:rPr>
          <w:sz w:val="20"/>
          <w:szCs w:val="20"/>
          <w:color w:val="auto"/>
        </w:rPr>
      </w:pPr>
    </w:p>
    <w:p>
      <w:pPr>
        <w:ind w:left="660" w:hanging="324"/>
        <w:spacing w:after="0" w:line="268" w:lineRule="auto"/>
        <w:rPr>
          <w:sz w:val="20"/>
          <w:szCs w:val="20"/>
          <w:color w:val="auto"/>
        </w:rPr>
      </w:pPr>
      <w:r>
        <w:rPr>
          <w:rFonts w:ascii="Arial" w:cs="Arial" w:eastAsia="Arial" w:hAnsi="Arial"/>
          <w:sz w:val="18"/>
          <w:szCs w:val="18"/>
          <w:color w:val="auto"/>
        </w:rPr>
        <w:t>– consider total compensation opportunities in light of competitive market practices, internal equity considerations, the individual’s experience, skills, tenure and how critical the individual's role is to the Company, historical and expected individual performance and significant contributions, and the nature and scope of the individual’s responsibilities;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provide a balanced total compensation program to ensure management is not encouraged to take unnecessary or excessive risks;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further align management and stockholder interests by requiring specified levels of equity ownership by management;</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reinforce teamwork, culture and internal alignment of management; and</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consider stakeholder perceptions and governance practices when formulating pay plans and actions.</w:t>
      </w:r>
    </w:p>
    <w:p>
      <w:pPr>
        <w:spacing w:after="0" w:line="117"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In order to effectively communicate expectations regarding our performance and incentivize executive officers to achieve specified performance objectives, we generally make compensation program decisions in the first quarter of a year. All such compensation decisions for our executive officers for 2024 were made at the Committee’s regularly scheduled meeting in the first quarter of 2024. All compensation decisions were consistent with our overall compensation philosophy and guidelines.</w:t>
      </w:r>
    </w:p>
    <w:p>
      <w:pPr>
        <w:spacing w:after="0" w:line="39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Elements of Compensation</w:t>
      </w:r>
    </w:p>
    <w:p>
      <w:pPr>
        <w:spacing w:after="0" w:line="11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elements of the Company's compensation program, when considered collectively, are intended to support our executive compensation philosophy and objectives by (i) allowing us to attract and retain executive-level talent, (ii) providing an appropriate level of financial certainty through non-variable compensation, (iii) providing opportunities for above market compensation based upon the achievement of specified financial and other appropriate performance objectives, and rewarding such achievement, and (iv) balancing short-term and long-term incentives. The key elements of our executive compensation program are outlined below, together with a summary of the purposes and considerations underlying each compensation element.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40575" cy="3437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0575" cy="3437255"/>
                    </a:xfrm>
                    <a:prstGeom prst="rect">
                      <a:avLst/>
                    </a:prstGeom>
                    <a:noFill/>
                  </pic:spPr>
                </pic:pic>
              </a:graphicData>
            </a:graphic>
          </wp:anchor>
        </w:drawing>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340" w:type="dxa"/>
            <w:vAlign w:val="bottom"/>
            <w:tcBorders>
              <w:right w:val="single" w:sz="8" w:color="D91E18"/>
            </w:tcBorders>
            <w:shd w:val="clear" w:color="auto" w:fill="D91E18"/>
          </w:tcPr>
          <w:p>
            <w:pPr>
              <w:jc w:val="center"/>
              <w:spacing w:after="0"/>
              <w:rPr>
                <w:sz w:val="20"/>
                <w:szCs w:val="20"/>
                <w:color w:val="auto"/>
              </w:rPr>
            </w:pPr>
            <w:r>
              <w:rPr>
                <w:rFonts w:ascii="Arial" w:cs="Arial" w:eastAsia="Arial" w:hAnsi="Arial"/>
                <w:sz w:val="18"/>
                <w:szCs w:val="18"/>
                <w:b w:val="1"/>
                <w:bCs w:val="1"/>
                <w:color w:val="FFFFFF"/>
                <w:w w:val="98"/>
              </w:rPr>
              <w:t>Pay Element</w:t>
            </w:r>
          </w:p>
        </w:tc>
        <w:tc>
          <w:tcPr>
            <w:tcW w:w="1880" w:type="dxa"/>
            <w:vAlign w:val="bottom"/>
            <w:tcBorders>
              <w:right w:val="single" w:sz="8" w:color="D91E18"/>
            </w:tcBorders>
            <w:shd w:val="clear" w:color="auto" w:fill="D91E18"/>
          </w:tcPr>
          <w:p>
            <w:pPr>
              <w:jc w:val="center"/>
              <w:spacing w:after="0"/>
              <w:rPr>
                <w:sz w:val="20"/>
                <w:szCs w:val="20"/>
                <w:color w:val="auto"/>
              </w:rPr>
            </w:pPr>
            <w:r>
              <w:rPr>
                <w:rFonts w:ascii="Arial" w:cs="Arial" w:eastAsia="Arial" w:hAnsi="Arial"/>
                <w:sz w:val="18"/>
                <w:szCs w:val="18"/>
                <w:b w:val="1"/>
                <w:bCs w:val="1"/>
                <w:color w:val="FFFFFF"/>
              </w:rPr>
              <w:t>Form</w:t>
            </w:r>
          </w:p>
        </w:tc>
        <w:tc>
          <w:tcPr>
            <w:tcW w:w="300" w:type="dxa"/>
            <w:vAlign w:val="bottom"/>
            <w:tcBorders>
              <w:right w:val="single" w:sz="8" w:color="D91E18"/>
            </w:tcBorders>
            <w:shd w:val="clear" w:color="auto" w:fill="D91E18"/>
          </w:tcPr>
          <w:p>
            <w:pPr>
              <w:spacing w:after="0"/>
              <w:rPr>
                <w:sz w:val="21"/>
                <w:szCs w:val="21"/>
                <w:color w:val="auto"/>
              </w:rPr>
            </w:pPr>
          </w:p>
        </w:tc>
        <w:tc>
          <w:tcPr>
            <w:tcW w:w="3540" w:type="dxa"/>
            <w:vAlign w:val="bottom"/>
            <w:tcBorders>
              <w:right w:val="single" w:sz="8" w:color="D91E18"/>
            </w:tcBorders>
            <w:shd w:val="clear" w:color="auto" w:fill="D91E18"/>
          </w:tcPr>
          <w:p>
            <w:pPr>
              <w:ind w:left="1120"/>
              <w:spacing w:after="0"/>
              <w:rPr>
                <w:sz w:val="20"/>
                <w:szCs w:val="20"/>
                <w:color w:val="auto"/>
              </w:rPr>
            </w:pPr>
            <w:r>
              <w:rPr>
                <w:rFonts w:ascii="Arial" w:cs="Arial" w:eastAsia="Arial" w:hAnsi="Arial"/>
                <w:sz w:val="18"/>
                <w:szCs w:val="18"/>
                <w:b w:val="1"/>
                <w:bCs w:val="1"/>
                <w:color w:val="FFFFFF"/>
              </w:rPr>
              <w:t>Philosophy</w:t>
            </w:r>
          </w:p>
        </w:tc>
        <w:tc>
          <w:tcPr>
            <w:tcW w:w="280" w:type="dxa"/>
            <w:vAlign w:val="bottom"/>
            <w:tcBorders>
              <w:right w:val="single" w:sz="8" w:color="D91E18"/>
            </w:tcBorders>
            <w:shd w:val="clear" w:color="auto" w:fill="D91E18"/>
          </w:tcPr>
          <w:p>
            <w:pPr>
              <w:spacing w:after="0"/>
              <w:rPr>
                <w:sz w:val="21"/>
                <w:szCs w:val="21"/>
                <w:color w:val="auto"/>
              </w:rPr>
            </w:pPr>
          </w:p>
        </w:tc>
        <w:tc>
          <w:tcPr>
            <w:tcW w:w="3900" w:type="dxa"/>
            <w:vAlign w:val="bottom"/>
            <w:shd w:val="clear" w:color="auto" w:fill="D91E18"/>
          </w:tcPr>
          <w:p>
            <w:pPr>
              <w:ind w:left="800"/>
              <w:spacing w:after="0"/>
              <w:rPr>
                <w:sz w:val="20"/>
                <w:szCs w:val="20"/>
                <w:color w:val="auto"/>
              </w:rPr>
            </w:pPr>
            <w:r>
              <w:rPr>
                <w:rFonts w:ascii="Arial" w:cs="Arial" w:eastAsia="Arial" w:hAnsi="Arial"/>
                <w:sz w:val="18"/>
                <w:szCs w:val="18"/>
                <w:b w:val="1"/>
                <w:bCs w:val="1"/>
                <w:color w:val="FFFFFF"/>
              </w:rPr>
              <w:t>Performance Alignment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1340" w:type="dxa"/>
            <w:vAlign w:val="bottom"/>
            <w:tcBorders>
              <w:right w:val="single" w:sz="8" w:color="ADADAD"/>
            </w:tcBorders>
            <w:shd w:val="clear" w:color="auto" w:fill="ADADAD"/>
          </w:tcPr>
          <w:p>
            <w:pPr>
              <w:spacing w:after="0"/>
              <w:rPr>
                <w:sz w:val="15"/>
                <w:szCs w:val="15"/>
                <w:color w:val="auto"/>
              </w:rPr>
            </w:pPr>
          </w:p>
        </w:tc>
        <w:tc>
          <w:tcPr>
            <w:tcW w:w="1880" w:type="dxa"/>
            <w:vAlign w:val="bottom"/>
            <w:tcBorders>
              <w:right w:val="single" w:sz="8" w:color="ADADAD"/>
            </w:tcBorders>
            <w:shd w:val="clear" w:color="auto" w:fill="ADADAD"/>
          </w:tcPr>
          <w:p>
            <w:pPr>
              <w:spacing w:after="0"/>
              <w:rPr>
                <w:sz w:val="15"/>
                <w:szCs w:val="15"/>
                <w:color w:val="auto"/>
              </w:rPr>
            </w:pPr>
          </w:p>
        </w:tc>
        <w:tc>
          <w:tcPr>
            <w:tcW w:w="300" w:type="dxa"/>
            <w:vAlign w:val="bottom"/>
            <w:tcBorders>
              <w:right w:val="single" w:sz="8" w:color="ADADAD"/>
            </w:tcBorders>
            <w:shd w:val="clear" w:color="auto" w:fill="ADADAD"/>
          </w:tcPr>
          <w:p>
            <w:pPr>
              <w:spacing w:after="0"/>
              <w:rPr>
                <w:sz w:val="15"/>
                <w:szCs w:val="15"/>
                <w:color w:val="auto"/>
              </w:rPr>
            </w:pPr>
          </w:p>
        </w:tc>
        <w:tc>
          <w:tcPr>
            <w:tcW w:w="3540" w:type="dxa"/>
            <w:vAlign w:val="bottom"/>
            <w:tcBorders>
              <w:right w:val="single" w:sz="8" w:color="ADADAD"/>
            </w:tcBorders>
            <w:vMerge w:val="restart"/>
            <w:shd w:val="clear" w:color="auto" w:fill="ADADAD"/>
          </w:tcPr>
          <w:p>
            <w:pPr>
              <w:spacing w:after="0"/>
              <w:rPr>
                <w:sz w:val="20"/>
                <w:szCs w:val="20"/>
                <w:color w:val="auto"/>
              </w:rPr>
            </w:pPr>
            <w:r>
              <w:rPr>
                <w:rFonts w:ascii="Arial" w:cs="Arial" w:eastAsia="Arial" w:hAnsi="Arial"/>
                <w:sz w:val="16"/>
                <w:szCs w:val="16"/>
                <w:color w:val="auto"/>
              </w:rPr>
              <w:t>Fixed pay to recognize an individual's role and</w:t>
            </w:r>
          </w:p>
        </w:tc>
        <w:tc>
          <w:tcPr>
            <w:tcW w:w="280" w:type="dxa"/>
            <w:vAlign w:val="bottom"/>
            <w:tcBorders>
              <w:right w:val="single" w:sz="8" w:color="ADADAD"/>
            </w:tcBorders>
            <w:shd w:val="clear" w:color="auto" w:fill="ADADAD"/>
          </w:tcPr>
          <w:p>
            <w:pPr>
              <w:spacing w:after="0"/>
              <w:rPr>
                <w:sz w:val="15"/>
                <w:szCs w:val="15"/>
                <w:color w:val="auto"/>
              </w:rPr>
            </w:pPr>
          </w:p>
        </w:tc>
        <w:tc>
          <w:tcPr>
            <w:tcW w:w="3900" w:type="dxa"/>
            <w:vAlign w:val="bottom"/>
            <w:shd w:val="clear" w:color="auto" w:fill="ADADAD"/>
          </w:tcPr>
          <w:p>
            <w:pPr>
              <w:spacing w:after="0" w:line="175" w:lineRule="exact"/>
              <w:rPr>
                <w:sz w:val="20"/>
                <w:szCs w:val="20"/>
                <w:color w:val="auto"/>
              </w:rPr>
            </w:pPr>
            <w:r>
              <w:rPr>
                <w:rFonts w:ascii="Arial" w:cs="Arial" w:eastAsia="Arial" w:hAnsi="Arial"/>
                <w:sz w:val="16"/>
                <w:szCs w:val="16"/>
                <w:color w:val="auto"/>
              </w:rPr>
              <w:t>Reviewed annually and set based on a review versus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1340" w:type="dxa"/>
            <w:vAlign w:val="bottom"/>
            <w:tcBorders>
              <w:right w:val="single" w:sz="8" w:color="ADADAD"/>
            </w:tcBorders>
            <w:vMerge w:val="restart"/>
            <w:shd w:val="clear" w:color="auto" w:fill="ADADAD"/>
          </w:tcPr>
          <w:p>
            <w:pPr>
              <w:jc w:val="center"/>
              <w:spacing w:after="0"/>
              <w:rPr>
                <w:sz w:val="20"/>
                <w:szCs w:val="20"/>
                <w:color w:val="auto"/>
              </w:rPr>
            </w:pPr>
            <w:r>
              <w:rPr>
                <w:rFonts w:ascii="Arial" w:cs="Arial" w:eastAsia="Arial" w:hAnsi="Arial"/>
                <w:sz w:val="16"/>
                <w:szCs w:val="16"/>
                <w:b w:val="1"/>
                <w:bCs w:val="1"/>
                <w:color w:val="auto"/>
                <w:w w:val="99"/>
              </w:rPr>
              <w:t>Base Salary</w:t>
            </w:r>
          </w:p>
        </w:tc>
        <w:tc>
          <w:tcPr>
            <w:tcW w:w="1880" w:type="dxa"/>
            <w:vAlign w:val="bottom"/>
            <w:tcBorders>
              <w:right w:val="single" w:sz="8" w:color="ADADAD"/>
            </w:tcBorders>
            <w:vMerge w:val="restart"/>
            <w:shd w:val="clear" w:color="auto" w:fill="ADADAD"/>
          </w:tcPr>
          <w:p>
            <w:pPr>
              <w:jc w:val="center"/>
              <w:spacing w:after="0"/>
              <w:rPr>
                <w:sz w:val="20"/>
                <w:szCs w:val="20"/>
                <w:color w:val="auto"/>
              </w:rPr>
            </w:pPr>
            <w:r>
              <w:rPr>
                <w:rFonts w:ascii="Arial" w:cs="Arial" w:eastAsia="Arial" w:hAnsi="Arial"/>
                <w:sz w:val="16"/>
                <w:szCs w:val="16"/>
                <w:b w:val="1"/>
                <w:bCs w:val="1"/>
                <w:color w:val="auto"/>
                <w:w w:val="97"/>
              </w:rPr>
              <w:t>Cash</w:t>
            </w:r>
          </w:p>
        </w:tc>
        <w:tc>
          <w:tcPr>
            <w:tcW w:w="300" w:type="dxa"/>
            <w:vAlign w:val="bottom"/>
            <w:tcBorders>
              <w:right w:val="single" w:sz="8" w:color="ADADAD"/>
            </w:tcBorders>
            <w:shd w:val="clear" w:color="auto" w:fill="ADADAD"/>
          </w:tcPr>
          <w:p>
            <w:pPr>
              <w:spacing w:after="0"/>
              <w:rPr>
                <w:sz w:val="7"/>
                <w:szCs w:val="7"/>
                <w:color w:val="auto"/>
              </w:rPr>
            </w:pPr>
          </w:p>
        </w:tc>
        <w:tc>
          <w:tcPr>
            <w:tcW w:w="3540" w:type="dxa"/>
            <w:vAlign w:val="bottom"/>
            <w:tcBorders>
              <w:right w:val="single" w:sz="8" w:color="ADADAD"/>
            </w:tcBorders>
            <w:vMerge w:val="continue"/>
            <w:shd w:val="clear" w:color="auto" w:fill="ADADAD"/>
          </w:tcPr>
          <w:p>
            <w:pPr>
              <w:spacing w:after="0"/>
              <w:rPr>
                <w:sz w:val="7"/>
                <w:szCs w:val="7"/>
                <w:color w:val="auto"/>
              </w:rPr>
            </w:pPr>
          </w:p>
        </w:tc>
        <w:tc>
          <w:tcPr>
            <w:tcW w:w="4180" w:type="dxa"/>
            <w:vAlign w:val="bottom"/>
            <w:gridSpan w:val="2"/>
            <w:vMerge w:val="restart"/>
            <w:shd w:val="clear" w:color="auto" w:fill="ADADAD"/>
          </w:tcPr>
          <w:p>
            <w:pPr>
              <w:ind w:left="60"/>
              <w:spacing w:after="0"/>
              <w:rPr>
                <w:sz w:val="20"/>
                <w:szCs w:val="20"/>
                <w:color w:val="auto"/>
              </w:rPr>
            </w:pPr>
            <w:r>
              <w:rPr>
                <w:rFonts w:ascii="Wingdings" w:cs="Wingdings" w:eastAsia="Wingdings" w:hAnsi="Wingdings"/>
                <w:sz w:val="16"/>
                <w:szCs w:val="16"/>
                <w:b w:val="1"/>
                <w:bCs w:val="1"/>
                <w:color w:val="auto"/>
                <w:highlight w:val="black"/>
              </w:rPr>
              <w:t xml:space="preserve">ü </w:t>
            </w:r>
            <w:r>
              <w:rPr>
                <w:rFonts w:ascii="Arial" w:cs="Arial" w:eastAsia="Arial" w:hAnsi="Arial"/>
                <w:sz w:val="16"/>
                <w:szCs w:val="16"/>
                <w:color w:val="auto"/>
              </w:rPr>
              <w:t>the external market, individual performance, and</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1340" w:type="dxa"/>
            <w:vAlign w:val="bottom"/>
            <w:tcBorders>
              <w:right w:val="single" w:sz="8" w:color="ADADAD"/>
            </w:tcBorders>
            <w:vMerge w:val="continue"/>
            <w:shd w:val="clear" w:color="auto" w:fill="ADADAD"/>
          </w:tcPr>
          <w:p>
            <w:pPr>
              <w:spacing w:after="0"/>
              <w:rPr>
                <w:sz w:val="14"/>
                <w:szCs w:val="14"/>
                <w:color w:val="auto"/>
              </w:rPr>
            </w:pPr>
          </w:p>
        </w:tc>
        <w:tc>
          <w:tcPr>
            <w:tcW w:w="1880" w:type="dxa"/>
            <w:vAlign w:val="bottom"/>
            <w:tcBorders>
              <w:right w:val="single" w:sz="8" w:color="ADADAD"/>
            </w:tcBorders>
            <w:vMerge w:val="continue"/>
            <w:shd w:val="clear" w:color="auto" w:fill="ADADAD"/>
          </w:tcPr>
          <w:p>
            <w:pPr>
              <w:spacing w:after="0"/>
              <w:rPr>
                <w:sz w:val="14"/>
                <w:szCs w:val="14"/>
                <w:color w:val="auto"/>
              </w:rPr>
            </w:pPr>
          </w:p>
        </w:tc>
        <w:tc>
          <w:tcPr>
            <w:tcW w:w="3840" w:type="dxa"/>
            <w:vAlign w:val="bottom"/>
            <w:tcBorders>
              <w:right w:val="single" w:sz="8" w:color="ADADAD"/>
            </w:tcBorders>
            <w:gridSpan w:val="2"/>
            <w:shd w:val="clear" w:color="auto" w:fill="ADADAD"/>
          </w:tcPr>
          <w:p>
            <w:pPr>
              <w:ind w:left="80"/>
              <w:spacing w:after="0" w:line="162" w:lineRule="exact"/>
              <w:rPr>
                <w:sz w:val="20"/>
                <w:szCs w:val="20"/>
                <w:color w:val="auto"/>
              </w:rPr>
            </w:pPr>
            <w:r>
              <w:rPr>
                <w:rFonts w:ascii="Wingdings" w:cs="Wingdings" w:eastAsia="Wingdings" w:hAnsi="Wingdings"/>
                <w:sz w:val="18"/>
                <w:szCs w:val="18"/>
                <w:b w:val="1"/>
                <w:bCs w:val="1"/>
                <w:color w:val="auto"/>
                <w:highlight w:val="black"/>
                <w:vertAlign w:val="superscript"/>
              </w:rPr>
              <w:t>ü</w:t>
            </w:r>
            <w:r>
              <w:rPr>
                <w:rFonts w:ascii="Arial" w:cs="Arial" w:eastAsia="Arial" w:hAnsi="Arial"/>
                <w:sz w:val="11"/>
                <w:szCs w:val="11"/>
                <w:color w:val="auto"/>
              </w:rPr>
              <w:t xml:space="preserve"> responsibilities</w:t>
            </w:r>
          </w:p>
        </w:tc>
        <w:tc>
          <w:tcPr>
            <w:tcW w:w="4180" w:type="dxa"/>
            <w:vAlign w:val="bottom"/>
            <w:gridSpan w:val="2"/>
            <w:vMerge w:val="continue"/>
            <w:shd w:val="clear" w:color="auto" w:fill="ADADAD"/>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340" w:type="dxa"/>
            <w:vAlign w:val="bottom"/>
            <w:tcBorders>
              <w:right w:val="single" w:sz="8" w:color="ADADAD"/>
            </w:tcBorders>
            <w:shd w:val="clear" w:color="auto" w:fill="ADADAD"/>
          </w:tcPr>
          <w:p>
            <w:pPr>
              <w:spacing w:after="0"/>
              <w:rPr>
                <w:sz w:val="11"/>
                <w:szCs w:val="11"/>
                <w:color w:val="auto"/>
              </w:rPr>
            </w:pPr>
          </w:p>
        </w:tc>
        <w:tc>
          <w:tcPr>
            <w:tcW w:w="1880" w:type="dxa"/>
            <w:vAlign w:val="bottom"/>
            <w:tcBorders>
              <w:right w:val="single" w:sz="8" w:color="ADADAD"/>
            </w:tcBorders>
            <w:shd w:val="clear" w:color="auto" w:fill="ADADAD"/>
          </w:tcPr>
          <w:p>
            <w:pPr>
              <w:spacing w:after="0"/>
              <w:rPr>
                <w:sz w:val="11"/>
                <w:szCs w:val="11"/>
                <w:color w:val="auto"/>
              </w:rPr>
            </w:pPr>
          </w:p>
        </w:tc>
        <w:tc>
          <w:tcPr>
            <w:tcW w:w="300" w:type="dxa"/>
            <w:vAlign w:val="bottom"/>
            <w:tcBorders>
              <w:right w:val="single" w:sz="8" w:color="ADADAD"/>
            </w:tcBorders>
            <w:shd w:val="clear" w:color="auto" w:fill="ADADAD"/>
          </w:tcPr>
          <w:p>
            <w:pPr>
              <w:spacing w:after="0"/>
              <w:rPr>
                <w:sz w:val="11"/>
                <w:szCs w:val="11"/>
                <w:color w:val="auto"/>
              </w:rPr>
            </w:pPr>
          </w:p>
        </w:tc>
        <w:tc>
          <w:tcPr>
            <w:tcW w:w="3540" w:type="dxa"/>
            <w:vAlign w:val="bottom"/>
            <w:tcBorders>
              <w:right w:val="single" w:sz="8" w:color="ADADAD"/>
            </w:tcBorders>
            <w:shd w:val="clear" w:color="auto" w:fill="ADADAD"/>
          </w:tcPr>
          <w:p>
            <w:pPr>
              <w:spacing w:after="0"/>
              <w:rPr>
                <w:sz w:val="11"/>
                <w:szCs w:val="11"/>
                <w:color w:val="auto"/>
              </w:rPr>
            </w:pPr>
          </w:p>
        </w:tc>
        <w:tc>
          <w:tcPr>
            <w:tcW w:w="280" w:type="dxa"/>
            <w:vAlign w:val="bottom"/>
            <w:tcBorders>
              <w:right w:val="single" w:sz="8" w:color="ADADAD"/>
            </w:tcBorders>
            <w:shd w:val="clear" w:color="auto" w:fill="ADADAD"/>
          </w:tcPr>
          <w:p>
            <w:pPr>
              <w:spacing w:after="0"/>
              <w:rPr>
                <w:sz w:val="11"/>
                <w:szCs w:val="11"/>
                <w:color w:val="auto"/>
              </w:rPr>
            </w:pPr>
          </w:p>
        </w:tc>
        <w:tc>
          <w:tcPr>
            <w:tcW w:w="3900" w:type="dxa"/>
            <w:vAlign w:val="bottom"/>
            <w:shd w:val="clear" w:color="auto" w:fill="ADADAD"/>
          </w:tcPr>
          <w:p>
            <w:pPr>
              <w:spacing w:after="0" w:line="135" w:lineRule="exact"/>
              <w:rPr>
                <w:sz w:val="20"/>
                <w:szCs w:val="20"/>
                <w:color w:val="auto"/>
              </w:rPr>
            </w:pPr>
            <w:r>
              <w:rPr>
                <w:rFonts w:ascii="Arial" w:cs="Arial" w:eastAsia="Arial" w:hAnsi="Arial"/>
                <w:sz w:val="15"/>
                <w:szCs w:val="15"/>
                <w:color w:val="auto"/>
              </w:rPr>
              <w:t>internal equity</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1340" w:type="dxa"/>
            <w:vAlign w:val="bottom"/>
            <w:tcBorders>
              <w:right w:val="single" w:sz="8" w:color="CDCDCD"/>
            </w:tcBorders>
            <w:shd w:val="clear" w:color="auto" w:fill="CDCDCD"/>
          </w:tcPr>
          <w:p>
            <w:pPr>
              <w:spacing w:after="0"/>
              <w:rPr>
                <w:sz w:val="17"/>
                <w:szCs w:val="17"/>
                <w:color w:val="auto"/>
              </w:rPr>
            </w:pPr>
          </w:p>
        </w:tc>
        <w:tc>
          <w:tcPr>
            <w:tcW w:w="1880" w:type="dxa"/>
            <w:vAlign w:val="bottom"/>
            <w:tcBorders>
              <w:right w:val="single" w:sz="8" w:color="CDCDCD"/>
            </w:tcBorders>
            <w:shd w:val="clear" w:color="auto" w:fill="CDCDCD"/>
          </w:tcPr>
          <w:p>
            <w:pPr>
              <w:spacing w:after="0"/>
              <w:rPr>
                <w:sz w:val="17"/>
                <w:szCs w:val="17"/>
                <w:color w:val="auto"/>
              </w:rPr>
            </w:pPr>
          </w:p>
        </w:tc>
        <w:tc>
          <w:tcPr>
            <w:tcW w:w="300" w:type="dxa"/>
            <w:vAlign w:val="bottom"/>
            <w:tcBorders>
              <w:right w:val="single" w:sz="8" w:color="CDCDCD"/>
            </w:tcBorders>
            <w:shd w:val="clear" w:color="auto" w:fill="CDCDCD"/>
          </w:tcPr>
          <w:p>
            <w:pPr>
              <w:ind w:left="80"/>
              <w:spacing w:after="0"/>
              <w:rPr>
                <w:sz w:val="20"/>
                <w:szCs w:val="20"/>
                <w:color w:val="auto"/>
              </w:rPr>
            </w:pPr>
            <w:r>
              <w:rPr>
                <w:rFonts w:ascii="Wingdings" w:cs="Wingdings" w:eastAsia="Wingdings" w:hAnsi="Wingdings"/>
                <w:sz w:val="16"/>
                <w:szCs w:val="16"/>
                <w:b w:val="1"/>
                <w:bCs w:val="1"/>
                <w:color w:val="auto"/>
                <w:highlight w:val="black"/>
              </w:rPr>
              <w:t>ü</w:t>
            </w:r>
          </w:p>
        </w:tc>
        <w:tc>
          <w:tcPr>
            <w:tcW w:w="3540" w:type="dxa"/>
            <w:vAlign w:val="bottom"/>
            <w:tcBorders>
              <w:right w:val="single" w:sz="8" w:color="CDCDCD"/>
            </w:tcBorders>
            <w:shd w:val="clear" w:color="auto" w:fill="CDCDCD"/>
          </w:tcPr>
          <w:p>
            <w:pPr>
              <w:spacing w:after="0"/>
              <w:rPr>
                <w:sz w:val="20"/>
                <w:szCs w:val="20"/>
                <w:color w:val="auto"/>
              </w:rPr>
            </w:pPr>
            <w:r>
              <w:rPr>
                <w:rFonts w:ascii="Arial" w:cs="Arial" w:eastAsia="Arial" w:hAnsi="Arial"/>
                <w:sz w:val="16"/>
                <w:szCs w:val="16"/>
                <w:color w:val="auto"/>
              </w:rPr>
              <w:t>Achieve annual goals linked to operating and</w:t>
            </w:r>
          </w:p>
        </w:tc>
        <w:tc>
          <w:tcPr>
            <w:tcW w:w="280" w:type="dxa"/>
            <w:vAlign w:val="bottom"/>
            <w:tcBorders>
              <w:right w:val="single" w:sz="8" w:color="CDCDCD"/>
            </w:tcBorders>
            <w:shd w:val="clear" w:color="auto" w:fill="CDCDCD"/>
          </w:tcPr>
          <w:p>
            <w:pPr>
              <w:spacing w:after="0"/>
              <w:rPr>
                <w:sz w:val="17"/>
                <w:szCs w:val="17"/>
                <w:color w:val="auto"/>
              </w:rPr>
            </w:pPr>
          </w:p>
        </w:tc>
        <w:tc>
          <w:tcPr>
            <w:tcW w:w="3900" w:type="dxa"/>
            <w:vAlign w:val="bottom"/>
            <w:shd w:val="clear" w:color="auto" w:fill="CDCDCD"/>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340" w:type="dxa"/>
            <w:vAlign w:val="bottom"/>
            <w:tcBorders>
              <w:right w:val="single" w:sz="8" w:color="CDCDCD"/>
            </w:tcBorders>
            <w:vMerge w:val="restart"/>
            <w:shd w:val="clear" w:color="auto" w:fill="CDCDCD"/>
          </w:tcPr>
          <w:p>
            <w:pPr>
              <w:jc w:val="center"/>
              <w:spacing w:after="0"/>
              <w:rPr>
                <w:sz w:val="20"/>
                <w:szCs w:val="20"/>
                <w:color w:val="auto"/>
              </w:rPr>
            </w:pPr>
            <w:r>
              <w:rPr>
                <w:rFonts w:ascii="Arial" w:cs="Arial" w:eastAsia="Arial" w:hAnsi="Arial"/>
                <w:sz w:val="16"/>
                <w:szCs w:val="16"/>
                <w:b w:val="1"/>
                <w:bCs w:val="1"/>
                <w:color w:val="auto"/>
                <w:w w:val="99"/>
              </w:rPr>
              <w:t>Annual</w:t>
            </w:r>
          </w:p>
        </w:tc>
        <w:tc>
          <w:tcPr>
            <w:tcW w:w="1880" w:type="dxa"/>
            <w:vAlign w:val="bottom"/>
            <w:tcBorders>
              <w:right w:val="single" w:sz="8" w:color="CDCDCD"/>
            </w:tcBorders>
            <w:shd w:val="clear" w:color="auto" w:fill="CDCDCD"/>
          </w:tcPr>
          <w:p>
            <w:pPr>
              <w:spacing w:after="0"/>
              <w:rPr>
                <w:sz w:val="18"/>
                <w:szCs w:val="18"/>
                <w:color w:val="auto"/>
              </w:rPr>
            </w:pPr>
          </w:p>
        </w:tc>
        <w:tc>
          <w:tcPr>
            <w:tcW w:w="300" w:type="dxa"/>
            <w:vAlign w:val="bottom"/>
            <w:tcBorders>
              <w:right w:val="single" w:sz="8" w:color="CDCDCD"/>
            </w:tcBorders>
            <w:shd w:val="clear" w:color="auto" w:fill="CDCDCD"/>
          </w:tcPr>
          <w:p>
            <w:pPr>
              <w:spacing w:after="0"/>
              <w:rPr>
                <w:sz w:val="18"/>
                <w:szCs w:val="18"/>
                <w:color w:val="auto"/>
              </w:rPr>
            </w:pPr>
          </w:p>
        </w:tc>
        <w:tc>
          <w:tcPr>
            <w:tcW w:w="3540" w:type="dxa"/>
            <w:vAlign w:val="bottom"/>
            <w:tcBorders>
              <w:right w:val="single" w:sz="8" w:color="CDCDCD"/>
            </w:tcBorders>
            <w:shd w:val="clear" w:color="auto" w:fill="CDCDCD"/>
          </w:tcPr>
          <w:p>
            <w:pPr>
              <w:spacing w:after="0"/>
              <w:rPr>
                <w:sz w:val="20"/>
                <w:szCs w:val="20"/>
                <w:color w:val="auto"/>
              </w:rPr>
            </w:pPr>
            <w:r>
              <w:rPr>
                <w:rFonts w:ascii="Arial" w:cs="Arial" w:eastAsia="Arial" w:hAnsi="Arial"/>
                <w:sz w:val="16"/>
                <w:szCs w:val="16"/>
                <w:color w:val="auto"/>
              </w:rPr>
              <w:t>strategic results</w:t>
            </w:r>
          </w:p>
        </w:tc>
        <w:tc>
          <w:tcPr>
            <w:tcW w:w="4180" w:type="dxa"/>
            <w:vAlign w:val="bottom"/>
            <w:gridSpan w:val="2"/>
            <w:vMerge w:val="restart"/>
            <w:shd w:val="clear" w:color="auto" w:fill="CDCDCD"/>
          </w:tcPr>
          <w:p>
            <w:pPr>
              <w:ind w:left="60"/>
              <w:spacing w:after="0"/>
              <w:rPr>
                <w:sz w:val="20"/>
                <w:szCs w:val="20"/>
                <w:color w:val="auto"/>
              </w:rPr>
            </w:pPr>
            <w:r>
              <w:rPr>
                <w:rFonts w:ascii="Wingdings" w:cs="Wingdings" w:eastAsia="Wingdings" w:hAnsi="Wingdings"/>
                <w:sz w:val="32"/>
                <w:szCs w:val="32"/>
                <w:b w:val="1"/>
                <w:bCs w:val="1"/>
                <w:color w:val="auto"/>
                <w:highlight w:val="black"/>
                <w:vertAlign w:val="subscript"/>
              </w:rPr>
              <w:t>ü</w:t>
            </w:r>
            <w:r>
              <w:rPr>
                <w:rFonts w:ascii="Arial" w:cs="Arial" w:eastAsia="Arial" w:hAnsi="Arial"/>
                <w:sz w:val="16"/>
                <w:szCs w:val="16"/>
                <w:color w:val="auto"/>
              </w:rPr>
              <w:t xml:space="preserve"> Rewards and recognizes annual accomplishment of</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340" w:type="dxa"/>
            <w:vAlign w:val="bottom"/>
            <w:tcBorders>
              <w:right w:val="single" w:sz="8" w:color="CDCDCD"/>
            </w:tcBorders>
            <w:vMerge w:val="continue"/>
            <w:shd w:val="clear" w:color="auto" w:fill="CDCDCD"/>
          </w:tcPr>
          <w:p>
            <w:pPr>
              <w:spacing w:after="0"/>
              <w:rPr>
                <w:sz w:val="16"/>
                <w:szCs w:val="16"/>
                <w:color w:val="auto"/>
              </w:rPr>
            </w:pPr>
          </w:p>
        </w:tc>
        <w:tc>
          <w:tcPr>
            <w:tcW w:w="1880" w:type="dxa"/>
            <w:vAlign w:val="bottom"/>
            <w:tcBorders>
              <w:right w:val="single" w:sz="8" w:color="CDCDCD"/>
            </w:tcBorders>
            <w:shd w:val="clear" w:color="auto" w:fill="CDCDCD"/>
          </w:tcPr>
          <w:p>
            <w:pPr>
              <w:jc w:val="center"/>
              <w:spacing w:after="0"/>
              <w:rPr>
                <w:sz w:val="20"/>
                <w:szCs w:val="20"/>
                <w:color w:val="auto"/>
              </w:rPr>
            </w:pPr>
            <w:r>
              <w:rPr>
                <w:rFonts w:ascii="Arial" w:cs="Arial" w:eastAsia="Arial" w:hAnsi="Arial"/>
                <w:sz w:val="16"/>
                <w:szCs w:val="16"/>
                <w:b w:val="1"/>
                <w:bCs w:val="1"/>
                <w:color w:val="auto"/>
                <w:w w:val="97"/>
              </w:rPr>
              <w:t>Cash</w:t>
            </w:r>
          </w:p>
        </w:tc>
        <w:tc>
          <w:tcPr>
            <w:tcW w:w="300" w:type="dxa"/>
            <w:vAlign w:val="bottom"/>
            <w:tcBorders>
              <w:right w:val="single" w:sz="8" w:color="CDCDCD"/>
            </w:tcBorders>
            <w:shd w:val="clear" w:color="auto" w:fill="CDCDCD"/>
          </w:tcPr>
          <w:p>
            <w:pPr>
              <w:spacing w:after="0"/>
              <w:rPr>
                <w:sz w:val="16"/>
                <w:szCs w:val="16"/>
                <w:color w:val="auto"/>
              </w:rPr>
            </w:pPr>
          </w:p>
        </w:tc>
        <w:tc>
          <w:tcPr>
            <w:tcW w:w="3540" w:type="dxa"/>
            <w:vAlign w:val="bottom"/>
            <w:tcBorders>
              <w:right w:val="single" w:sz="8" w:color="CDCDCD"/>
            </w:tcBorders>
            <w:shd w:val="clear" w:color="auto" w:fill="CDCDCD"/>
          </w:tcPr>
          <w:p>
            <w:pPr>
              <w:spacing w:after="0"/>
              <w:rPr>
                <w:sz w:val="20"/>
                <w:szCs w:val="20"/>
                <w:color w:val="auto"/>
              </w:rPr>
            </w:pPr>
            <w:r>
              <w:rPr>
                <w:rFonts w:ascii="Arial" w:cs="Arial" w:eastAsia="Arial" w:hAnsi="Arial"/>
                <w:sz w:val="16"/>
                <w:szCs w:val="16"/>
                <w:color w:val="auto"/>
              </w:rPr>
              <w:t>Provide competitive total cash compensation</w:t>
            </w:r>
          </w:p>
        </w:tc>
        <w:tc>
          <w:tcPr>
            <w:tcW w:w="4180" w:type="dxa"/>
            <w:vAlign w:val="bottom"/>
            <w:gridSpan w:val="2"/>
            <w:vMerge w:val="continue"/>
            <w:shd w:val="clear" w:color="auto" w:fill="CDCDCD"/>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340" w:type="dxa"/>
            <w:vAlign w:val="bottom"/>
            <w:tcBorders>
              <w:right w:val="single" w:sz="8" w:color="CDCDCD"/>
            </w:tcBorders>
            <w:shd w:val="clear" w:color="auto" w:fill="CDCDCD"/>
          </w:tcPr>
          <w:p>
            <w:pPr>
              <w:jc w:val="center"/>
              <w:spacing w:after="0"/>
              <w:rPr>
                <w:sz w:val="20"/>
                <w:szCs w:val="20"/>
                <w:color w:val="auto"/>
              </w:rPr>
            </w:pPr>
            <w:r>
              <w:rPr>
                <w:rFonts w:ascii="Arial" w:cs="Arial" w:eastAsia="Arial" w:hAnsi="Arial"/>
                <w:sz w:val="16"/>
                <w:szCs w:val="16"/>
                <w:b w:val="1"/>
                <w:bCs w:val="1"/>
                <w:color w:val="auto"/>
              </w:rPr>
              <w:t>Incentive</w:t>
            </w:r>
          </w:p>
        </w:tc>
        <w:tc>
          <w:tcPr>
            <w:tcW w:w="1880" w:type="dxa"/>
            <w:vAlign w:val="bottom"/>
            <w:tcBorders>
              <w:right w:val="single" w:sz="8" w:color="CDCDCD"/>
            </w:tcBorders>
            <w:shd w:val="clear" w:color="auto" w:fill="CDCDCD"/>
          </w:tcPr>
          <w:p>
            <w:pPr>
              <w:spacing w:after="0"/>
              <w:rPr>
                <w:sz w:val="19"/>
                <w:szCs w:val="19"/>
                <w:color w:val="auto"/>
              </w:rPr>
            </w:pPr>
          </w:p>
        </w:tc>
        <w:tc>
          <w:tcPr>
            <w:tcW w:w="300" w:type="dxa"/>
            <w:vAlign w:val="bottom"/>
            <w:tcBorders>
              <w:right w:val="single" w:sz="8" w:color="CDCDCD"/>
            </w:tcBorders>
            <w:shd w:val="clear" w:color="auto" w:fill="CDCDCD"/>
          </w:tcPr>
          <w:p>
            <w:pPr>
              <w:ind w:left="80"/>
              <w:spacing w:after="0"/>
              <w:rPr>
                <w:sz w:val="20"/>
                <w:szCs w:val="20"/>
                <w:color w:val="auto"/>
              </w:rPr>
            </w:pPr>
            <w:r>
              <w:rPr>
                <w:rFonts w:ascii="Wingdings" w:cs="Wingdings" w:eastAsia="Wingdings" w:hAnsi="Wingdings"/>
                <w:sz w:val="16"/>
                <w:szCs w:val="16"/>
                <w:b w:val="1"/>
                <w:bCs w:val="1"/>
                <w:color w:val="auto"/>
                <w:highlight w:val="black"/>
              </w:rPr>
              <w:t>ü</w:t>
            </w:r>
          </w:p>
        </w:tc>
        <w:tc>
          <w:tcPr>
            <w:tcW w:w="3540" w:type="dxa"/>
            <w:vAlign w:val="bottom"/>
            <w:tcBorders>
              <w:right w:val="single" w:sz="8" w:color="CDCDCD"/>
            </w:tcBorders>
            <w:shd w:val="clear" w:color="auto" w:fill="CDCDCD"/>
          </w:tcPr>
          <w:p>
            <w:pPr>
              <w:spacing w:after="0"/>
              <w:rPr>
                <w:sz w:val="20"/>
                <w:szCs w:val="20"/>
                <w:color w:val="auto"/>
              </w:rPr>
            </w:pPr>
            <w:r>
              <w:rPr>
                <w:rFonts w:ascii="Arial" w:cs="Arial" w:eastAsia="Arial" w:hAnsi="Arial"/>
                <w:sz w:val="16"/>
                <w:szCs w:val="16"/>
                <w:color w:val="auto"/>
              </w:rPr>
              <w:t>opportunity</w:t>
            </w:r>
          </w:p>
        </w:tc>
        <w:tc>
          <w:tcPr>
            <w:tcW w:w="280" w:type="dxa"/>
            <w:vAlign w:val="bottom"/>
            <w:tcBorders>
              <w:right w:val="single" w:sz="8" w:color="CDCDCD"/>
            </w:tcBorders>
            <w:shd w:val="clear" w:color="auto" w:fill="CDCDCD"/>
          </w:tcPr>
          <w:p>
            <w:pPr>
              <w:spacing w:after="0"/>
              <w:rPr>
                <w:sz w:val="19"/>
                <w:szCs w:val="19"/>
                <w:color w:val="auto"/>
              </w:rPr>
            </w:pPr>
          </w:p>
        </w:tc>
        <w:tc>
          <w:tcPr>
            <w:tcW w:w="3900" w:type="dxa"/>
            <w:vAlign w:val="bottom"/>
            <w:shd w:val="clear" w:color="auto" w:fill="CDCDCD"/>
          </w:tcPr>
          <w:p>
            <w:pPr>
              <w:spacing w:after="0"/>
              <w:rPr>
                <w:sz w:val="20"/>
                <w:szCs w:val="20"/>
                <w:color w:val="auto"/>
              </w:rPr>
            </w:pPr>
            <w:r>
              <w:rPr>
                <w:rFonts w:ascii="Arial" w:cs="Arial" w:eastAsia="Arial" w:hAnsi="Arial"/>
                <w:sz w:val="16"/>
                <w:szCs w:val="16"/>
                <w:color w:val="auto"/>
              </w:rPr>
              <w:t>key operating and strategic objectives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1340" w:type="dxa"/>
            <w:vAlign w:val="bottom"/>
            <w:tcBorders>
              <w:right w:val="single" w:sz="8" w:color="CDCDCD"/>
            </w:tcBorders>
            <w:shd w:val="clear" w:color="auto" w:fill="CDCDCD"/>
          </w:tcPr>
          <w:p>
            <w:pPr>
              <w:spacing w:after="0"/>
              <w:rPr>
                <w:sz w:val="22"/>
                <w:szCs w:val="22"/>
                <w:color w:val="auto"/>
              </w:rPr>
            </w:pPr>
          </w:p>
        </w:tc>
        <w:tc>
          <w:tcPr>
            <w:tcW w:w="1880" w:type="dxa"/>
            <w:vAlign w:val="bottom"/>
            <w:tcBorders>
              <w:right w:val="single" w:sz="8" w:color="CDCDCD"/>
            </w:tcBorders>
            <w:shd w:val="clear" w:color="auto" w:fill="CDCDCD"/>
          </w:tcPr>
          <w:p>
            <w:pPr>
              <w:spacing w:after="0"/>
              <w:rPr>
                <w:sz w:val="22"/>
                <w:szCs w:val="22"/>
                <w:color w:val="auto"/>
              </w:rPr>
            </w:pPr>
          </w:p>
        </w:tc>
        <w:tc>
          <w:tcPr>
            <w:tcW w:w="300" w:type="dxa"/>
            <w:vAlign w:val="bottom"/>
            <w:tcBorders>
              <w:right w:val="single" w:sz="8" w:color="CDCDCD"/>
            </w:tcBorders>
            <w:shd w:val="clear" w:color="auto" w:fill="CDCDCD"/>
          </w:tcPr>
          <w:p>
            <w:pPr>
              <w:ind w:left="80"/>
              <w:spacing w:after="0"/>
              <w:rPr>
                <w:sz w:val="20"/>
                <w:szCs w:val="20"/>
                <w:color w:val="auto"/>
              </w:rPr>
            </w:pPr>
            <w:r>
              <w:rPr>
                <w:rFonts w:ascii="Wingdings" w:cs="Wingdings" w:eastAsia="Wingdings" w:hAnsi="Wingdings"/>
                <w:sz w:val="16"/>
                <w:szCs w:val="16"/>
                <w:b w:val="1"/>
                <w:bCs w:val="1"/>
                <w:color w:val="auto"/>
                <w:highlight w:val="black"/>
              </w:rPr>
              <w:t>ü</w:t>
            </w:r>
          </w:p>
        </w:tc>
        <w:tc>
          <w:tcPr>
            <w:tcW w:w="3540" w:type="dxa"/>
            <w:vAlign w:val="bottom"/>
            <w:tcBorders>
              <w:right w:val="single" w:sz="8" w:color="CDCDCD"/>
            </w:tcBorders>
            <w:shd w:val="clear" w:color="auto" w:fill="CDCDCD"/>
          </w:tcPr>
          <w:p>
            <w:pPr>
              <w:spacing w:after="0"/>
              <w:rPr>
                <w:sz w:val="20"/>
                <w:szCs w:val="20"/>
                <w:color w:val="auto"/>
              </w:rPr>
            </w:pPr>
            <w:r>
              <w:rPr>
                <w:rFonts w:ascii="Arial" w:cs="Arial" w:eastAsia="Arial" w:hAnsi="Arial"/>
                <w:sz w:val="16"/>
                <w:szCs w:val="16"/>
                <w:color w:val="auto"/>
              </w:rPr>
              <w:t>Encourage internal alignment and teamwork</w:t>
            </w:r>
          </w:p>
        </w:tc>
        <w:tc>
          <w:tcPr>
            <w:tcW w:w="280" w:type="dxa"/>
            <w:vAlign w:val="bottom"/>
            <w:tcBorders>
              <w:right w:val="single" w:sz="8" w:color="CDCDCD"/>
            </w:tcBorders>
            <w:shd w:val="clear" w:color="auto" w:fill="CDCDCD"/>
          </w:tcPr>
          <w:p>
            <w:pPr>
              <w:spacing w:after="0"/>
              <w:rPr>
                <w:sz w:val="22"/>
                <w:szCs w:val="22"/>
                <w:color w:val="auto"/>
              </w:rPr>
            </w:pPr>
          </w:p>
        </w:tc>
        <w:tc>
          <w:tcPr>
            <w:tcW w:w="3900" w:type="dxa"/>
            <w:vAlign w:val="bottom"/>
            <w:shd w:val="clear" w:color="auto" w:fill="CDCDCD"/>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1340" w:type="dxa"/>
            <w:vAlign w:val="bottom"/>
            <w:tcBorders>
              <w:right w:val="single" w:sz="8" w:color="E5E5E5"/>
            </w:tcBorders>
            <w:shd w:val="clear" w:color="auto" w:fill="E5E5E5"/>
          </w:tcPr>
          <w:p>
            <w:pPr>
              <w:spacing w:after="0"/>
              <w:rPr>
                <w:sz w:val="20"/>
                <w:szCs w:val="20"/>
                <w:color w:val="auto"/>
              </w:rPr>
            </w:pPr>
          </w:p>
        </w:tc>
        <w:tc>
          <w:tcPr>
            <w:tcW w:w="1880" w:type="dxa"/>
            <w:vAlign w:val="bottom"/>
            <w:tcBorders>
              <w:right w:val="single" w:sz="8" w:color="E5E5E5"/>
            </w:tcBorders>
            <w:vMerge w:val="restart"/>
            <w:shd w:val="clear" w:color="auto" w:fill="E5E5E5"/>
          </w:tcPr>
          <w:p>
            <w:pPr>
              <w:jc w:val="center"/>
              <w:spacing w:after="0"/>
              <w:rPr>
                <w:sz w:val="20"/>
                <w:szCs w:val="20"/>
                <w:color w:val="auto"/>
              </w:rPr>
            </w:pPr>
            <w:r>
              <w:rPr>
                <w:rFonts w:ascii="Arial" w:cs="Arial" w:eastAsia="Arial" w:hAnsi="Arial"/>
                <w:sz w:val="16"/>
                <w:szCs w:val="16"/>
                <w:b w:val="1"/>
                <w:bCs w:val="1"/>
                <w:color w:val="auto"/>
              </w:rPr>
              <w:t>Performance</w:t>
            </w:r>
          </w:p>
        </w:tc>
        <w:tc>
          <w:tcPr>
            <w:tcW w:w="300" w:type="dxa"/>
            <w:vAlign w:val="bottom"/>
            <w:tcBorders>
              <w:right w:val="single" w:sz="8" w:color="E5E5E5"/>
            </w:tcBorders>
            <w:shd w:val="clear" w:color="auto" w:fill="E5E5E5"/>
          </w:tcPr>
          <w:p>
            <w:pPr>
              <w:ind w:left="80"/>
              <w:spacing w:after="0"/>
              <w:rPr>
                <w:sz w:val="20"/>
                <w:szCs w:val="20"/>
                <w:color w:val="auto"/>
              </w:rPr>
            </w:pPr>
            <w:r>
              <w:rPr>
                <w:rFonts w:ascii="Wingdings" w:cs="Wingdings" w:eastAsia="Wingdings" w:hAnsi="Wingdings"/>
                <w:sz w:val="16"/>
                <w:szCs w:val="16"/>
                <w:b w:val="1"/>
                <w:bCs w:val="1"/>
                <w:color w:val="auto"/>
                <w:highlight w:val="black"/>
              </w:rPr>
              <w:t>ü</w:t>
            </w:r>
          </w:p>
        </w:tc>
        <w:tc>
          <w:tcPr>
            <w:tcW w:w="3540" w:type="dxa"/>
            <w:vAlign w:val="bottom"/>
            <w:tcBorders>
              <w:right w:val="single" w:sz="8" w:color="E5E5E5"/>
            </w:tcBorders>
            <w:shd w:val="clear" w:color="auto" w:fill="E5E5E5"/>
          </w:tcPr>
          <w:p>
            <w:pPr>
              <w:spacing w:after="0"/>
              <w:rPr>
                <w:sz w:val="20"/>
                <w:szCs w:val="20"/>
                <w:color w:val="auto"/>
              </w:rPr>
            </w:pPr>
            <w:r>
              <w:rPr>
                <w:rFonts w:ascii="Arial" w:cs="Arial" w:eastAsia="Arial" w:hAnsi="Arial"/>
                <w:sz w:val="16"/>
                <w:szCs w:val="16"/>
                <w:color w:val="auto"/>
              </w:rPr>
              <w:t>Align NEOs' interests with stockholders</w:t>
            </w:r>
          </w:p>
        </w:tc>
        <w:tc>
          <w:tcPr>
            <w:tcW w:w="4180" w:type="dxa"/>
            <w:vAlign w:val="bottom"/>
            <w:gridSpan w:val="2"/>
            <w:shd w:val="clear" w:color="auto" w:fill="E5E5E5"/>
          </w:tcPr>
          <w:p>
            <w:pPr>
              <w:ind w:left="60"/>
              <w:spacing w:after="0"/>
              <w:rPr>
                <w:sz w:val="20"/>
                <w:szCs w:val="20"/>
                <w:color w:val="auto"/>
              </w:rPr>
            </w:pPr>
            <w:r>
              <w:rPr>
                <w:rFonts w:ascii="Wingdings" w:cs="Wingdings" w:eastAsia="Wingdings" w:hAnsi="Wingdings"/>
                <w:sz w:val="16"/>
                <w:szCs w:val="16"/>
                <w:b w:val="1"/>
                <w:bCs w:val="1"/>
                <w:color w:val="auto"/>
                <w:highlight w:val="black"/>
              </w:rPr>
              <w:t xml:space="preserve">ü </w:t>
            </w:r>
            <w:r>
              <w:rPr>
                <w:rFonts w:ascii="Arial" w:cs="Arial" w:eastAsia="Arial" w:hAnsi="Arial"/>
                <w:sz w:val="16"/>
                <w:szCs w:val="16"/>
                <w:color w:val="auto"/>
              </w:rPr>
              <w:t>Stockholder value creation</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4"/>
        </w:trPr>
        <w:tc>
          <w:tcPr>
            <w:tcW w:w="1340" w:type="dxa"/>
            <w:vAlign w:val="bottom"/>
            <w:tcBorders>
              <w:right w:val="single" w:sz="8" w:color="E5E5E5"/>
            </w:tcBorders>
            <w:vMerge w:val="restart"/>
            <w:shd w:val="clear" w:color="auto" w:fill="E5E5E5"/>
          </w:tcPr>
          <w:p>
            <w:pPr>
              <w:jc w:val="center"/>
              <w:spacing w:after="0"/>
              <w:rPr>
                <w:sz w:val="20"/>
                <w:szCs w:val="20"/>
                <w:color w:val="auto"/>
              </w:rPr>
            </w:pPr>
            <w:r>
              <w:rPr>
                <w:rFonts w:ascii="Arial" w:cs="Arial" w:eastAsia="Arial" w:hAnsi="Arial"/>
                <w:sz w:val="16"/>
                <w:szCs w:val="16"/>
                <w:b w:val="1"/>
                <w:bCs w:val="1"/>
                <w:color w:val="auto"/>
                <w:w w:val="98"/>
              </w:rPr>
              <w:t>Long-Term</w:t>
            </w:r>
          </w:p>
        </w:tc>
        <w:tc>
          <w:tcPr>
            <w:tcW w:w="1880" w:type="dxa"/>
            <w:vAlign w:val="bottom"/>
            <w:tcBorders>
              <w:right w:val="single" w:sz="8" w:color="E5E5E5"/>
            </w:tcBorders>
            <w:vMerge w:val="continue"/>
            <w:shd w:val="clear" w:color="auto" w:fill="E5E5E5"/>
          </w:tcPr>
          <w:p>
            <w:pPr>
              <w:spacing w:after="0"/>
              <w:rPr>
                <w:sz w:val="10"/>
                <w:szCs w:val="10"/>
                <w:color w:val="auto"/>
              </w:rPr>
            </w:pPr>
          </w:p>
        </w:tc>
        <w:tc>
          <w:tcPr>
            <w:tcW w:w="300" w:type="dxa"/>
            <w:vAlign w:val="bottom"/>
            <w:tcBorders>
              <w:right w:val="single" w:sz="8" w:color="E5E5E5"/>
            </w:tcBorders>
            <w:shd w:val="clear" w:color="auto" w:fill="E5E5E5"/>
          </w:tcPr>
          <w:p>
            <w:pPr>
              <w:spacing w:after="0"/>
              <w:rPr>
                <w:sz w:val="10"/>
                <w:szCs w:val="10"/>
                <w:color w:val="auto"/>
              </w:rPr>
            </w:pPr>
          </w:p>
        </w:tc>
        <w:tc>
          <w:tcPr>
            <w:tcW w:w="3540" w:type="dxa"/>
            <w:vAlign w:val="bottom"/>
            <w:tcBorders>
              <w:right w:val="single" w:sz="8" w:color="E5E5E5"/>
            </w:tcBorders>
            <w:vMerge w:val="restart"/>
            <w:shd w:val="clear" w:color="auto" w:fill="E5E5E5"/>
          </w:tcPr>
          <w:p>
            <w:pPr>
              <w:spacing w:after="0"/>
              <w:rPr>
                <w:sz w:val="20"/>
                <w:szCs w:val="20"/>
                <w:color w:val="auto"/>
              </w:rPr>
            </w:pPr>
            <w:r>
              <w:rPr>
                <w:rFonts w:ascii="Arial" w:cs="Arial" w:eastAsia="Arial" w:hAnsi="Arial"/>
                <w:sz w:val="16"/>
                <w:szCs w:val="16"/>
                <w:color w:val="auto"/>
              </w:rPr>
              <w:t>Balance short-term orientation of other pay</w:t>
            </w:r>
          </w:p>
        </w:tc>
        <w:tc>
          <w:tcPr>
            <w:tcW w:w="280" w:type="dxa"/>
            <w:vAlign w:val="bottom"/>
            <w:tcBorders>
              <w:right w:val="single" w:sz="8" w:color="E5E5E5"/>
            </w:tcBorders>
            <w:shd w:val="clear" w:color="auto" w:fill="E5E5E5"/>
          </w:tcPr>
          <w:p>
            <w:pPr>
              <w:spacing w:after="0"/>
              <w:rPr>
                <w:sz w:val="10"/>
                <w:szCs w:val="10"/>
                <w:color w:val="auto"/>
              </w:rPr>
            </w:pPr>
          </w:p>
        </w:tc>
        <w:tc>
          <w:tcPr>
            <w:tcW w:w="3900" w:type="dxa"/>
            <w:vAlign w:val="bottom"/>
            <w:shd w:val="clear" w:color="auto" w:fill="E5E5E5"/>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340" w:type="dxa"/>
            <w:vAlign w:val="bottom"/>
            <w:tcBorders>
              <w:right w:val="single" w:sz="8" w:color="E5E5E5"/>
            </w:tcBorders>
            <w:vMerge w:val="continue"/>
            <w:shd w:val="clear" w:color="auto" w:fill="E5E5E5"/>
          </w:tcPr>
          <w:p>
            <w:pPr>
              <w:spacing w:after="0"/>
              <w:rPr>
                <w:sz w:val="7"/>
                <w:szCs w:val="7"/>
                <w:color w:val="auto"/>
              </w:rPr>
            </w:pPr>
          </w:p>
        </w:tc>
        <w:tc>
          <w:tcPr>
            <w:tcW w:w="1880" w:type="dxa"/>
            <w:vAlign w:val="bottom"/>
            <w:tcBorders>
              <w:right w:val="single" w:sz="8" w:color="E5E5E5"/>
            </w:tcBorders>
            <w:vMerge w:val="restart"/>
            <w:shd w:val="clear" w:color="auto" w:fill="E5E5E5"/>
          </w:tcPr>
          <w:p>
            <w:pPr>
              <w:jc w:val="center"/>
              <w:spacing w:after="0"/>
              <w:rPr>
                <w:sz w:val="20"/>
                <w:szCs w:val="20"/>
                <w:color w:val="auto"/>
              </w:rPr>
            </w:pPr>
            <w:r>
              <w:rPr>
                <w:rFonts w:ascii="Arial" w:cs="Arial" w:eastAsia="Arial" w:hAnsi="Arial"/>
                <w:sz w:val="16"/>
                <w:szCs w:val="16"/>
                <w:b w:val="1"/>
                <w:bCs w:val="1"/>
                <w:color w:val="auto"/>
              </w:rPr>
              <w:t>Share Units/Restricted</w:t>
            </w:r>
          </w:p>
        </w:tc>
        <w:tc>
          <w:tcPr>
            <w:tcW w:w="300" w:type="dxa"/>
            <w:vAlign w:val="bottom"/>
            <w:tcBorders>
              <w:right w:val="single" w:sz="8" w:color="E5E5E5"/>
            </w:tcBorders>
            <w:vMerge w:val="restart"/>
            <w:shd w:val="clear" w:color="auto" w:fill="E5E5E5"/>
          </w:tcPr>
          <w:p>
            <w:pPr>
              <w:ind w:left="80"/>
              <w:spacing w:after="0"/>
              <w:rPr>
                <w:sz w:val="20"/>
                <w:szCs w:val="20"/>
                <w:color w:val="auto"/>
              </w:rPr>
            </w:pPr>
            <w:r>
              <w:rPr>
                <w:rFonts w:ascii="Wingdings" w:cs="Wingdings" w:eastAsia="Wingdings" w:hAnsi="Wingdings"/>
                <w:sz w:val="16"/>
                <w:szCs w:val="16"/>
                <w:b w:val="1"/>
                <w:bCs w:val="1"/>
                <w:color w:val="auto"/>
                <w:highlight w:val="black"/>
              </w:rPr>
              <w:t>ü</w:t>
            </w:r>
          </w:p>
        </w:tc>
        <w:tc>
          <w:tcPr>
            <w:tcW w:w="3540" w:type="dxa"/>
            <w:vAlign w:val="bottom"/>
            <w:tcBorders>
              <w:right w:val="single" w:sz="8" w:color="E5E5E5"/>
            </w:tcBorders>
            <w:vMerge w:val="continue"/>
            <w:shd w:val="clear" w:color="auto" w:fill="E5E5E5"/>
          </w:tcPr>
          <w:p>
            <w:pPr>
              <w:spacing w:after="0"/>
              <w:rPr>
                <w:sz w:val="7"/>
                <w:szCs w:val="7"/>
                <w:color w:val="auto"/>
              </w:rPr>
            </w:pPr>
          </w:p>
        </w:tc>
        <w:tc>
          <w:tcPr>
            <w:tcW w:w="4180" w:type="dxa"/>
            <w:vAlign w:val="bottom"/>
            <w:gridSpan w:val="2"/>
            <w:vMerge w:val="restart"/>
            <w:shd w:val="clear" w:color="auto" w:fill="E5E5E5"/>
          </w:tcPr>
          <w:p>
            <w:pPr>
              <w:ind w:left="60"/>
              <w:spacing w:after="0"/>
              <w:rPr>
                <w:sz w:val="20"/>
                <w:szCs w:val="20"/>
                <w:color w:val="auto"/>
              </w:rPr>
            </w:pPr>
            <w:r>
              <w:rPr>
                <w:rFonts w:ascii="Wingdings" w:cs="Wingdings" w:eastAsia="Wingdings" w:hAnsi="Wingdings"/>
                <w:sz w:val="16"/>
                <w:szCs w:val="16"/>
                <w:b w:val="1"/>
                <w:bCs w:val="1"/>
                <w:color w:val="auto"/>
                <w:highlight w:val="black"/>
              </w:rPr>
              <w:t xml:space="preserve">ü </w:t>
            </w:r>
            <w:r>
              <w:rPr>
                <w:rFonts w:ascii="Arial" w:cs="Arial" w:eastAsia="Arial" w:hAnsi="Arial"/>
                <w:sz w:val="16"/>
                <w:szCs w:val="16"/>
                <w:color w:val="auto"/>
              </w:rPr>
              <w:t>Achievement of key value drivers</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1340" w:type="dxa"/>
            <w:vAlign w:val="bottom"/>
            <w:tcBorders>
              <w:right w:val="single" w:sz="8" w:color="E5E5E5"/>
            </w:tcBorders>
            <w:shd w:val="clear" w:color="auto" w:fill="E5E5E5"/>
          </w:tcPr>
          <w:p>
            <w:pPr>
              <w:jc w:val="center"/>
              <w:spacing w:after="0" w:line="162" w:lineRule="exact"/>
              <w:rPr>
                <w:sz w:val="20"/>
                <w:szCs w:val="20"/>
                <w:color w:val="auto"/>
              </w:rPr>
            </w:pPr>
            <w:r>
              <w:rPr>
                <w:rFonts w:ascii="Arial" w:cs="Arial" w:eastAsia="Arial" w:hAnsi="Arial"/>
                <w:sz w:val="16"/>
                <w:szCs w:val="16"/>
                <w:b w:val="1"/>
                <w:bCs w:val="1"/>
                <w:color w:val="auto"/>
                <w:w w:val="99"/>
              </w:rPr>
              <w:t>Incentives</w:t>
            </w:r>
          </w:p>
        </w:tc>
        <w:tc>
          <w:tcPr>
            <w:tcW w:w="1880" w:type="dxa"/>
            <w:vAlign w:val="bottom"/>
            <w:tcBorders>
              <w:right w:val="single" w:sz="8" w:color="E5E5E5"/>
            </w:tcBorders>
            <w:vMerge w:val="continue"/>
            <w:shd w:val="clear" w:color="auto" w:fill="E5E5E5"/>
          </w:tcPr>
          <w:p>
            <w:pPr>
              <w:spacing w:after="0"/>
              <w:rPr>
                <w:sz w:val="14"/>
                <w:szCs w:val="14"/>
                <w:color w:val="auto"/>
              </w:rPr>
            </w:pPr>
          </w:p>
        </w:tc>
        <w:tc>
          <w:tcPr>
            <w:tcW w:w="300" w:type="dxa"/>
            <w:vAlign w:val="bottom"/>
            <w:tcBorders>
              <w:right w:val="single" w:sz="8" w:color="E5E5E5"/>
            </w:tcBorders>
            <w:vMerge w:val="continue"/>
            <w:shd w:val="clear" w:color="auto" w:fill="E5E5E5"/>
          </w:tcPr>
          <w:p>
            <w:pPr>
              <w:spacing w:after="0"/>
              <w:rPr>
                <w:sz w:val="14"/>
                <w:szCs w:val="14"/>
                <w:color w:val="auto"/>
              </w:rPr>
            </w:pPr>
          </w:p>
        </w:tc>
        <w:tc>
          <w:tcPr>
            <w:tcW w:w="3540" w:type="dxa"/>
            <w:vAlign w:val="bottom"/>
            <w:tcBorders>
              <w:right w:val="single" w:sz="8" w:color="E5E5E5"/>
            </w:tcBorders>
            <w:shd w:val="clear" w:color="auto" w:fill="E5E5E5"/>
          </w:tcPr>
          <w:p>
            <w:pPr>
              <w:spacing w:after="0" w:line="162" w:lineRule="exact"/>
              <w:rPr>
                <w:sz w:val="20"/>
                <w:szCs w:val="20"/>
                <w:color w:val="auto"/>
              </w:rPr>
            </w:pPr>
            <w:r>
              <w:rPr>
                <w:rFonts w:ascii="Arial" w:cs="Arial" w:eastAsia="Arial" w:hAnsi="Arial"/>
                <w:sz w:val="16"/>
                <w:szCs w:val="16"/>
                <w:color w:val="auto"/>
              </w:rPr>
              <w:t>elements</w:t>
            </w:r>
          </w:p>
        </w:tc>
        <w:tc>
          <w:tcPr>
            <w:tcW w:w="4180" w:type="dxa"/>
            <w:vAlign w:val="bottom"/>
            <w:gridSpan w:val="2"/>
            <w:vMerge w:val="continue"/>
            <w:shd w:val="clear" w:color="auto" w:fill="E5E5E5"/>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340" w:type="dxa"/>
            <w:vAlign w:val="bottom"/>
            <w:tcBorders>
              <w:right w:val="single" w:sz="8" w:color="E5E5E5"/>
            </w:tcBorders>
            <w:shd w:val="clear" w:color="auto" w:fill="E5E5E5"/>
          </w:tcPr>
          <w:p>
            <w:pPr>
              <w:spacing w:after="0"/>
              <w:rPr>
                <w:sz w:val="19"/>
                <w:szCs w:val="19"/>
                <w:color w:val="auto"/>
              </w:rPr>
            </w:pPr>
          </w:p>
        </w:tc>
        <w:tc>
          <w:tcPr>
            <w:tcW w:w="1880" w:type="dxa"/>
            <w:vAlign w:val="bottom"/>
            <w:tcBorders>
              <w:right w:val="single" w:sz="8" w:color="E5E5E5"/>
            </w:tcBorders>
            <w:shd w:val="clear" w:color="auto" w:fill="E5E5E5"/>
          </w:tcPr>
          <w:p>
            <w:pPr>
              <w:jc w:val="center"/>
              <w:spacing w:after="0"/>
              <w:rPr>
                <w:sz w:val="20"/>
                <w:szCs w:val="20"/>
                <w:color w:val="auto"/>
              </w:rPr>
            </w:pPr>
            <w:r>
              <w:rPr>
                <w:rFonts w:ascii="Arial" w:cs="Arial" w:eastAsia="Arial" w:hAnsi="Arial"/>
                <w:sz w:val="16"/>
                <w:szCs w:val="16"/>
                <w:b w:val="1"/>
                <w:bCs w:val="1"/>
                <w:color w:val="auto"/>
              </w:rPr>
              <w:t>Stock Units</w:t>
            </w:r>
          </w:p>
        </w:tc>
        <w:tc>
          <w:tcPr>
            <w:tcW w:w="300" w:type="dxa"/>
            <w:vAlign w:val="bottom"/>
            <w:tcBorders>
              <w:right w:val="single" w:sz="8" w:color="E5E5E5"/>
            </w:tcBorders>
            <w:vMerge w:val="restart"/>
            <w:shd w:val="clear" w:color="auto" w:fill="E5E5E5"/>
          </w:tcPr>
          <w:p>
            <w:pPr>
              <w:ind w:left="80"/>
              <w:spacing w:after="0"/>
              <w:rPr>
                <w:sz w:val="20"/>
                <w:szCs w:val="20"/>
                <w:color w:val="auto"/>
              </w:rPr>
            </w:pPr>
            <w:r>
              <w:rPr>
                <w:rFonts w:ascii="Wingdings" w:cs="Wingdings" w:eastAsia="Wingdings" w:hAnsi="Wingdings"/>
                <w:sz w:val="16"/>
                <w:szCs w:val="16"/>
                <w:b w:val="1"/>
                <w:bCs w:val="1"/>
                <w:color w:val="auto"/>
                <w:highlight w:val="black"/>
              </w:rPr>
              <w:t>ü</w:t>
            </w:r>
          </w:p>
        </w:tc>
        <w:tc>
          <w:tcPr>
            <w:tcW w:w="3540" w:type="dxa"/>
            <w:vAlign w:val="bottom"/>
            <w:tcBorders>
              <w:right w:val="single" w:sz="8" w:color="E5E5E5"/>
            </w:tcBorders>
            <w:vMerge w:val="restart"/>
            <w:shd w:val="clear" w:color="auto" w:fill="E5E5E5"/>
          </w:tcPr>
          <w:p>
            <w:pPr>
              <w:spacing w:after="0"/>
              <w:rPr>
                <w:sz w:val="20"/>
                <w:szCs w:val="20"/>
                <w:color w:val="auto"/>
              </w:rPr>
            </w:pPr>
            <w:r>
              <w:rPr>
                <w:rFonts w:ascii="Arial" w:cs="Arial" w:eastAsia="Arial" w:hAnsi="Arial"/>
                <w:sz w:val="16"/>
                <w:szCs w:val="16"/>
                <w:color w:val="auto"/>
              </w:rPr>
              <w:t>Retain executive talent</w:t>
            </w:r>
          </w:p>
        </w:tc>
        <w:tc>
          <w:tcPr>
            <w:tcW w:w="4180" w:type="dxa"/>
            <w:vAlign w:val="bottom"/>
            <w:gridSpan w:val="2"/>
            <w:vMerge w:val="restart"/>
            <w:shd w:val="clear" w:color="auto" w:fill="E5E5E5"/>
          </w:tcPr>
          <w:p>
            <w:pPr>
              <w:ind w:left="60"/>
              <w:spacing w:after="0"/>
              <w:rPr>
                <w:sz w:val="20"/>
                <w:szCs w:val="20"/>
                <w:color w:val="auto"/>
              </w:rPr>
            </w:pPr>
            <w:r>
              <w:rPr>
                <w:rFonts w:ascii="Wingdings" w:cs="Wingdings" w:eastAsia="Wingdings" w:hAnsi="Wingdings"/>
                <w:sz w:val="16"/>
                <w:szCs w:val="16"/>
                <w:b w:val="1"/>
                <w:bCs w:val="1"/>
                <w:color w:val="auto"/>
                <w:highlight w:val="black"/>
              </w:rPr>
              <w:t xml:space="preserve">ü </w:t>
            </w:r>
            <w:r>
              <w:rPr>
                <w:rFonts w:ascii="Arial" w:cs="Arial" w:eastAsia="Arial" w:hAnsi="Arial"/>
                <w:sz w:val="16"/>
                <w:szCs w:val="16"/>
                <w:color w:val="auto"/>
              </w:rPr>
              <w:t>Increase in share price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5"/>
        </w:trPr>
        <w:tc>
          <w:tcPr>
            <w:tcW w:w="1340" w:type="dxa"/>
            <w:vAlign w:val="bottom"/>
            <w:tcBorders>
              <w:bottom w:val="single" w:sz="8" w:color="DBDBDB"/>
              <w:right w:val="single" w:sz="8" w:color="E5E5E5"/>
            </w:tcBorders>
            <w:shd w:val="clear" w:color="auto" w:fill="E5E5E5"/>
          </w:tcPr>
          <w:p>
            <w:pPr>
              <w:spacing w:after="0"/>
              <w:rPr>
                <w:sz w:val="8"/>
                <w:szCs w:val="8"/>
                <w:color w:val="auto"/>
              </w:rPr>
            </w:pPr>
          </w:p>
        </w:tc>
        <w:tc>
          <w:tcPr>
            <w:tcW w:w="1880" w:type="dxa"/>
            <w:vAlign w:val="bottom"/>
            <w:tcBorders>
              <w:bottom w:val="single" w:sz="8" w:color="DBDBDB"/>
              <w:right w:val="single" w:sz="8" w:color="E5E5E5"/>
            </w:tcBorders>
            <w:shd w:val="clear" w:color="auto" w:fill="E5E5E5"/>
          </w:tcPr>
          <w:p>
            <w:pPr>
              <w:spacing w:after="0"/>
              <w:rPr>
                <w:sz w:val="8"/>
                <w:szCs w:val="8"/>
                <w:color w:val="auto"/>
              </w:rPr>
            </w:pPr>
          </w:p>
        </w:tc>
        <w:tc>
          <w:tcPr>
            <w:tcW w:w="300" w:type="dxa"/>
            <w:vAlign w:val="bottom"/>
            <w:tcBorders>
              <w:bottom w:val="single" w:sz="8" w:color="DBDBDB"/>
              <w:right w:val="single" w:sz="8" w:color="E5E5E5"/>
            </w:tcBorders>
            <w:vMerge w:val="continue"/>
            <w:shd w:val="clear" w:color="auto" w:fill="E5E5E5"/>
          </w:tcPr>
          <w:p>
            <w:pPr>
              <w:spacing w:after="0"/>
              <w:rPr>
                <w:sz w:val="8"/>
                <w:szCs w:val="8"/>
                <w:color w:val="auto"/>
              </w:rPr>
            </w:pPr>
          </w:p>
        </w:tc>
        <w:tc>
          <w:tcPr>
            <w:tcW w:w="3540" w:type="dxa"/>
            <w:vAlign w:val="bottom"/>
            <w:tcBorders>
              <w:bottom w:val="single" w:sz="8" w:color="DBDBDB"/>
              <w:right w:val="single" w:sz="8" w:color="E5E5E5"/>
            </w:tcBorders>
            <w:vMerge w:val="continue"/>
            <w:shd w:val="clear" w:color="auto" w:fill="E5E5E5"/>
          </w:tcPr>
          <w:p>
            <w:pPr>
              <w:spacing w:after="0"/>
              <w:rPr>
                <w:sz w:val="8"/>
                <w:szCs w:val="8"/>
                <w:color w:val="auto"/>
              </w:rPr>
            </w:pPr>
          </w:p>
        </w:tc>
        <w:tc>
          <w:tcPr>
            <w:tcW w:w="4180" w:type="dxa"/>
            <w:vAlign w:val="bottom"/>
            <w:tcBorders>
              <w:bottom w:val="single" w:sz="8" w:color="DBDBDB"/>
            </w:tcBorders>
            <w:gridSpan w:val="2"/>
            <w:vMerge w:val="continue"/>
            <w:shd w:val="clear" w:color="auto" w:fill="E5E5E5"/>
          </w:tcPr>
          <w:p>
            <w:pPr>
              <w:spacing w:after="0"/>
              <w:rPr>
                <w:sz w:val="8"/>
                <w:szCs w:val="8"/>
                <w:color w:val="auto"/>
              </w:rPr>
            </w:pPr>
          </w:p>
        </w:tc>
        <w:tc>
          <w:tcPr>
            <w:tcW w:w="20" w:type="dxa"/>
            <w:vAlign w:val="bottom"/>
            <w:tcBorders>
              <w:bottom w:val="single" w:sz="8" w:color="DBDBDB"/>
            </w:tcBorders>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1340" w:type="dxa"/>
            <w:vAlign w:val="bottom"/>
            <w:tcBorders>
              <w:right w:val="single" w:sz="8" w:color="DBDBDB"/>
            </w:tcBorders>
          </w:tcPr>
          <w:p>
            <w:pPr>
              <w:spacing w:after="0"/>
              <w:rPr>
                <w:sz w:val="16"/>
                <w:szCs w:val="16"/>
                <w:color w:val="auto"/>
              </w:rPr>
            </w:pPr>
          </w:p>
        </w:tc>
        <w:tc>
          <w:tcPr>
            <w:tcW w:w="1880" w:type="dxa"/>
            <w:vAlign w:val="bottom"/>
            <w:tcBorders>
              <w:right w:val="single" w:sz="8" w:color="DBDBDB"/>
            </w:tcBorders>
          </w:tcPr>
          <w:p>
            <w:pPr>
              <w:spacing w:after="0"/>
              <w:rPr>
                <w:sz w:val="16"/>
                <w:szCs w:val="16"/>
                <w:color w:val="auto"/>
              </w:rPr>
            </w:pPr>
          </w:p>
        </w:tc>
        <w:tc>
          <w:tcPr>
            <w:tcW w:w="300" w:type="dxa"/>
            <w:vAlign w:val="bottom"/>
            <w:tcBorders>
              <w:right w:val="single" w:sz="8" w:color="DBDBDB"/>
            </w:tcBorders>
          </w:tcPr>
          <w:p>
            <w:pPr>
              <w:ind w:left="80"/>
              <w:spacing w:after="0"/>
              <w:rPr>
                <w:sz w:val="20"/>
                <w:szCs w:val="20"/>
                <w:color w:val="auto"/>
              </w:rPr>
            </w:pPr>
            <w:r>
              <w:rPr>
                <w:rFonts w:ascii="Wingdings" w:cs="Wingdings" w:eastAsia="Wingdings" w:hAnsi="Wingdings"/>
                <w:sz w:val="16"/>
                <w:szCs w:val="16"/>
                <w:b w:val="1"/>
                <w:bCs w:val="1"/>
                <w:color w:val="auto"/>
                <w:highlight w:val="black"/>
              </w:rPr>
              <w:t>ü</w:t>
            </w:r>
          </w:p>
        </w:tc>
        <w:tc>
          <w:tcPr>
            <w:tcW w:w="3540" w:type="dxa"/>
            <w:vAlign w:val="bottom"/>
            <w:tcBorders>
              <w:right w:val="single" w:sz="8" w:color="DBDBDB"/>
            </w:tcBorders>
          </w:tcPr>
          <w:p>
            <w:pPr>
              <w:spacing w:after="0"/>
              <w:rPr>
                <w:sz w:val="20"/>
                <w:szCs w:val="20"/>
                <w:color w:val="auto"/>
              </w:rPr>
            </w:pPr>
            <w:r>
              <w:rPr>
                <w:rFonts w:ascii="Arial" w:cs="Arial" w:eastAsia="Arial" w:hAnsi="Arial"/>
                <w:sz w:val="16"/>
                <w:szCs w:val="16"/>
                <w:color w:val="auto"/>
              </w:rPr>
              <w:t>Ensure management objectivity regarding</w:t>
            </w:r>
          </w:p>
        </w:tc>
        <w:tc>
          <w:tcPr>
            <w:tcW w:w="280" w:type="dxa"/>
            <w:vAlign w:val="bottom"/>
            <w:tcBorders>
              <w:right w:val="single" w:sz="8" w:color="DBDBDB"/>
            </w:tcBorders>
          </w:tcPr>
          <w:p>
            <w:pPr>
              <w:spacing w:after="0"/>
              <w:rPr>
                <w:sz w:val="16"/>
                <w:szCs w:val="16"/>
                <w:color w:val="auto"/>
              </w:rPr>
            </w:pPr>
          </w:p>
        </w:tc>
        <w:tc>
          <w:tcPr>
            <w:tcW w:w="3900" w:type="dxa"/>
            <w:vAlign w:val="bottom"/>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1340" w:type="dxa"/>
            <w:vAlign w:val="bottom"/>
            <w:tcBorders>
              <w:right w:val="single" w:sz="8" w:color="DBDBDB"/>
            </w:tcBorders>
          </w:tcPr>
          <w:p>
            <w:pPr>
              <w:spacing w:after="0"/>
              <w:rPr>
                <w:sz w:val="18"/>
                <w:szCs w:val="18"/>
                <w:color w:val="auto"/>
              </w:rPr>
            </w:pPr>
          </w:p>
        </w:tc>
        <w:tc>
          <w:tcPr>
            <w:tcW w:w="1880" w:type="dxa"/>
            <w:vAlign w:val="bottom"/>
            <w:tcBorders>
              <w:right w:val="single" w:sz="8" w:color="DBDBDB"/>
            </w:tcBorders>
            <w:vMerge w:val="restart"/>
          </w:tcPr>
          <w:p>
            <w:pPr>
              <w:jc w:val="center"/>
              <w:spacing w:after="0"/>
              <w:rPr>
                <w:sz w:val="20"/>
                <w:szCs w:val="20"/>
                <w:color w:val="auto"/>
              </w:rPr>
            </w:pPr>
            <w:r>
              <w:rPr>
                <w:rFonts w:ascii="Arial" w:cs="Arial" w:eastAsia="Arial" w:hAnsi="Arial"/>
                <w:sz w:val="16"/>
                <w:szCs w:val="16"/>
                <w:b w:val="1"/>
                <w:bCs w:val="1"/>
                <w:color w:val="auto"/>
              </w:rPr>
              <w:t>Employment/Severance</w:t>
            </w:r>
          </w:p>
        </w:tc>
        <w:tc>
          <w:tcPr>
            <w:tcW w:w="300" w:type="dxa"/>
            <w:vAlign w:val="bottom"/>
            <w:tcBorders>
              <w:bottom w:val="single" w:sz="8" w:color="DBDBDB"/>
              <w:right w:val="single" w:sz="8" w:color="DBDBDB"/>
            </w:tcBorders>
          </w:tcPr>
          <w:p>
            <w:pPr>
              <w:spacing w:after="0"/>
              <w:rPr>
                <w:sz w:val="18"/>
                <w:szCs w:val="18"/>
                <w:color w:val="auto"/>
              </w:rPr>
            </w:pPr>
          </w:p>
        </w:tc>
        <w:tc>
          <w:tcPr>
            <w:tcW w:w="3540" w:type="dxa"/>
            <w:vAlign w:val="bottom"/>
            <w:tcBorders>
              <w:bottom w:val="single" w:sz="8" w:color="DBDBDB"/>
              <w:right w:val="single" w:sz="8" w:color="DBDBDB"/>
            </w:tcBorders>
          </w:tcPr>
          <w:p>
            <w:pPr>
              <w:spacing w:after="0"/>
              <w:rPr>
                <w:sz w:val="20"/>
                <w:szCs w:val="20"/>
                <w:color w:val="auto"/>
              </w:rPr>
            </w:pPr>
            <w:r>
              <w:rPr>
                <w:rFonts w:ascii="Arial" w:cs="Arial" w:eastAsia="Arial" w:hAnsi="Arial"/>
                <w:sz w:val="16"/>
                <w:szCs w:val="16"/>
                <w:color w:val="auto"/>
              </w:rPr>
              <w:t>potential Change in Control transactions</w:t>
            </w:r>
          </w:p>
        </w:tc>
        <w:tc>
          <w:tcPr>
            <w:tcW w:w="280" w:type="dxa"/>
            <w:vAlign w:val="bottom"/>
            <w:tcBorders>
              <w:right w:val="single" w:sz="8" w:color="DBDBDB"/>
            </w:tcBorders>
          </w:tcPr>
          <w:p>
            <w:pPr>
              <w:spacing w:after="0"/>
              <w:rPr>
                <w:sz w:val="18"/>
                <w:szCs w:val="18"/>
                <w:color w:val="auto"/>
              </w:rPr>
            </w:pPr>
          </w:p>
        </w:tc>
        <w:tc>
          <w:tcPr>
            <w:tcW w:w="3900" w:type="dxa"/>
            <w:vAlign w:val="bottom"/>
          </w:tcPr>
          <w:p>
            <w:pPr>
              <w:spacing w:after="0"/>
              <w:rPr>
                <w:sz w:val="18"/>
                <w:szCs w:val="18"/>
                <w:color w:val="auto"/>
              </w:rPr>
            </w:pPr>
          </w:p>
        </w:tc>
        <w:tc>
          <w:tcPr>
            <w:tcW w:w="20" w:type="dxa"/>
            <w:vAlign w:val="bottom"/>
            <w:tcBorders>
              <w:bottom w:val="single" w:sz="8" w:color="DBDBDB"/>
            </w:tcBorders>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1340" w:type="dxa"/>
            <w:vAlign w:val="bottom"/>
            <w:tcBorders>
              <w:right w:val="single" w:sz="8" w:color="DBDBDB"/>
            </w:tcBorders>
          </w:tcPr>
          <w:p>
            <w:pPr>
              <w:spacing w:after="0"/>
              <w:rPr>
                <w:sz w:val="2"/>
                <w:szCs w:val="2"/>
                <w:color w:val="auto"/>
              </w:rPr>
            </w:pPr>
          </w:p>
        </w:tc>
        <w:tc>
          <w:tcPr>
            <w:tcW w:w="1880" w:type="dxa"/>
            <w:vAlign w:val="bottom"/>
            <w:tcBorders>
              <w:right w:val="single" w:sz="8" w:color="DBDBDB"/>
            </w:tcBorders>
            <w:vMerge w:val="continue"/>
          </w:tcPr>
          <w:p>
            <w:pPr>
              <w:spacing w:after="0"/>
              <w:rPr>
                <w:sz w:val="2"/>
                <w:szCs w:val="2"/>
                <w:color w:val="auto"/>
              </w:rPr>
            </w:pPr>
          </w:p>
        </w:tc>
        <w:tc>
          <w:tcPr>
            <w:tcW w:w="300" w:type="dxa"/>
            <w:vAlign w:val="bottom"/>
            <w:tcBorders>
              <w:right w:val="single" w:sz="8" w:color="DBDBDB"/>
            </w:tcBorders>
          </w:tcPr>
          <w:p>
            <w:pPr>
              <w:spacing w:after="0"/>
              <w:rPr>
                <w:sz w:val="2"/>
                <w:szCs w:val="2"/>
                <w:color w:val="auto"/>
              </w:rPr>
            </w:pPr>
          </w:p>
        </w:tc>
        <w:tc>
          <w:tcPr>
            <w:tcW w:w="3540" w:type="dxa"/>
            <w:vAlign w:val="bottom"/>
            <w:tcBorders>
              <w:right w:val="single" w:sz="8" w:color="DBDBDB"/>
            </w:tcBorders>
            <w:vMerge w:val="restart"/>
          </w:tcPr>
          <w:p>
            <w:pPr>
              <w:spacing w:after="0"/>
              <w:rPr>
                <w:sz w:val="20"/>
                <w:szCs w:val="20"/>
                <w:color w:val="auto"/>
              </w:rPr>
            </w:pPr>
            <w:r>
              <w:rPr>
                <w:rFonts w:ascii="Arial" w:cs="Arial" w:eastAsia="Arial" w:hAnsi="Arial"/>
                <w:sz w:val="16"/>
                <w:szCs w:val="16"/>
                <w:color w:val="auto"/>
              </w:rPr>
              <w:t>Protect our interests through appropriate</w:t>
            </w:r>
          </w:p>
        </w:tc>
        <w:tc>
          <w:tcPr>
            <w:tcW w:w="280" w:type="dxa"/>
            <w:vAlign w:val="bottom"/>
            <w:tcBorders>
              <w:right w:val="single" w:sz="8" w:color="DBDBDB"/>
            </w:tcBorders>
          </w:tcPr>
          <w:p>
            <w:pPr>
              <w:spacing w:after="0"/>
              <w:rPr>
                <w:sz w:val="2"/>
                <w:szCs w:val="2"/>
                <w:color w:val="auto"/>
              </w:rPr>
            </w:pPr>
          </w:p>
        </w:tc>
        <w:tc>
          <w:tcPr>
            <w:tcW w:w="3900" w:type="dxa"/>
            <w:vAlign w:val="bottom"/>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340" w:type="dxa"/>
            <w:vAlign w:val="bottom"/>
            <w:tcBorders>
              <w:right w:val="single" w:sz="8" w:color="DBDBDB"/>
            </w:tcBorders>
          </w:tcPr>
          <w:p>
            <w:pPr>
              <w:spacing w:after="0"/>
              <w:rPr>
                <w:sz w:val="14"/>
                <w:szCs w:val="14"/>
                <w:color w:val="auto"/>
              </w:rPr>
            </w:pPr>
          </w:p>
        </w:tc>
        <w:tc>
          <w:tcPr>
            <w:tcW w:w="1880" w:type="dxa"/>
            <w:vAlign w:val="bottom"/>
            <w:tcBorders>
              <w:right w:val="single" w:sz="8" w:color="DBDBDB"/>
            </w:tcBorders>
          </w:tcPr>
          <w:p>
            <w:pPr>
              <w:jc w:val="center"/>
              <w:spacing w:after="0" w:line="162" w:lineRule="exact"/>
              <w:rPr>
                <w:sz w:val="20"/>
                <w:szCs w:val="20"/>
                <w:color w:val="auto"/>
              </w:rPr>
            </w:pPr>
            <w:r>
              <w:rPr>
                <w:rFonts w:ascii="Arial" w:cs="Arial" w:eastAsia="Arial" w:hAnsi="Arial"/>
                <w:sz w:val="16"/>
                <w:szCs w:val="16"/>
                <w:b w:val="1"/>
                <w:bCs w:val="1"/>
                <w:color w:val="auto"/>
              </w:rPr>
              <w:t>Agreements</w:t>
            </w:r>
          </w:p>
        </w:tc>
        <w:tc>
          <w:tcPr>
            <w:tcW w:w="300" w:type="dxa"/>
            <w:vAlign w:val="bottom"/>
            <w:tcBorders>
              <w:right w:val="single" w:sz="8" w:color="DBDBDB"/>
            </w:tcBorders>
            <w:vMerge w:val="restart"/>
          </w:tcPr>
          <w:p>
            <w:pPr>
              <w:ind w:left="80"/>
              <w:spacing w:after="0"/>
              <w:rPr>
                <w:sz w:val="20"/>
                <w:szCs w:val="20"/>
                <w:color w:val="auto"/>
              </w:rPr>
            </w:pPr>
            <w:r>
              <w:rPr>
                <w:rFonts w:ascii="Wingdings" w:cs="Wingdings" w:eastAsia="Wingdings" w:hAnsi="Wingdings"/>
                <w:sz w:val="16"/>
                <w:szCs w:val="16"/>
                <w:b w:val="1"/>
                <w:bCs w:val="1"/>
                <w:color w:val="auto"/>
                <w:highlight w:val="black"/>
              </w:rPr>
              <w:t>ü</w:t>
            </w:r>
          </w:p>
        </w:tc>
        <w:tc>
          <w:tcPr>
            <w:tcW w:w="3540" w:type="dxa"/>
            <w:vAlign w:val="bottom"/>
            <w:tcBorders>
              <w:right w:val="single" w:sz="8" w:color="DBDBDB"/>
            </w:tcBorders>
            <w:vMerge w:val="continue"/>
          </w:tcPr>
          <w:p>
            <w:pPr>
              <w:spacing w:after="0"/>
              <w:rPr>
                <w:sz w:val="14"/>
                <w:szCs w:val="14"/>
                <w:color w:val="auto"/>
              </w:rPr>
            </w:pPr>
          </w:p>
        </w:tc>
        <w:tc>
          <w:tcPr>
            <w:tcW w:w="280" w:type="dxa"/>
            <w:vAlign w:val="bottom"/>
            <w:tcBorders>
              <w:right w:val="single" w:sz="8" w:color="DBDBDB"/>
            </w:tcBorders>
          </w:tcPr>
          <w:p>
            <w:pPr>
              <w:spacing w:after="0"/>
              <w:rPr>
                <w:sz w:val="14"/>
                <w:szCs w:val="14"/>
                <w:color w:val="auto"/>
              </w:rPr>
            </w:pPr>
          </w:p>
        </w:tc>
        <w:tc>
          <w:tcPr>
            <w:tcW w:w="3900" w:type="dxa"/>
            <w:vAlign w:val="bottom"/>
          </w:tcPr>
          <w:p>
            <w:pPr>
              <w:spacing w:after="0"/>
              <w:rPr>
                <w:sz w:val="14"/>
                <w:szCs w:val="14"/>
                <w:color w:val="auto"/>
              </w:rPr>
            </w:pPr>
          </w:p>
        </w:tc>
        <w:tc>
          <w:tcPr>
            <w:tcW w:w="2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340" w:type="dxa"/>
            <w:vAlign w:val="bottom"/>
            <w:tcBorders>
              <w:right w:val="single" w:sz="8" w:color="DBDBDB"/>
            </w:tcBorders>
          </w:tcPr>
          <w:p>
            <w:pPr>
              <w:spacing w:after="0"/>
              <w:rPr>
                <w:sz w:val="11"/>
                <w:szCs w:val="11"/>
                <w:color w:val="auto"/>
              </w:rPr>
            </w:pPr>
          </w:p>
        </w:tc>
        <w:tc>
          <w:tcPr>
            <w:tcW w:w="1880" w:type="dxa"/>
            <w:vAlign w:val="bottom"/>
            <w:tcBorders>
              <w:right w:val="single" w:sz="8" w:color="DBDBDB"/>
            </w:tcBorders>
          </w:tcPr>
          <w:p>
            <w:pPr>
              <w:spacing w:after="0"/>
              <w:rPr>
                <w:sz w:val="11"/>
                <w:szCs w:val="11"/>
                <w:color w:val="auto"/>
              </w:rPr>
            </w:pPr>
          </w:p>
        </w:tc>
        <w:tc>
          <w:tcPr>
            <w:tcW w:w="300" w:type="dxa"/>
            <w:vAlign w:val="bottom"/>
            <w:tcBorders>
              <w:right w:val="single" w:sz="8" w:color="DBDBDB"/>
            </w:tcBorders>
            <w:vMerge w:val="continue"/>
          </w:tcPr>
          <w:p>
            <w:pPr>
              <w:spacing w:after="0"/>
              <w:rPr>
                <w:sz w:val="11"/>
                <w:szCs w:val="11"/>
                <w:color w:val="auto"/>
              </w:rPr>
            </w:pPr>
          </w:p>
        </w:tc>
        <w:tc>
          <w:tcPr>
            <w:tcW w:w="3540" w:type="dxa"/>
            <w:vAlign w:val="bottom"/>
            <w:tcBorders>
              <w:right w:val="single" w:sz="8" w:color="DBDBDB"/>
            </w:tcBorders>
          </w:tcPr>
          <w:p>
            <w:pPr>
              <w:spacing w:after="0" w:line="135" w:lineRule="exact"/>
              <w:rPr>
                <w:sz w:val="20"/>
                <w:szCs w:val="20"/>
                <w:color w:val="auto"/>
              </w:rPr>
            </w:pPr>
            <w:r>
              <w:rPr>
                <w:rFonts w:ascii="Arial" w:cs="Arial" w:eastAsia="Arial" w:hAnsi="Arial"/>
                <w:sz w:val="15"/>
                <w:szCs w:val="15"/>
                <w:color w:val="auto"/>
              </w:rPr>
              <w:t>restrictive post-employment covenants, subject</w:t>
            </w:r>
          </w:p>
        </w:tc>
        <w:tc>
          <w:tcPr>
            <w:tcW w:w="280" w:type="dxa"/>
            <w:vAlign w:val="bottom"/>
            <w:tcBorders>
              <w:right w:val="single" w:sz="8" w:color="DBDBDB"/>
            </w:tcBorders>
          </w:tcPr>
          <w:p>
            <w:pPr>
              <w:spacing w:after="0"/>
              <w:rPr>
                <w:sz w:val="11"/>
                <w:szCs w:val="11"/>
                <w:color w:val="auto"/>
              </w:rPr>
            </w:pPr>
          </w:p>
        </w:tc>
        <w:tc>
          <w:tcPr>
            <w:tcW w:w="3900" w:type="dxa"/>
            <w:vAlign w:val="bottom"/>
          </w:tcPr>
          <w:p>
            <w:pPr>
              <w:spacing w:after="0"/>
              <w:rPr>
                <w:sz w:val="11"/>
                <w:szCs w:val="11"/>
                <w:color w:val="auto"/>
              </w:rPr>
            </w:pPr>
          </w:p>
        </w:tc>
        <w:tc>
          <w:tcPr>
            <w:tcW w:w="20" w:type="dxa"/>
            <w:vAlign w:val="bottom"/>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1340" w:type="dxa"/>
            <w:vAlign w:val="bottom"/>
            <w:tcBorders>
              <w:right w:val="single" w:sz="8" w:color="DBDBDB"/>
            </w:tcBorders>
          </w:tcPr>
          <w:p>
            <w:pPr>
              <w:spacing w:after="0"/>
              <w:rPr>
                <w:sz w:val="19"/>
                <w:szCs w:val="19"/>
                <w:color w:val="auto"/>
              </w:rPr>
            </w:pPr>
          </w:p>
        </w:tc>
        <w:tc>
          <w:tcPr>
            <w:tcW w:w="1880" w:type="dxa"/>
            <w:vAlign w:val="bottom"/>
            <w:tcBorders>
              <w:bottom w:val="single" w:sz="8" w:color="DBDBDB"/>
              <w:right w:val="single" w:sz="8" w:color="DBDBDB"/>
            </w:tcBorders>
          </w:tcPr>
          <w:p>
            <w:pPr>
              <w:spacing w:after="0"/>
              <w:rPr>
                <w:sz w:val="19"/>
                <w:szCs w:val="19"/>
                <w:color w:val="auto"/>
              </w:rPr>
            </w:pPr>
          </w:p>
        </w:tc>
        <w:tc>
          <w:tcPr>
            <w:tcW w:w="300" w:type="dxa"/>
            <w:vAlign w:val="bottom"/>
            <w:tcBorders>
              <w:bottom w:val="single" w:sz="8" w:color="DBDBDB"/>
              <w:right w:val="single" w:sz="8" w:color="DBDBDB"/>
            </w:tcBorders>
          </w:tcPr>
          <w:p>
            <w:pPr>
              <w:spacing w:after="0"/>
              <w:rPr>
                <w:sz w:val="19"/>
                <w:szCs w:val="19"/>
                <w:color w:val="auto"/>
              </w:rPr>
            </w:pPr>
          </w:p>
        </w:tc>
        <w:tc>
          <w:tcPr>
            <w:tcW w:w="3540" w:type="dxa"/>
            <w:vAlign w:val="bottom"/>
            <w:tcBorders>
              <w:bottom w:val="single" w:sz="8" w:color="DBDBDB"/>
              <w:right w:val="single" w:sz="8" w:color="DBDBDB"/>
            </w:tcBorders>
          </w:tcPr>
          <w:p>
            <w:pPr>
              <w:spacing w:after="0"/>
              <w:rPr>
                <w:sz w:val="20"/>
                <w:szCs w:val="20"/>
                <w:color w:val="auto"/>
              </w:rPr>
            </w:pPr>
            <w:r>
              <w:rPr>
                <w:rFonts w:ascii="Arial" w:cs="Arial" w:eastAsia="Arial" w:hAnsi="Arial"/>
                <w:sz w:val="16"/>
                <w:szCs w:val="16"/>
                <w:color w:val="auto"/>
              </w:rPr>
              <w:t>to applicable law</w:t>
            </w:r>
          </w:p>
        </w:tc>
        <w:tc>
          <w:tcPr>
            <w:tcW w:w="280" w:type="dxa"/>
            <w:vAlign w:val="bottom"/>
            <w:tcBorders>
              <w:right w:val="single" w:sz="8" w:color="DBDBDB"/>
            </w:tcBorders>
          </w:tcPr>
          <w:p>
            <w:pPr>
              <w:spacing w:after="0"/>
              <w:rPr>
                <w:sz w:val="19"/>
                <w:szCs w:val="19"/>
                <w:color w:val="auto"/>
              </w:rPr>
            </w:pPr>
          </w:p>
        </w:tc>
        <w:tc>
          <w:tcPr>
            <w:tcW w:w="3900" w:type="dxa"/>
            <w:vAlign w:val="bottom"/>
          </w:tcPr>
          <w:p>
            <w:pPr>
              <w:spacing w:after="0"/>
              <w:rPr>
                <w:sz w:val="19"/>
                <w:szCs w:val="19"/>
                <w:color w:val="auto"/>
              </w:rPr>
            </w:pPr>
          </w:p>
        </w:tc>
        <w:tc>
          <w:tcPr>
            <w:tcW w:w="20" w:type="dxa"/>
            <w:vAlign w:val="bottom"/>
            <w:tcBorders>
              <w:bottom w:val="single" w:sz="8" w:color="DBDBDB"/>
            </w:tcBorders>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1340" w:type="dxa"/>
            <w:vAlign w:val="bottom"/>
            <w:tcBorders>
              <w:right w:val="single" w:sz="8" w:color="DBDBDB"/>
            </w:tcBorders>
            <w:vMerge w:val="restart"/>
          </w:tcPr>
          <w:p>
            <w:pPr>
              <w:jc w:val="center"/>
              <w:spacing w:after="0"/>
              <w:rPr>
                <w:sz w:val="20"/>
                <w:szCs w:val="20"/>
                <w:color w:val="auto"/>
              </w:rPr>
            </w:pPr>
            <w:r>
              <w:rPr>
                <w:rFonts w:ascii="Arial" w:cs="Arial" w:eastAsia="Arial" w:hAnsi="Arial"/>
                <w:sz w:val="16"/>
                <w:szCs w:val="16"/>
                <w:b w:val="1"/>
                <w:bCs w:val="1"/>
                <w:color w:val="auto"/>
                <w:w w:val="98"/>
              </w:rPr>
              <w:t>Other</w:t>
            </w:r>
          </w:p>
        </w:tc>
        <w:tc>
          <w:tcPr>
            <w:tcW w:w="1880" w:type="dxa"/>
            <w:vAlign w:val="bottom"/>
            <w:tcBorders>
              <w:right w:val="single" w:sz="8" w:color="DBDBDB"/>
            </w:tcBorders>
          </w:tcPr>
          <w:p>
            <w:pPr>
              <w:spacing w:after="0"/>
              <w:rPr>
                <w:sz w:val="16"/>
                <w:szCs w:val="16"/>
                <w:color w:val="auto"/>
              </w:rPr>
            </w:pPr>
          </w:p>
        </w:tc>
        <w:tc>
          <w:tcPr>
            <w:tcW w:w="300" w:type="dxa"/>
            <w:vAlign w:val="bottom"/>
            <w:tcBorders>
              <w:right w:val="single" w:sz="8" w:color="DBDBDB"/>
            </w:tcBorders>
          </w:tcPr>
          <w:p>
            <w:pPr>
              <w:ind w:left="80"/>
              <w:spacing w:after="0"/>
              <w:rPr>
                <w:sz w:val="20"/>
                <w:szCs w:val="20"/>
                <w:color w:val="auto"/>
              </w:rPr>
            </w:pPr>
            <w:r>
              <w:rPr>
                <w:rFonts w:ascii="Wingdings" w:cs="Wingdings" w:eastAsia="Wingdings" w:hAnsi="Wingdings"/>
                <w:sz w:val="16"/>
                <w:szCs w:val="16"/>
                <w:b w:val="1"/>
                <w:bCs w:val="1"/>
                <w:color w:val="auto"/>
                <w:highlight w:val="black"/>
              </w:rPr>
              <w:t>ü</w:t>
            </w:r>
          </w:p>
        </w:tc>
        <w:tc>
          <w:tcPr>
            <w:tcW w:w="3540" w:type="dxa"/>
            <w:vAlign w:val="bottom"/>
            <w:tcBorders>
              <w:right w:val="single" w:sz="8" w:color="DBDBDB"/>
            </w:tcBorders>
          </w:tcPr>
          <w:p>
            <w:pPr>
              <w:spacing w:after="0"/>
              <w:rPr>
                <w:sz w:val="20"/>
                <w:szCs w:val="20"/>
                <w:color w:val="auto"/>
              </w:rPr>
            </w:pPr>
            <w:r>
              <w:rPr>
                <w:rFonts w:ascii="Arial" w:cs="Arial" w:eastAsia="Arial" w:hAnsi="Arial"/>
                <w:sz w:val="16"/>
                <w:szCs w:val="16"/>
                <w:color w:val="auto"/>
              </w:rPr>
              <w:t>To be competitive in the markets where we</w:t>
            </w:r>
          </w:p>
        </w:tc>
        <w:tc>
          <w:tcPr>
            <w:tcW w:w="280" w:type="dxa"/>
            <w:vAlign w:val="bottom"/>
            <w:tcBorders>
              <w:right w:val="single" w:sz="8" w:color="DBDBDB"/>
            </w:tcBorders>
          </w:tcPr>
          <w:p>
            <w:pPr>
              <w:spacing w:after="0"/>
              <w:rPr>
                <w:sz w:val="16"/>
                <w:szCs w:val="16"/>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auto"/>
              </w:rPr>
              <w:t>Align NEOs' interests with stockholders by providing</w:t>
            </w:r>
          </w:p>
        </w:tc>
        <w:tc>
          <w:tcPr>
            <w:tcW w:w="2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1340" w:type="dxa"/>
            <w:vAlign w:val="bottom"/>
            <w:tcBorders>
              <w:right w:val="single" w:sz="8" w:color="DBDBDB"/>
            </w:tcBorders>
            <w:vMerge w:val="continue"/>
          </w:tcPr>
          <w:p>
            <w:pPr>
              <w:spacing w:after="0"/>
              <w:rPr>
                <w:sz w:val="12"/>
                <w:szCs w:val="12"/>
                <w:color w:val="auto"/>
              </w:rPr>
            </w:pPr>
          </w:p>
        </w:tc>
        <w:tc>
          <w:tcPr>
            <w:tcW w:w="1880" w:type="dxa"/>
            <w:vAlign w:val="bottom"/>
            <w:tcBorders>
              <w:right w:val="single" w:sz="8" w:color="DBDBDB"/>
            </w:tcBorders>
          </w:tcPr>
          <w:p>
            <w:pPr>
              <w:spacing w:after="0"/>
              <w:rPr>
                <w:sz w:val="12"/>
                <w:szCs w:val="12"/>
                <w:color w:val="auto"/>
              </w:rPr>
            </w:pPr>
          </w:p>
        </w:tc>
        <w:tc>
          <w:tcPr>
            <w:tcW w:w="300" w:type="dxa"/>
            <w:vAlign w:val="bottom"/>
            <w:tcBorders>
              <w:right w:val="single" w:sz="8" w:color="DBDBDB"/>
            </w:tcBorders>
          </w:tcPr>
          <w:p>
            <w:pPr>
              <w:spacing w:after="0"/>
              <w:rPr>
                <w:sz w:val="12"/>
                <w:szCs w:val="12"/>
                <w:color w:val="auto"/>
              </w:rPr>
            </w:pPr>
          </w:p>
        </w:tc>
        <w:tc>
          <w:tcPr>
            <w:tcW w:w="3540" w:type="dxa"/>
            <w:vAlign w:val="bottom"/>
            <w:tcBorders>
              <w:right w:val="single" w:sz="8" w:color="DBDBDB"/>
            </w:tcBorders>
          </w:tcPr>
          <w:p>
            <w:pPr>
              <w:spacing w:after="0" w:line="147" w:lineRule="exact"/>
              <w:rPr>
                <w:sz w:val="20"/>
                <w:szCs w:val="20"/>
                <w:color w:val="auto"/>
              </w:rPr>
            </w:pPr>
            <w:r>
              <w:rPr>
                <w:rFonts w:ascii="Arial" w:cs="Arial" w:eastAsia="Arial" w:hAnsi="Arial"/>
                <w:sz w:val="16"/>
                <w:szCs w:val="16"/>
                <w:color w:val="auto"/>
              </w:rPr>
              <w:t>compete for executive talent</w:t>
            </w:r>
          </w:p>
        </w:tc>
        <w:tc>
          <w:tcPr>
            <w:tcW w:w="280" w:type="dxa"/>
            <w:vAlign w:val="bottom"/>
            <w:tcBorders>
              <w:right w:val="single" w:sz="8" w:color="DBDBDB"/>
            </w:tcBorders>
          </w:tcPr>
          <w:p>
            <w:pPr>
              <w:spacing w:after="0"/>
              <w:rPr>
                <w:sz w:val="12"/>
                <w:szCs w:val="12"/>
                <w:color w:val="auto"/>
              </w:rPr>
            </w:pPr>
          </w:p>
        </w:tc>
        <w:tc>
          <w:tcPr>
            <w:tcW w:w="3900" w:type="dxa"/>
            <w:vAlign w:val="bottom"/>
          </w:tcPr>
          <w:p>
            <w:pPr>
              <w:ind w:left="20"/>
              <w:spacing w:after="0" w:line="147" w:lineRule="exact"/>
              <w:rPr>
                <w:sz w:val="20"/>
                <w:szCs w:val="20"/>
                <w:color w:val="auto"/>
              </w:rPr>
            </w:pPr>
            <w:r>
              <w:rPr>
                <w:rFonts w:ascii="Arial" w:cs="Arial" w:eastAsia="Arial" w:hAnsi="Arial"/>
                <w:sz w:val="16"/>
                <w:szCs w:val="16"/>
                <w:color w:val="auto"/>
              </w:rPr>
              <w:t>competitive total remuneration allowing us to attract</w:t>
            </w:r>
          </w:p>
        </w:tc>
        <w:tc>
          <w:tcPr>
            <w:tcW w:w="20" w:type="dxa"/>
            <w:vAlign w:val="bottom"/>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340" w:type="dxa"/>
            <w:vAlign w:val="bottom"/>
            <w:tcBorders>
              <w:right w:val="single" w:sz="8" w:color="DBDBDB"/>
            </w:tcBorders>
          </w:tcPr>
          <w:p>
            <w:pPr>
              <w:spacing w:after="0"/>
              <w:rPr>
                <w:sz w:val="5"/>
                <w:szCs w:val="5"/>
                <w:color w:val="auto"/>
              </w:rPr>
            </w:pPr>
          </w:p>
        </w:tc>
        <w:tc>
          <w:tcPr>
            <w:tcW w:w="1880" w:type="dxa"/>
            <w:vAlign w:val="bottom"/>
            <w:tcBorders>
              <w:right w:val="single" w:sz="8" w:color="DBDBDB"/>
            </w:tcBorders>
            <w:vMerge w:val="restart"/>
          </w:tcPr>
          <w:p>
            <w:pPr>
              <w:jc w:val="center"/>
              <w:spacing w:after="0"/>
              <w:rPr>
                <w:sz w:val="20"/>
                <w:szCs w:val="20"/>
                <w:color w:val="auto"/>
              </w:rPr>
            </w:pPr>
            <w:r>
              <w:rPr>
                <w:rFonts w:ascii="Arial" w:cs="Arial" w:eastAsia="Arial" w:hAnsi="Arial"/>
                <w:sz w:val="16"/>
                <w:szCs w:val="16"/>
                <w:b w:val="1"/>
                <w:bCs w:val="1"/>
                <w:color w:val="auto"/>
              </w:rPr>
              <w:t>Health &amp; Welfare</w:t>
            </w:r>
          </w:p>
        </w:tc>
        <w:tc>
          <w:tcPr>
            <w:tcW w:w="300" w:type="dxa"/>
            <w:vAlign w:val="bottom"/>
            <w:tcBorders>
              <w:bottom w:val="single" w:sz="8" w:color="DBDBDB"/>
              <w:right w:val="single" w:sz="8" w:color="DBDBDB"/>
            </w:tcBorders>
          </w:tcPr>
          <w:p>
            <w:pPr>
              <w:spacing w:after="0"/>
              <w:rPr>
                <w:sz w:val="5"/>
                <w:szCs w:val="5"/>
                <w:color w:val="auto"/>
              </w:rPr>
            </w:pPr>
          </w:p>
        </w:tc>
        <w:tc>
          <w:tcPr>
            <w:tcW w:w="3540" w:type="dxa"/>
            <w:vAlign w:val="bottom"/>
            <w:tcBorders>
              <w:bottom w:val="single" w:sz="8" w:color="DBDBDB"/>
              <w:right w:val="single" w:sz="8" w:color="DBDBDB"/>
            </w:tcBorders>
          </w:tcPr>
          <w:p>
            <w:pPr>
              <w:spacing w:after="0"/>
              <w:rPr>
                <w:sz w:val="5"/>
                <w:szCs w:val="5"/>
                <w:color w:val="auto"/>
              </w:rPr>
            </w:pPr>
          </w:p>
        </w:tc>
        <w:tc>
          <w:tcPr>
            <w:tcW w:w="280" w:type="dxa"/>
            <w:vAlign w:val="bottom"/>
            <w:tcBorders>
              <w:right w:val="single" w:sz="8" w:color="DBDBDB"/>
            </w:tcBorders>
            <w:vMerge w:val="restart"/>
          </w:tcPr>
          <w:p>
            <w:pPr>
              <w:ind w:left="60"/>
              <w:spacing w:after="0"/>
              <w:rPr>
                <w:sz w:val="20"/>
                <w:szCs w:val="20"/>
                <w:color w:val="auto"/>
              </w:rPr>
            </w:pPr>
            <w:r>
              <w:rPr>
                <w:rFonts w:ascii="Wingdings" w:cs="Wingdings" w:eastAsia="Wingdings" w:hAnsi="Wingdings"/>
                <w:sz w:val="16"/>
                <w:szCs w:val="16"/>
                <w:b w:val="1"/>
                <w:bCs w:val="1"/>
                <w:color w:val="auto"/>
                <w:highlight w:val="black"/>
              </w:rPr>
              <w:t>ü</w:t>
            </w:r>
          </w:p>
        </w:tc>
        <w:tc>
          <w:tcPr>
            <w:tcW w:w="3900" w:type="dxa"/>
            <w:vAlign w:val="bottom"/>
            <w:vMerge w:val="restart"/>
          </w:tcPr>
          <w:p>
            <w:pPr>
              <w:ind w:left="20"/>
              <w:spacing w:after="0"/>
              <w:rPr>
                <w:sz w:val="20"/>
                <w:szCs w:val="20"/>
                <w:color w:val="auto"/>
              </w:rPr>
            </w:pPr>
            <w:r>
              <w:rPr>
                <w:rFonts w:ascii="Arial" w:cs="Arial" w:eastAsia="Arial" w:hAnsi="Arial"/>
                <w:sz w:val="16"/>
                <w:szCs w:val="16"/>
                <w:color w:val="auto"/>
              </w:rPr>
              <w:t>and retain top executive talent</w:t>
            </w:r>
          </w:p>
        </w:tc>
        <w:tc>
          <w:tcPr>
            <w:tcW w:w="20" w:type="dxa"/>
            <w:vAlign w:val="bottom"/>
            <w:tcBorders>
              <w:bottom w:val="single" w:sz="8" w:color="DBDBDB"/>
            </w:tcBorders>
            <w:shd w:val="clear" w:color="auto" w:fill="DBDBDB"/>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1340" w:type="dxa"/>
            <w:vAlign w:val="bottom"/>
            <w:tcBorders>
              <w:right w:val="single" w:sz="8" w:color="DBDBDB"/>
            </w:tcBorders>
          </w:tcPr>
          <w:p>
            <w:pPr>
              <w:spacing w:after="0"/>
              <w:rPr>
                <w:sz w:val="14"/>
                <w:szCs w:val="14"/>
                <w:color w:val="auto"/>
              </w:rPr>
            </w:pPr>
          </w:p>
        </w:tc>
        <w:tc>
          <w:tcPr>
            <w:tcW w:w="1880" w:type="dxa"/>
            <w:vAlign w:val="bottom"/>
            <w:tcBorders>
              <w:right w:val="single" w:sz="8" w:color="DBDBDB"/>
            </w:tcBorders>
            <w:vMerge w:val="continue"/>
          </w:tcPr>
          <w:p>
            <w:pPr>
              <w:spacing w:after="0"/>
              <w:rPr>
                <w:sz w:val="14"/>
                <w:szCs w:val="14"/>
                <w:color w:val="auto"/>
              </w:rPr>
            </w:pPr>
          </w:p>
        </w:tc>
        <w:tc>
          <w:tcPr>
            <w:tcW w:w="300" w:type="dxa"/>
            <w:vAlign w:val="bottom"/>
            <w:tcBorders>
              <w:right w:val="single" w:sz="8" w:color="DBDBDB"/>
            </w:tcBorders>
          </w:tcPr>
          <w:p>
            <w:pPr>
              <w:spacing w:after="0"/>
              <w:rPr>
                <w:sz w:val="14"/>
                <w:szCs w:val="14"/>
                <w:color w:val="auto"/>
              </w:rPr>
            </w:pPr>
          </w:p>
        </w:tc>
        <w:tc>
          <w:tcPr>
            <w:tcW w:w="3540" w:type="dxa"/>
            <w:vAlign w:val="bottom"/>
            <w:tcBorders>
              <w:right w:val="single" w:sz="8" w:color="DBDBDB"/>
            </w:tcBorders>
          </w:tcPr>
          <w:p>
            <w:pPr>
              <w:spacing w:after="0" w:line="169" w:lineRule="exact"/>
              <w:rPr>
                <w:sz w:val="20"/>
                <w:szCs w:val="20"/>
                <w:color w:val="auto"/>
              </w:rPr>
            </w:pPr>
            <w:r>
              <w:rPr>
                <w:rFonts w:ascii="Arial" w:cs="Arial" w:eastAsia="Arial" w:hAnsi="Arial"/>
                <w:sz w:val="16"/>
                <w:szCs w:val="16"/>
                <w:color w:val="auto"/>
              </w:rPr>
              <w:t>To avoid materially different approaches to</w:t>
            </w:r>
          </w:p>
        </w:tc>
        <w:tc>
          <w:tcPr>
            <w:tcW w:w="280" w:type="dxa"/>
            <w:vAlign w:val="bottom"/>
            <w:tcBorders>
              <w:right w:val="single" w:sz="8" w:color="DBDBDB"/>
            </w:tcBorders>
            <w:vMerge w:val="continue"/>
          </w:tcPr>
          <w:p>
            <w:pPr>
              <w:spacing w:after="0"/>
              <w:rPr>
                <w:sz w:val="14"/>
                <w:szCs w:val="14"/>
                <w:color w:val="auto"/>
              </w:rPr>
            </w:pPr>
          </w:p>
        </w:tc>
        <w:tc>
          <w:tcPr>
            <w:tcW w:w="3900" w:type="dxa"/>
            <w:vAlign w:val="bottom"/>
            <w:vMerge w:val="continue"/>
          </w:tcPr>
          <w:p>
            <w:pPr>
              <w:spacing w:after="0"/>
              <w:rPr>
                <w:sz w:val="14"/>
                <w:szCs w:val="14"/>
                <w:color w:val="auto"/>
              </w:rPr>
            </w:pPr>
          </w:p>
        </w:tc>
        <w:tc>
          <w:tcPr>
            <w:tcW w:w="2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tcBorders>
              <w:right w:val="single" w:sz="8" w:color="DBDBDB"/>
            </w:tcBorders>
          </w:tcPr>
          <w:p>
            <w:pPr>
              <w:spacing w:after="0"/>
              <w:rPr>
                <w:sz w:val="14"/>
                <w:szCs w:val="14"/>
                <w:color w:val="auto"/>
              </w:rPr>
            </w:pPr>
          </w:p>
        </w:tc>
        <w:tc>
          <w:tcPr>
            <w:tcW w:w="1880" w:type="dxa"/>
            <w:vAlign w:val="bottom"/>
            <w:tcBorders>
              <w:right w:val="single" w:sz="8" w:color="DBDBDB"/>
            </w:tcBorders>
          </w:tcPr>
          <w:p>
            <w:pPr>
              <w:spacing w:after="0"/>
              <w:rPr>
                <w:sz w:val="14"/>
                <w:szCs w:val="14"/>
                <w:color w:val="auto"/>
              </w:rPr>
            </w:pPr>
          </w:p>
        </w:tc>
        <w:tc>
          <w:tcPr>
            <w:tcW w:w="300" w:type="dxa"/>
            <w:vAlign w:val="bottom"/>
            <w:tcBorders>
              <w:right w:val="single" w:sz="8" w:color="DBDBDB"/>
            </w:tcBorders>
          </w:tcPr>
          <w:p>
            <w:pPr>
              <w:ind w:left="80"/>
              <w:spacing w:after="0" w:line="162" w:lineRule="exact"/>
              <w:rPr>
                <w:sz w:val="20"/>
                <w:szCs w:val="20"/>
                <w:color w:val="auto"/>
              </w:rPr>
            </w:pPr>
            <w:r>
              <w:rPr>
                <w:rFonts w:ascii="Wingdings" w:cs="Wingdings" w:eastAsia="Wingdings" w:hAnsi="Wingdings"/>
                <w:sz w:val="16"/>
                <w:szCs w:val="16"/>
                <w:b w:val="1"/>
                <w:bCs w:val="1"/>
                <w:color w:val="auto"/>
                <w:highlight w:val="black"/>
              </w:rPr>
              <w:t>ü</w:t>
            </w:r>
          </w:p>
        </w:tc>
        <w:tc>
          <w:tcPr>
            <w:tcW w:w="3540" w:type="dxa"/>
            <w:vAlign w:val="bottom"/>
            <w:tcBorders>
              <w:right w:val="single" w:sz="8" w:color="DBDBDB"/>
            </w:tcBorders>
          </w:tcPr>
          <w:p>
            <w:pPr>
              <w:spacing w:after="0" w:line="162" w:lineRule="exact"/>
              <w:rPr>
                <w:sz w:val="20"/>
                <w:szCs w:val="20"/>
                <w:color w:val="auto"/>
              </w:rPr>
            </w:pPr>
            <w:r>
              <w:rPr>
                <w:rFonts w:ascii="Arial" w:cs="Arial" w:eastAsia="Arial" w:hAnsi="Arial"/>
                <w:sz w:val="16"/>
                <w:szCs w:val="16"/>
                <w:color w:val="auto"/>
              </w:rPr>
              <w:t>benefits among executive and non-executive</w:t>
            </w:r>
          </w:p>
        </w:tc>
        <w:tc>
          <w:tcPr>
            <w:tcW w:w="280" w:type="dxa"/>
            <w:vAlign w:val="bottom"/>
            <w:tcBorders>
              <w:right w:val="single" w:sz="8" w:color="DBDBDB"/>
            </w:tcBorders>
          </w:tcPr>
          <w:p>
            <w:pPr>
              <w:spacing w:after="0"/>
              <w:rPr>
                <w:sz w:val="14"/>
                <w:szCs w:val="14"/>
                <w:color w:val="auto"/>
              </w:rPr>
            </w:pPr>
          </w:p>
        </w:tc>
        <w:tc>
          <w:tcPr>
            <w:tcW w:w="3900" w:type="dxa"/>
            <w:vAlign w:val="bottom"/>
          </w:tcPr>
          <w:p>
            <w:pPr>
              <w:spacing w:after="0"/>
              <w:rPr>
                <w:sz w:val="14"/>
                <w:szCs w:val="14"/>
                <w:color w:val="auto"/>
              </w:rPr>
            </w:pPr>
          </w:p>
        </w:tc>
        <w:tc>
          <w:tcPr>
            <w:tcW w:w="2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340" w:type="dxa"/>
            <w:vAlign w:val="bottom"/>
            <w:tcBorders>
              <w:right w:val="single" w:sz="8" w:color="DBDBDB"/>
            </w:tcBorders>
          </w:tcPr>
          <w:p>
            <w:pPr>
              <w:spacing w:after="0"/>
              <w:rPr>
                <w:sz w:val="19"/>
                <w:szCs w:val="19"/>
                <w:color w:val="auto"/>
              </w:rPr>
            </w:pPr>
          </w:p>
        </w:tc>
        <w:tc>
          <w:tcPr>
            <w:tcW w:w="1880" w:type="dxa"/>
            <w:vAlign w:val="bottom"/>
            <w:tcBorders>
              <w:bottom w:val="single" w:sz="8" w:color="DBDBDB"/>
              <w:right w:val="single" w:sz="8" w:color="DBDBDB"/>
            </w:tcBorders>
          </w:tcPr>
          <w:p>
            <w:pPr>
              <w:spacing w:after="0"/>
              <w:rPr>
                <w:sz w:val="19"/>
                <w:szCs w:val="19"/>
                <w:color w:val="auto"/>
              </w:rPr>
            </w:pPr>
          </w:p>
        </w:tc>
        <w:tc>
          <w:tcPr>
            <w:tcW w:w="300" w:type="dxa"/>
            <w:vAlign w:val="bottom"/>
            <w:tcBorders>
              <w:bottom w:val="single" w:sz="8" w:color="DBDBDB"/>
              <w:right w:val="single" w:sz="8" w:color="DBDBDB"/>
            </w:tcBorders>
          </w:tcPr>
          <w:p>
            <w:pPr>
              <w:spacing w:after="0"/>
              <w:rPr>
                <w:sz w:val="19"/>
                <w:szCs w:val="19"/>
                <w:color w:val="auto"/>
              </w:rPr>
            </w:pPr>
          </w:p>
        </w:tc>
        <w:tc>
          <w:tcPr>
            <w:tcW w:w="3540" w:type="dxa"/>
            <w:vAlign w:val="bottom"/>
            <w:tcBorders>
              <w:bottom w:val="single" w:sz="8" w:color="DBDBDB"/>
              <w:right w:val="single" w:sz="8" w:color="DBDBDB"/>
            </w:tcBorders>
          </w:tcPr>
          <w:p>
            <w:pPr>
              <w:spacing w:after="0"/>
              <w:rPr>
                <w:sz w:val="20"/>
                <w:szCs w:val="20"/>
                <w:color w:val="auto"/>
              </w:rPr>
            </w:pPr>
            <w:r>
              <w:rPr>
                <w:rFonts w:ascii="Arial" w:cs="Arial" w:eastAsia="Arial" w:hAnsi="Arial"/>
                <w:sz w:val="16"/>
                <w:szCs w:val="16"/>
                <w:color w:val="auto"/>
              </w:rPr>
              <w:t>employees</w:t>
            </w:r>
          </w:p>
        </w:tc>
        <w:tc>
          <w:tcPr>
            <w:tcW w:w="280" w:type="dxa"/>
            <w:vAlign w:val="bottom"/>
            <w:tcBorders>
              <w:right w:val="single" w:sz="8" w:color="DBDBDB"/>
            </w:tcBorders>
          </w:tcPr>
          <w:p>
            <w:pPr>
              <w:spacing w:after="0"/>
              <w:rPr>
                <w:sz w:val="19"/>
                <w:szCs w:val="19"/>
                <w:color w:val="auto"/>
              </w:rPr>
            </w:pPr>
          </w:p>
        </w:tc>
        <w:tc>
          <w:tcPr>
            <w:tcW w:w="3900" w:type="dxa"/>
            <w:vAlign w:val="bottom"/>
          </w:tcPr>
          <w:p>
            <w:pPr>
              <w:spacing w:after="0"/>
              <w:rPr>
                <w:sz w:val="19"/>
                <w:szCs w:val="19"/>
                <w:color w:val="auto"/>
              </w:rPr>
            </w:pPr>
          </w:p>
        </w:tc>
        <w:tc>
          <w:tcPr>
            <w:tcW w:w="20" w:type="dxa"/>
            <w:vAlign w:val="bottom"/>
            <w:tcBorders>
              <w:bottom w:val="single" w:sz="8" w:color="DBDBDB"/>
            </w:tcBorders>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340" w:type="dxa"/>
            <w:vAlign w:val="bottom"/>
            <w:tcBorders>
              <w:right w:val="single" w:sz="8" w:color="DBDBDB"/>
            </w:tcBorders>
          </w:tcPr>
          <w:p>
            <w:pPr>
              <w:spacing w:after="0"/>
              <w:rPr>
                <w:sz w:val="15"/>
                <w:szCs w:val="15"/>
                <w:color w:val="auto"/>
              </w:rPr>
            </w:pPr>
          </w:p>
        </w:tc>
        <w:tc>
          <w:tcPr>
            <w:tcW w:w="1880" w:type="dxa"/>
            <w:vAlign w:val="bottom"/>
            <w:tcBorders>
              <w:right w:val="single" w:sz="8" w:color="DBDBDB"/>
            </w:tcBorders>
            <w:vMerge w:val="restart"/>
          </w:tcPr>
          <w:p>
            <w:pPr>
              <w:jc w:val="center"/>
              <w:spacing w:after="0"/>
              <w:rPr>
                <w:sz w:val="20"/>
                <w:szCs w:val="20"/>
                <w:color w:val="auto"/>
              </w:rPr>
            </w:pPr>
            <w:r>
              <w:rPr>
                <w:rFonts w:ascii="Arial" w:cs="Arial" w:eastAsia="Arial" w:hAnsi="Arial"/>
                <w:sz w:val="16"/>
                <w:szCs w:val="16"/>
                <w:b w:val="1"/>
                <w:bCs w:val="1"/>
                <w:color w:val="auto"/>
              </w:rPr>
              <w:t>Limited Perquisites</w:t>
            </w:r>
          </w:p>
        </w:tc>
        <w:tc>
          <w:tcPr>
            <w:tcW w:w="300" w:type="dxa"/>
            <w:vAlign w:val="bottom"/>
            <w:tcBorders>
              <w:right w:val="single" w:sz="8" w:color="DBDBDB"/>
            </w:tcBorders>
          </w:tcPr>
          <w:p>
            <w:pPr>
              <w:spacing w:after="0"/>
              <w:rPr>
                <w:sz w:val="15"/>
                <w:szCs w:val="15"/>
                <w:color w:val="auto"/>
              </w:rPr>
            </w:pPr>
          </w:p>
        </w:tc>
        <w:tc>
          <w:tcPr>
            <w:tcW w:w="3540" w:type="dxa"/>
            <w:vAlign w:val="bottom"/>
            <w:tcBorders>
              <w:right w:val="single" w:sz="8" w:color="DBDBDB"/>
            </w:tcBorders>
          </w:tcPr>
          <w:p>
            <w:pPr>
              <w:spacing w:after="0" w:line="175" w:lineRule="exact"/>
              <w:rPr>
                <w:sz w:val="20"/>
                <w:szCs w:val="20"/>
                <w:color w:val="auto"/>
              </w:rPr>
            </w:pPr>
            <w:r>
              <w:rPr>
                <w:rFonts w:ascii="Arial" w:cs="Arial" w:eastAsia="Arial" w:hAnsi="Arial"/>
                <w:sz w:val="16"/>
                <w:szCs w:val="16"/>
                <w:color w:val="auto"/>
              </w:rPr>
              <w:t>Provide limited job-related and market-driven</w:t>
            </w:r>
          </w:p>
        </w:tc>
        <w:tc>
          <w:tcPr>
            <w:tcW w:w="280" w:type="dxa"/>
            <w:vAlign w:val="bottom"/>
            <w:tcBorders>
              <w:right w:val="single" w:sz="8" w:color="DBDBDB"/>
            </w:tcBorders>
          </w:tcPr>
          <w:p>
            <w:pPr>
              <w:spacing w:after="0"/>
              <w:rPr>
                <w:sz w:val="15"/>
                <w:szCs w:val="15"/>
                <w:color w:val="auto"/>
              </w:rPr>
            </w:pPr>
          </w:p>
        </w:tc>
        <w:tc>
          <w:tcPr>
            <w:tcW w:w="3900" w:type="dxa"/>
            <w:vAlign w:val="bottom"/>
          </w:tcPr>
          <w:p>
            <w:pPr>
              <w:spacing w:after="0"/>
              <w:rPr>
                <w:sz w:val="15"/>
                <w:szCs w:val="15"/>
                <w:color w:val="auto"/>
              </w:rPr>
            </w:pPr>
          </w:p>
        </w:tc>
        <w:tc>
          <w:tcPr>
            <w:tcW w:w="2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340" w:type="dxa"/>
            <w:vAlign w:val="bottom"/>
            <w:tcBorders>
              <w:right w:val="single" w:sz="8" w:color="DBDBDB"/>
            </w:tcBorders>
          </w:tcPr>
          <w:p>
            <w:pPr>
              <w:spacing w:after="0"/>
              <w:rPr>
                <w:sz w:val="14"/>
                <w:szCs w:val="14"/>
                <w:color w:val="auto"/>
              </w:rPr>
            </w:pPr>
          </w:p>
        </w:tc>
        <w:tc>
          <w:tcPr>
            <w:tcW w:w="1880" w:type="dxa"/>
            <w:vAlign w:val="bottom"/>
            <w:tcBorders>
              <w:right w:val="single" w:sz="8" w:color="DBDBDB"/>
            </w:tcBorders>
            <w:vMerge w:val="continue"/>
          </w:tcPr>
          <w:p>
            <w:pPr>
              <w:spacing w:after="0"/>
              <w:rPr>
                <w:sz w:val="14"/>
                <w:szCs w:val="14"/>
                <w:color w:val="auto"/>
              </w:rPr>
            </w:pPr>
          </w:p>
        </w:tc>
        <w:tc>
          <w:tcPr>
            <w:tcW w:w="300" w:type="dxa"/>
            <w:vAlign w:val="bottom"/>
            <w:tcBorders>
              <w:right w:val="single" w:sz="8" w:color="DBDBDB"/>
            </w:tcBorders>
          </w:tcPr>
          <w:p>
            <w:pPr>
              <w:ind w:left="80"/>
              <w:spacing w:after="0" w:line="162" w:lineRule="exact"/>
              <w:rPr>
                <w:sz w:val="20"/>
                <w:szCs w:val="20"/>
                <w:color w:val="auto"/>
              </w:rPr>
            </w:pPr>
            <w:r>
              <w:rPr>
                <w:rFonts w:ascii="Wingdings" w:cs="Wingdings" w:eastAsia="Wingdings" w:hAnsi="Wingdings"/>
                <w:sz w:val="16"/>
                <w:szCs w:val="16"/>
                <w:b w:val="1"/>
                <w:bCs w:val="1"/>
                <w:color w:val="auto"/>
                <w:highlight w:val="black"/>
              </w:rPr>
              <w:t>ü</w:t>
            </w:r>
          </w:p>
        </w:tc>
        <w:tc>
          <w:tcPr>
            <w:tcW w:w="3540" w:type="dxa"/>
            <w:vAlign w:val="bottom"/>
            <w:tcBorders>
              <w:right w:val="single" w:sz="8" w:color="DBDBDB"/>
            </w:tcBorders>
          </w:tcPr>
          <w:p>
            <w:pPr>
              <w:spacing w:after="0" w:line="162" w:lineRule="exact"/>
              <w:rPr>
                <w:sz w:val="20"/>
                <w:szCs w:val="20"/>
                <w:color w:val="auto"/>
              </w:rPr>
            </w:pPr>
            <w:r>
              <w:rPr>
                <w:rFonts w:ascii="Arial" w:cs="Arial" w:eastAsia="Arial" w:hAnsi="Arial"/>
                <w:sz w:val="16"/>
                <w:szCs w:val="16"/>
                <w:color w:val="auto"/>
              </w:rPr>
              <w:t>perquisites in line with our corporate governance</w:t>
            </w:r>
          </w:p>
        </w:tc>
        <w:tc>
          <w:tcPr>
            <w:tcW w:w="280" w:type="dxa"/>
            <w:vAlign w:val="bottom"/>
            <w:tcBorders>
              <w:right w:val="single" w:sz="8" w:color="DBDBDB"/>
            </w:tcBorders>
          </w:tcPr>
          <w:p>
            <w:pPr>
              <w:spacing w:after="0"/>
              <w:rPr>
                <w:sz w:val="14"/>
                <w:szCs w:val="14"/>
                <w:color w:val="auto"/>
              </w:rPr>
            </w:pPr>
          </w:p>
        </w:tc>
        <w:tc>
          <w:tcPr>
            <w:tcW w:w="3900" w:type="dxa"/>
            <w:vAlign w:val="bottom"/>
          </w:tcPr>
          <w:p>
            <w:pPr>
              <w:spacing w:after="0"/>
              <w:rPr>
                <w:sz w:val="14"/>
                <w:szCs w:val="14"/>
                <w:color w:val="auto"/>
              </w:rPr>
            </w:pPr>
          </w:p>
        </w:tc>
        <w:tc>
          <w:tcPr>
            <w:tcW w:w="2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340" w:type="dxa"/>
            <w:vAlign w:val="bottom"/>
            <w:tcBorders>
              <w:bottom w:val="single" w:sz="8" w:color="DBDBDB"/>
              <w:right w:val="single" w:sz="8" w:color="DBDBDB"/>
            </w:tcBorders>
          </w:tcPr>
          <w:p>
            <w:pPr>
              <w:spacing w:after="0"/>
              <w:rPr>
                <w:sz w:val="19"/>
                <w:szCs w:val="19"/>
                <w:color w:val="auto"/>
              </w:rPr>
            </w:pPr>
          </w:p>
        </w:tc>
        <w:tc>
          <w:tcPr>
            <w:tcW w:w="1880" w:type="dxa"/>
            <w:vAlign w:val="bottom"/>
            <w:tcBorders>
              <w:bottom w:val="single" w:sz="8" w:color="DBDBDB"/>
              <w:right w:val="single" w:sz="8" w:color="DBDBDB"/>
            </w:tcBorders>
          </w:tcPr>
          <w:p>
            <w:pPr>
              <w:spacing w:after="0"/>
              <w:rPr>
                <w:sz w:val="19"/>
                <w:szCs w:val="19"/>
                <w:color w:val="auto"/>
              </w:rPr>
            </w:pPr>
          </w:p>
        </w:tc>
        <w:tc>
          <w:tcPr>
            <w:tcW w:w="300" w:type="dxa"/>
            <w:vAlign w:val="bottom"/>
            <w:tcBorders>
              <w:bottom w:val="single" w:sz="8" w:color="DBDBDB"/>
              <w:right w:val="single" w:sz="8" w:color="DBDBDB"/>
            </w:tcBorders>
          </w:tcPr>
          <w:p>
            <w:pPr>
              <w:spacing w:after="0"/>
              <w:rPr>
                <w:sz w:val="19"/>
                <w:szCs w:val="19"/>
                <w:color w:val="auto"/>
              </w:rPr>
            </w:pPr>
          </w:p>
        </w:tc>
        <w:tc>
          <w:tcPr>
            <w:tcW w:w="3540" w:type="dxa"/>
            <w:vAlign w:val="bottom"/>
            <w:tcBorders>
              <w:bottom w:val="single" w:sz="8" w:color="DBDBDB"/>
              <w:right w:val="single" w:sz="8" w:color="DBDBDB"/>
            </w:tcBorders>
          </w:tcPr>
          <w:p>
            <w:pPr>
              <w:spacing w:after="0"/>
              <w:rPr>
                <w:sz w:val="20"/>
                <w:szCs w:val="20"/>
                <w:color w:val="auto"/>
              </w:rPr>
            </w:pPr>
            <w:r>
              <w:rPr>
                <w:rFonts w:ascii="Arial" w:cs="Arial" w:eastAsia="Arial" w:hAnsi="Arial"/>
                <w:sz w:val="16"/>
                <w:szCs w:val="16"/>
                <w:color w:val="auto"/>
              </w:rPr>
              <w:t>philosophies</w:t>
            </w:r>
          </w:p>
        </w:tc>
        <w:tc>
          <w:tcPr>
            <w:tcW w:w="280" w:type="dxa"/>
            <w:vAlign w:val="bottom"/>
            <w:tcBorders>
              <w:bottom w:val="single" w:sz="8" w:color="DBDBDB"/>
              <w:right w:val="single" w:sz="8" w:color="DBDBDB"/>
            </w:tcBorders>
          </w:tcPr>
          <w:p>
            <w:pPr>
              <w:spacing w:after="0"/>
              <w:rPr>
                <w:sz w:val="19"/>
                <w:szCs w:val="19"/>
                <w:color w:val="auto"/>
              </w:rPr>
            </w:pPr>
          </w:p>
        </w:tc>
        <w:tc>
          <w:tcPr>
            <w:tcW w:w="3900" w:type="dxa"/>
            <w:vAlign w:val="bottom"/>
            <w:tcBorders>
              <w:bottom w:val="single" w:sz="8" w:color="DBDBDB"/>
            </w:tcBorders>
          </w:tcPr>
          <w:p>
            <w:pPr>
              <w:spacing w:after="0"/>
              <w:rPr>
                <w:sz w:val="19"/>
                <w:szCs w:val="19"/>
                <w:color w:val="auto"/>
              </w:rPr>
            </w:pPr>
          </w:p>
        </w:tc>
        <w:tc>
          <w:tcPr>
            <w:tcW w:w="20" w:type="dxa"/>
            <w:vAlign w:val="bottom"/>
            <w:tcBorders>
              <w:bottom w:val="single" w:sz="8" w:color="DBDBDB"/>
            </w:tcBorders>
            <w:shd w:val="clear" w:color="auto" w:fill="DBDBDB"/>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Total Compensation Program Supporting Attainment of Operating &amp; Strategic Imperatives</w:t>
      </w:r>
    </w:p>
    <w:p>
      <w:pPr>
        <w:spacing w:after="0" w:line="110" w:lineRule="exact"/>
        <w:rPr>
          <w:sz w:val="20"/>
          <w:szCs w:val="20"/>
          <w:color w:val="auto"/>
        </w:rPr>
      </w:pPr>
    </w:p>
    <w:p>
      <w:pPr>
        <w:ind w:right="220"/>
        <w:spacing w:after="0" w:line="235" w:lineRule="auto"/>
        <w:rPr>
          <w:sz w:val="20"/>
          <w:szCs w:val="20"/>
          <w:color w:val="auto"/>
        </w:rPr>
      </w:pPr>
      <w:r>
        <w:rPr>
          <w:rFonts w:ascii="Arial" w:cs="Arial" w:eastAsia="Arial" w:hAnsi="Arial"/>
          <w:sz w:val="18"/>
          <w:szCs w:val="18"/>
          <w:color w:val="auto"/>
        </w:rPr>
        <w:t>Our overall compensation program is implemented in a manner supporting the attainment of various operating and strategic goals set from time to time. The Committee believes the program is appropriately managed by delivering compensation predominantly through variable performance-based compensation elements. Target total compensation</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is defined as annualized base salary plus cash incentive award opportunities at target level plus regular annual long-term equity award opportunities granted for the year (at target level when such opportunities have the potential for variable payout levels). As indicated below, during 2024, 86% of target total compensation of our President &amp; Chief Executive Officer and an average of 68% of target total compensation of our other named executive officers</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was delivered through at-risk compensation elements that were subject to vesting and/or performance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6137910" cy="218567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137910" cy="2185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40" w:hanging="332"/>
        <w:spacing w:after="0" w:line="290" w:lineRule="auto"/>
        <w:tabs>
          <w:tab w:leader="none" w:pos="335" w:val="left"/>
        </w:tabs>
        <w:numPr>
          <w:ilvl w:val="0"/>
          <w:numId w:val="40"/>
        </w:numPr>
        <w:rPr>
          <w:rFonts w:ascii="Arial" w:cs="Arial" w:eastAsia="Arial" w:hAnsi="Arial"/>
          <w:sz w:val="16"/>
          <w:szCs w:val="16"/>
          <w:color w:val="auto"/>
        </w:rPr>
      </w:pPr>
      <w:r>
        <w:rPr>
          <w:rFonts w:ascii="Arial" w:cs="Arial" w:eastAsia="Arial" w:hAnsi="Arial"/>
          <w:sz w:val="16"/>
          <w:szCs w:val="16"/>
          <w:color w:val="auto"/>
        </w:rPr>
        <w:t>Long-term equity incentive included in these charts for 2024 consists of regular annual awards of performance share units and restricted stock units with vesting as described below.</w:t>
      </w:r>
    </w:p>
    <w:p>
      <w:pPr>
        <w:spacing w:after="0" w:line="1" w:lineRule="exact"/>
        <w:rPr>
          <w:sz w:val="20"/>
          <w:szCs w:val="20"/>
          <w:color w:val="auto"/>
        </w:rPr>
      </w:pPr>
    </w:p>
    <w:p>
      <w:pPr>
        <w:ind w:left="340" w:right="500" w:hanging="332"/>
        <w:spacing w:after="0" w:line="286" w:lineRule="auto"/>
        <w:tabs>
          <w:tab w:leader="none" w:pos="335" w:val="left"/>
        </w:tabs>
        <w:numPr>
          <w:ilvl w:val="0"/>
          <w:numId w:val="41"/>
        </w:numPr>
        <w:rPr>
          <w:rFonts w:ascii="Arial" w:cs="Arial" w:eastAsia="Arial" w:hAnsi="Arial"/>
          <w:sz w:val="16"/>
          <w:szCs w:val="16"/>
          <w:color w:val="auto"/>
        </w:rPr>
      </w:pPr>
      <w:r>
        <w:rPr>
          <w:rFonts w:ascii="Arial" w:cs="Arial" w:eastAsia="Arial" w:hAnsi="Arial"/>
          <w:sz w:val="16"/>
          <w:szCs w:val="16"/>
          <w:color w:val="auto"/>
        </w:rPr>
        <w:t>Other benefits are generally excluded from target total compensation as they do not constitute a material part of compensation paid to our named executive officers. Mr. Calloway's target total compensation includes his promotion salary and bonus, and one-time promotion grant.</w:t>
      </w:r>
    </w:p>
    <w:p>
      <w:pPr>
        <w:spacing w:after="0" w:line="7" w:lineRule="exact"/>
        <w:rPr>
          <w:rFonts w:ascii="Arial" w:cs="Arial" w:eastAsia="Arial" w:hAnsi="Arial"/>
          <w:sz w:val="16"/>
          <w:szCs w:val="16"/>
          <w:color w:val="auto"/>
        </w:rPr>
      </w:pPr>
    </w:p>
    <w:p>
      <w:pPr>
        <w:ind w:left="340" w:right="160" w:hanging="332"/>
        <w:spacing w:after="0" w:line="286" w:lineRule="auto"/>
        <w:tabs>
          <w:tab w:leader="none" w:pos="335" w:val="left"/>
        </w:tabs>
        <w:numPr>
          <w:ilvl w:val="0"/>
          <w:numId w:val="41"/>
        </w:numPr>
        <w:rPr>
          <w:rFonts w:ascii="Arial" w:cs="Arial" w:eastAsia="Arial" w:hAnsi="Arial"/>
          <w:sz w:val="16"/>
          <w:szCs w:val="16"/>
          <w:color w:val="auto"/>
        </w:rPr>
      </w:pPr>
      <w:r>
        <w:rPr>
          <w:rFonts w:ascii="Arial" w:cs="Arial" w:eastAsia="Arial" w:hAnsi="Arial"/>
          <w:sz w:val="16"/>
          <w:szCs w:val="16"/>
          <w:color w:val="auto"/>
        </w:rPr>
        <w:t>Includes Messrs. Villasana and Maric who terminated during 2024 as they were included in the Company's Incentive and Compensation plan for fiscal year 2024.</w:t>
      </w:r>
    </w:p>
    <w:p>
      <w:pPr>
        <w:spacing w:after="0" w:line="3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Policies and Practices</w:t>
      </w:r>
    </w:p>
    <w:p>
      <w:pPr>
        <w:spacing w:after="0" w:line="110"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Our compensation philosophy and guidelines are implemented through a number of policies and practices described below. The Committee continually monitors and, as appropriate, adjusts our compensation policies and practices to ensure that they are consistent with our philosophy and, as appropriate, emphasize and reward executives for results that are aligned with long-term stockholder interests and corporate governance best practices. A listing of “what we do” and “what we don’t do” is presented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0575" cy="36087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0575" cy="360870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p>
      <w:pPr>
        <w:spacing w:after="0" w:line="149" w:lineRule="exact"/>
        <w:rPr>
          <w:sz w:val="20"/>
          <w:szCs w:val="20"/>
          <w:color w:val="auto"/>
        </w:rPr>
      </w:pPr>
    </w:p>
    <w:p>
      <w:pPr>
        <w:jc w:val="center"/>
        <w:ind w:left="120"/>
        <w:spacing w:after="0"/>
        <w:rPr>
          <w:sz w:val="20"/>
          <w:szCs w:val="20"/>
          <w:color w:val="auto"/>
        </w:rPr>
      </w:pPr>
      <w:r>
        <w:rPr>
          <w:rFonts w:ascii="Arial" w:cs="Arial" w:eastAsia="Arial" w:hAnsi="Arial"/>
          <w:sz w:val="18"/>
          <w:szCs w:val="18"/>
          <w:b w:val="1"/>
          <w:bCs w:val="1"/>
          <w:color w:val="FFFFFF"/>
        </w:rPr>
        <w:t>What We Do</w:t>
      </w:r>
    </w:p>
    <w:p>
      <w:pPr>
        <w:ind w:left="360" w:hanging="282"/>
        <w:spacing w:after="0" w:line="298" w:lineRule="exact"/>
        <w:tabs>
          <w:tab w:leader="none" w:pos="360" w:val="left"/>
        </w:tabs>
        <w:numPr>
          <w:ilvl w:val="0"/>
          <w:numId w:val="42"/>
        </w:numPr>
        <w:rPr>
          <w:rFonts w:ascii="Wingdings" w:cs="Wingdings" w:eastAsia="Wingdings" w:hAnsi="Wingdings"/>
          <w:sz w:val="35"/>
          <w:szCs w:val="35"/>
          <w:b w:val="1"/>
          <w:bCs w:val="1"/>
          <w:color w:val="auto"/>
          <w:vertAlign w:val="subscript"/>
        </w:rPr>
      </w:pPr>
      <w:r>
        <w:rPr>
          <w:rFonts w:ascii="Arial" w:cs="Arial" w:eastAsia="Arial" w:hAnsi="Arial"/>
          <w:sz w:val="15"/>
          <w:szCs w:val="15"/>
          <w:b w:val="1"/>
          <w:bCs w:val="1"/>
          <w:color w:val="auto"/>
        </w:rPr>
        <w:t>Pay</w:t>
      </w:r>
      <w:r>
        <w:rPr>
          <w:rFonts w:ascii="MS PGothic" w:cs="MS PGothic" w:eastAsia="MS PGothic" w:hAnsi="MS PGothic"/>
          <w:sz w:val="15"/>
          <w:szCs w:val="15"/>
          <w:color w:val="auto"/>
          <w:strike w:val="1"/>
        </w:rPr>
        <w:t>‑</w:t>
      </w:r>
      <w:r>
        <w:rPr>
          <w:rFonts w:ascii="Arial" w:cs="Arial" w:eastAsia="Arial" w:hAnsi="Arial"/>
          <w:sz w:val="15"/>
          <w:szCs w:val="15"/>
          <w:b w:val="1"/>
          <w:bCs w:val="1"/>
          <w:color w:val="auto"/>
        </w:rPr>
        <w:t>for</w:t>
      </w:r>
      <w:r>
        <w:rPr>
          <w:rFonts w:ascii="MS PGothic" w:cs="MS PGothic" w:eastAsia="MS PGothic" w:hAnsi="MS PGothic"/>
          <w:sz w:val="15"/>
          <w:szCs w:val="15"/>
          <w:color w:val="auto"/>
          <w:strike w:val="1"/>
        </w:rPr>
        <w:t>‑</w:t>
      </w:r>
      <w:r>
        <w:rPr>
          <w:rFonts w:ascii="Arial" w:cs="Arial" w:eastAsia="Arial" w:hAnsi="Arial"/>
          <w:sz w:val="15"/>
          <w:szCs w:val="15"/>
          <w:b w:val="1"/>
          <w:bCs w:val="1"/>
          <w:color w:val="auto"/>
        </w:rPr>
        <w:t xml:space="preserve">Performance: </w:t>
      </w:r>
      <w:r>
        <w:rPr>
          <w:rFonts w:ascii="Arial" w:cs="Arial" w:eastAsia="Arial" w:hAnsi="Arial"/>
          <w:sz w:val="15"/>
          <w:szCs w:val="15"/>
          <w:color w:val="auto"/>
        </w:rPr>
        <w:t>Majority of pay is performance-based and not guaranteed</w:t>
      </w:r>
    </w:p>
    <w:p>
      <w:pPr>
        <w:spacing w:after="0" w:line="170" w:lineRule="exact"/>
        <w:rPr>
          <w:rFonts w:ascii="Wingdings" w:cs="Wingdings" w:eastAsia="Wingdings" w:hAnsi="Wingdings"/>
          <w:sz w:val="35"/>
          <w:szCs w:val="35"/>
          <w:b w:val="1"/>
          <w:bCs w:val="1"/>
          <w:color w:val="auto"/>
          <w:vertAlign w:val="subscript"/>
        </w:rPr>
      </w:pPr>
    </w:p>
    <w:p>
      <w:pPr>
        <w:ind w:left="360" w:right="40" w:hanging="282"/>
        <w:spacing w:after="0" w:line="294" w:lineRule="exact"/>
        <w:tabs>
          <w:tab w:leader="none" w:pos="360" w:val="left"/>
        </w:tabs>
        <w:numPr>
          <w:ilvl w:val="0"/>
          <w:numId w:val="42"/>
        </w:numPr>
        <w:rPr>
          <w:rFonts w:ascii="Wingdings" w:cs="Wingdings" w:eastAsia="Wingdings" w:hAnsi="Wingdings"/>
          <w:sz w:val="42"/>
          <w:szCs w:val="42"/>
          <w:b w:val="1"/>
          <w:bCs w:val="1"/>
          <w:color w:val="auto"/>
          <w:vertAlign w:val="subscript"/>
        </w:rPr>
      </w:pPr>
      <w:r>
        <w:rPr>
          <w:rFonts w:ascii="Arial" w:cs="Arial" w:eastAsia="Arial" w:hAnsi="Arial"/>
          <w:sz w:val="16"/>
          <w:szCs w:val="16"/>
          <w:b w:val="1"/>
          <w:bCs w:val="1"/>
          <w:color w:val="auto"/>
        </w:rPr>
        <w:t xml:space="preserve">Multiple Performance Metrics and Multi-Year Time Horizon: </w:t>
      </w:r>
      <w:r>
        <w:rPr>
          <w:rFonts w:ascii="Arial" w:cs="Arial" w:eastAsia="Arial" w:hAnsi="Arial"/>
          <w:sz w:val="16"/>
          <w:szCs w:val="16"/>
          <w:color w:val="auto"/>
        </w:rPr>
        <w:t>Use multiple</w:t>
      </w:r>
      <w:r>
        <w:rPr>
          <w:rFonts w:ascii="Arial" w:cs="Arial" w:eastAsia="Arial" w:hAnsi="Arial"/>
          <w:sz w:val="16"/>
          <w:szCs w:val="16"/>
          <w:b w:val="1"/>
          <w:bCs w:val="1"/>
          <w:color w:val="auto"/>
        </w:rPr>
        <w:t xml:space="preserve"> </w:t>
      </w:r>
      <w:r>
        <w:rPr>
          <w:rFonts w:ascii="Arial" w:cs="Arial" w:eastAsia="Arial" w:hAnsi="Arial"/>
          <w:sz w:val="16"/>
          <w:szCs w:val="16"/>
          <w:color w:val="auto"/>
        </w:rPr>
        <w:t>performance metrics and multi</w:t>
      </w:r>
      <w:r>
        <w:rPr>
          <w:rFonts w:ascii="MS PGothic" w:cs="MS PGothic" w:eastAsia="MS PGothic" w:hAnsi="MS PGothic"/>
          <w:sz w:val="16"/>
          <w:szCs w:val="16"/>
          <w:color w:val="auto"/>
        </w:rPr>
        <w:t>‑</w:t>
      </w:r>
      <w:r>
        <w:rPr>
          <w:rFonts w:ascii="Arial" w:cs="Arial" w:eastAsia="Arial" w:hAnsi="Arial"/>
          <w:sz w:val="16"/>
          <w:szCs w:val="16"/>
          <w:color w:val="auto"/>
        </w:rPr>
        <w:t>year vesting and measurement periods for long</w:t>
      </w:r>
      <w:r>
        <w:rPr>
          <w:rFonts w:ascii="MS PGothic" w:cs="MS PGothic" w:eastAsia="MS PGothic" w:hAnsi="MS PGothic"/>
          <w:sz w:val="16"/>
          <w:szCs w:val="16"/>
          <w:color w:val="auto"/>
        </w:rPr>
        <w:t>‑</w:t>
      </w:r>
      <w:r>
        <w:rPr>
          <w:rFonts w:ascii="Arial" w:cs="Arial" w:eastAsia="Arial" w:hAnsi="Arial"/>
          <w:sz w:val="16"/>
          <w:szCs w:val="16"/>
          <w:color w:val="auto"/>
        </w:rPr>
        <w:t>term incentives</w:t>
      </w:r>
    </w:p>
    <w:p>
      <w:pPr>
        <w:spacing w:after="0" w:line="19" w:lineRule="exact"/>
        <w:rPr>
          <w:rFonts w:ascii="Wingdings" w:cs="Wingdings" w:eastAsia="Wingdings" w:hAnsi="Wingdings"/>
          <w:sz w:val="42"/>
          <w:szCs w:val="42"/>
          <w:b w:val="1"/>
          <w:bCs w:val="1"/>
          <w:color w:val="auto"/>
          <w:vertAlign w:val="subscript"/>
        </w:rPr>
      </w:pPr>
    </w:p>
    <w:p>
      <w:pPr>
        <w:ind w:left="360" w:right="280" w:hanging="282"/>
        <w:spacing w:after="0" w:line="180" w:lineRule="auto"/>
        <w:tabs>
          <w:tab w:leader="none" w:pos="360" w:val="left"/>
        </w:tabs>
        <w:numPr>
          <w:ilvl w:val="0"/>
          <w:numId w:val="42"/>
        </w:numPr>
        <w:rPr>
          <w:rFonts w:ascii="Wingdings" w:cs="Wingdings" w:eastAsia="Wingdings" w:hAnsi="Wingdings"/>
          <w:sz w:val="34"/>
          <w:szCs w:val="34"/>
          <w:b w:val="1"/>
          <w:bCs w:val="1"/>
          <w:color w:val="auto"/>
          <w:vertAlign w:val="subscript"/>
        </w:rPr>
      </w:pPr>
      <w:r>
        <w:rPr>
          <w:rFonts w:ascii="Arial" w:cs="Arial" w:eastAsia="Arial" w:hAnsi="Arial"/>
          <w:sz w:val="15"/>
          <w:szCs w:val="15"/>
          <w:b w:val="1"/>
          <w:bCs w:val="1"/>
          <w:color w:val="auto"/>
        </w:rPr>
        <w:t xml:space="preserve">Capped Maximum Incentives: </w:t>
      </w:r>
      <w:r>
        <w:rPr>
          <w:rFonts w:ascii="Arial" w:cs="Arial" w:eastAsia="Arial" w:hAnsi="Arial"/>
          <w:sz w:val="15"/>
          <w:szCs w:val="15"/>
          <w:color w:val="auto"/>
        </w:rPr>
        <w:t>Short- and long-term incentive programs cap the</w:t>
      </w:r>
      <w:r>
        <w:rPr>
          <w:rFonts w:ascii="Arial" w:cs="Arial" w:eastAsia="Arial" w:hAnsi="Arial"/>
          <w:sz w:val="15"/>
          <w:szCs w:val="15"/>
          <w:b w:val="1"/>
          <w:bCs w:val="1"/>
          <w:color w:val="auto"/>
        </w:rPr>
        <w:t xml:space="preserve"> </w:t>
      </w:r>
      <w:r>
        <w:rPr>
          <w:rFonts w:ascii="Arial" w:cs="Arial" w:eastAsia="Arial" w:hAnsi="Arial"/>
          <w:sz w:val="15"/>
          <w:szCs w:val="15"/>
          <w:color w:val="auto"/>
        </w:rPr>
        <w:t>maximum amount payable to help mitigate the potential risk of our programs</w:t>
      </w:r>
    </w:p>
    <w:p>
      <w:pPr>
        <w:spacing w:after="0" w:line="222" w:lineRule="exact"/>
        <w:rPr>
          <w:rFonts w:ascii="Wingdings" w:cs="Wingdings" w:eastAsia="Wingdings" w:hAnsi="Wingdings"/>
          <w:sz w:val="34"/>
          <w:szCs w:val="34"/>
          <w:b w:val="1"/>
          <w:bCs w:val="1"/>
          <w:color w:val="auto"/>
          <w:vertAlign w:val="subscript"/>
        </w:rPr>
      </w:pPr>
    </w:p>
    <w:p>
      <w:pPr>
        <w:ind w:left="360" w:right="600" w:hanging="282"/>
        <w:spacing w:after="0"/>
        <w:tabs>
          <w:tab w:leader="none" w:pos="360" w:val="left"/>
        </w:tabs>
        <w:numPr>
          <w:ilvl w:val="0"/>
          <w:numId w:val="42"/>
        </w:numPr>
        <w:rPr>
          <w:rFonts w:ascii="Wingdings" w:cs="Wingdings" w:eastAsia="Wingdings" w:hAnsi="Wingdings"/>
          <w:sz w:val="37"/>
          <w:szCs w:val="37"/>
          <w:b w:val="1"/>
          <w:bCs w:val="1"/>
          <w:color w:val="auto"/>
          <w:vertAlign w:val="subscript"/>
        </w:rPr>
      </w:pPr>
      <w:r>
        <w:rPr>
          <w:rFonts w:ascii="Arial" w:cs="Arial" w:eastAsia="Arial" w:hAnsi="Arial"/>
          <w:sz w:val="15"/>
          <w:szCs w:val="15"/>
          <w:b w:val="1"/>
          <w:bCs w:val="1"/>
          <w:color w:val="auto"/>
        </w:rPr>
        <w:t xml:space="preserve">Annual Compensation Risk Review: </w:t>
      </w:r>
      <w:r>
        <w:rPr>
          <w:rFonts w:ascii="Arial" w:cs="Arial" w:eastAsia="Arial" w:hAnsi="Arial"/>
          <w:sz w:val="15"/>
          <w:szCs w:val="15"/>
          <w:color w:val="auto"/>
        </w:rPr>
        <w:t>Annually assess risk in compensation</w:t>
      </w:r>
      <w:r>
        <w:rPr>
          <w:rFonts w:ascii="Arial" w:cs="Arial" w:eastAsia="Arial" w:hAnsi="Arial"/>
          <w:sz w:val="15"/>
          <w:szCs w:val="15"/>
          <w:b w:val="1"/>
          <w:bCs w:val="1"/>
          <w:color w:val="auto"/>
        </w:rPr>
        <w:t xml:space="preserve"> </w:t>
      </w:r>
      <w:r>
        <w:rPr>
          <w:rFonts w:ascii="Arial" w:cs="Arial" w:eastAsia="Arial" w:hAnsi="Arial"/>
          <w:sz w:val="15"/>
          <w:szCs w:val="15"/>
          <w:color w:val="auto"/>
        </w:rPr>
        <w:t>programs</w:t>
      </w:r>
    </w:p>
    <w:p>
      <w:pPr>
        <w:spacing w:after="0" w:line="8" w:lineRule="exact"/>
        <w:rPr>
          <w:rFonts w:ascii="Wingdings" w:cs="Wingdings" w:eastAsia="Wingdings" w:hAnsi="Wingdings"/>
          <w:sz w:val="37"/>
          <w:szCs w:val="37"/>
          <w:b w:val="1"/>
          <w:bCs w:val="1"/>
          <w:color w:val="auto"/>
          <w:vertAlign w:val="subscript"/>
        </w:rPr>
      </w:pPr>
    </w:p>
    <w:p>
      <w:pPr>
        <w:ind w:left="360" w:right="480" w:hanging="282"/>
        <w:spacing w:after="0" w:line="210" w:lineRule="exact"/>
        <w:tabs>
          <w:tab w:leader="none" w:pos="360" w:val="left"/>
        </w:tabs>
        <w:numPr>
          <w:ilvl w:val="0"/>
          <w:numId w:val="42"/>
        </w:numPr>
        <w:rPr>
          <w:rFonts w:ascii="Wingdings" w:cs="Wingdings" w:eastAsia="Wingdings" w:hAnsi="Wingdings"/>
          <w:sz w:val="42"/>
          <w:szCs w:val="42"/>
          <w:b w:val="1"/>
          <w:bCs w:val="1"/>
          <w:color w:val="auto"/>
          <w:vertAlign w:val="subscript"/>
        </w:rPr>
      </w:pPr>
      <w:r>
        <w:rPr>
          <w:rFonts w:ascii="Arial" w:cs="Arial" w:eastAsia="Arial" w:hAnsi="Arial"/>
          <w:sz w:val="16"/>
          <w:szCs w:val="16"/>
          <w:b w:val="1"/>
          <w:bCs w:val="1"/>
          <w:color w:val="auto"/>
        </w:rPr>
        <w:t>Double</w:t>
      </w:r>
      <w:r>
        <w:rPr>
          <w:rFonts w:ascii="MS PGothic" w:cs="MS PGothic" w:eastAsia="MS PGothic" w:hAnsi="MS PGothic"/>
          <w:sz w:val="16"/>
          <w:szCs w:val="16"/>
          <w:color w:val="auto"/>
          <w:strike w:val="1"/>
        </w:rPr>
        <w:t>‑</w:t>
      </w:r>
      <w:r>
        <w:rPr>
          <w:rFonts w:ascii="Arial" w:cs="Arial" w:eastAsia="Arial" w:hAnsi="Arial"/>
          <w:sz w:val="16"/>
          <w:szCs w:val="16"/>
          <w:b w:val="1"/>
          <w:bCs w:val="1"/>
          <w:color w:val="auto"/>
        </w:rPr>
        <w:t xml:space="preserve">Trigger Change in Control: </w:t>
      </w:r>
      <w:r>
        <w:rPr>
          <w:rFonts w:ascii="Arial" w:cs="Arial" w:eastAsia="Arial" w:hAnsi="Arial"/>
          <w:sz w:val="16"/>
          <w:szCs w:val="16"/>
          <w:color w:val="auto"/>
        </w:rPr>
        <w:t>Cash severance payments and equity</w:t>
      </w:r>
      <w:r>
        <w:rPr>
          <w:rFonts w:ascii="Arial" w:cs="Arial" w:eastAsia="Arial" w:hAnsi="Arial"/>
          <w:sz w:val="16"/>
          <w:szCs w:val="16"/>
          <w:b w:val="1"/>
          <w:bCs w:val="1"/>
          <w:color w:val="auto"/>
        </w:rPr>
        <w:t xml:space="preserve"> </w:t>
      </w:r>
      <w:r>
        <w:rPr>
          <w:rFonts w:ascii="Arial" w:cs="Arial" w:eastAsia="Arial" w:hAnsi="Arial"/>
          <w:sz w:val="16"/>
          <w:szCs w:val="16"/>
          <w:color w:val="auto"/>
        </w:rPr>
        <w:t>acceleration require both a change in control of the Company and constructive termination (“double-trigger”)</w:t>
      </w:r>
    </w:p>
    <w:p>
      <w:pPr>
        <w:spacing w:after="0" w:line="18" w:lineRule="exact"/>
        <w:rPr>
          <w:rFonts w:ascii="Wingdings" w:cs="Wingdings" w:eastAsia="Wingdings" w:hAnsi="Wingdings"/>
          <w:sz w:val="42"/>
          <w:szCs w:val="42"/>
          <w:b w:val="1"/>
          <w:bCs w:val="1"/>
          <w:color w:val="auto"/>
          <w:vertAlign w:val="subscript"/>
        </w:rPr>
      </w:pPr>
    </w:p>
    <w:p>
      <w:pPr>
        <w:ind w:left="360" w:right="880" w:hanging="282"/>
        <w:spacing w:after="0"/>
        <w:tabs>
          <w:tab w:leader="none" w:pos="360" w:val="left"/>
        </w:tabs>
        <w:numPr>
          <w:ilvl w:val="0"/>
          <w:numId w:val="42"/>
        </w:numPr>
        <w:rPr>
          <w:rFonts w:ascii="Wingdings" w:cs="Wingdings" w:eastAsia="Wingdings" w:hAnsi="Wingdings"/>
          <w:sz w:val="37"/>
          <w:szCs w:val="37"/>
          <w:b w:val="1"/>
          <w:bCs w:val="1"/>
          <w:color w:val="auto"/>
          <w:vertAlign w:val="subscript"/>
        </w:rPr>
      </w:pPr>
      <w:r>
        <w:rPr>
          <w:rFonts w:ascii="Arial" w:cs="Arial" w:eastAsia="Arial" w:hAnsi="Arial"/>
          <w:sz w:val="15"/>
          <w:szCs w:val="15"/>
          <w:b w:val="1"/>
          <w:bCs w:val="1"/>
          <w:color w:val="auto"/>
        </w:rPr>
        <w:t xml:space="preserve">Share Ownership Guidelines: </w:t>
      </w:r>
      <w:r>
        <w:rPr>
          <w:rFonts w:ascii="Arial" w:cs="Arial" w:eastAsia="Arial" w:hAnsi="Arial"/>
          <w:sz w:val="15"/>
          <w:szCs w:val="15"/>
          <w:color w:val="auto"/>
        </w:rPr>
        <w:t>NEOs must comply with share ownership</w:t>
      </w:r>
      <w:r>
        <w:rPr>
          <w:rFonts w:ascii="Arial" w:cs="Arial" w:eastAsia="Arial" w:hAnsi="Arial"/>
          <w:sz w:val="15"/>
          <w:szCs w:val="15"/>
          <w:b w:val="1"/>
          <w:bCs w:val="1"/>
          <w:color w:val="auto"/>
        </w:rPr>
        <w:t xml:space="preserve"> </w:t>
      </w:r>
      <w:r>
        <w:rPr>
          <w:rFonts w:ascii="Arial" w:cs="Arial" w:eastAsia="Arial" w:hAnsi="Arial"/>
          <w:sz w:val="15"/>
          <w:szCs w:val="15"/>
          <w:color w:val="auto"/>
        </w:rPr>
        <w:t>requirements</w:t>
      </w:r>
    </w:p>
    <w:p>
      <w:pPr>
        <w:spacing w:after="0" w:line="21" w:lineRule="exact"/>
        <w:rPr>
          <w:rFonts w:ascii="Wingdings" w:cs="Wingdings" w:eastAsia="Wingdings" w:hAnsi="Wingdings"/>
          <w:sz w:val="37"/>
          <w:szCs w:val="37"/>
          <w:b w:val="1"/>
          <w:bCs w:val="1"/>
          <w:color w:val="auto"/>
          <w:vertAlign w:val="subscript"/>
        </w:rPr>
      </w:pPr>
    </w:p>
    <w:p>
      <w:pPr>
        <w:ind w:left="360" w:hanging="282"/>
        <w:spacing w:after="0" w:line="217" w:lineRule="auto"/>
        <w:tabs>
          <w:tab w:leader="none" w:pos="360" w:val="left"/>
        </w:tabs>
        <w:numPr>
          <w:ilvl w:val="0"/>
          <w:numId w:val="42"/>
        </w:numPr>
        <w:rPr>
          <w:rFonts w:ascii="Wingdings" w:cs="Wingdings" w:eastAsia="Wingdings" w:hAnsi="Wingdings"/>
          <w:sz w:val="42"/>
          <w:szCs w:val="42"/>
          <w:b w:val="1"/>
          <w:bCs w:val="1"/>
          <w:color w:val="auto"/>
          <w:vertAlign w:val="subscript"/>
        </w:rPr>
      </w:pPr>
      <w:r>
        <w:rPr>
          <w:rFonts w:ascii="Arial" w:cs="Arial" w:eastAsia="Arial" w:hAnsi="Arial"/>
          <w:sz w:val="16"/>
          <w:szCs w:val="16"/>
          <w:b w:val="1"/>
          <w:bCs w:val="1"/>
          <w:color w:val="auto"/>
        </w:rPr>
        <w:t xml:space="preserve">Recoupment Policy: </w:t>
      </w:r>
      <w:r>
        <w:rPr>
          <w:rFonts w:ascii="Arial" w:cs="Arial" w:eastAsia="Arial" w:hAnsi="Arial"/>
          <w:sz w:val="16"/>
          <w:szCs w:val="16"/>
          <w:color w:val="auto"/>
        </w:rPr>
        <w:t>We maintain a recoupment policy that provides for recovery of</w:t>
      </w:r>
      <w:r>
        <w:rPr>
          <w:rFonts w:ascii="Arial" w:cs="Arial" w:eastAsia="Arial" w:hAnsi="Arial"/>
          <w:sz w:val="16"/>
          <w:szCs w:val="16"/>
          <w:b w:val="1"/>
          <w:bCs w:val="1"/>
          <w:color w:val="auto"/>
        </w:rPr>
        <w:t xml:space="preserve"> </w:t>
      </w:r>
      <w:r>
        <w:rPr>
          <w:rFonts w:ascii="Arial" w:cs="Arial" w:eastAsia="Arial" w:hAnsi="Arial"/>
          <w:sz w:val="16"/>
          <w:szCs w:val="16"/>
          <w:color w:val="auto"/>
        </w:rPr>
        <w:t>incentive compensation in the event of fraud, embezzlement, theft or a financial restatement</w:t>
      </w:r>
    </w:p>
    <w:p>
      <w:pPr>
        <w:spacing w:after="0" w:line="19" w:lineRule="exact"/>
        <w:rPr>
          <w:rFonts w:ascii="Wingdings" w:cs="Wingdings" w:eastAsia="Wingdings" w:hAnsi="Wingdings"/>
          <w:sz w:val="42"/>
          <w:szCs w:val="42"/>
          <w:b w:val="1"/>
          <w:bCs w:val="1"/>
          <w:color w:val="auto"/>
          <w:vertAlign w:val="subscript"/>
        </w:rPr>
      </w:pPr>
    </w:p>
    <w:p>
      <w:pPr>
        <w:ind w:left="360" w:right="60" w:hanging="282"/>
        <w:spacing w:after="0" w:line="180" w:lineRule="auto"/>
        <w:tabs>
          <w:tab w:leader="none" w:pos="360" w:val="left"/>
        </w:tabs>
        <w:numPr>
          <w:ilvl w:val="0"/>
          <w:numId w:val="42"/>
        </w:numPr>
        <w:rPr>
          <w:rFonts w:ascii="Wingdings" w:cs="Wingdings" w:eastAsia="Wingdings" w:hAnsi="Wingdings"/>
          <w:sz w:val="34"/>
          <w:szCs w:val="34"/>
          <w:b w:val="1"/>
          <w:bCs w:val="1"/>
          <w:color w:val="auto"/>
          <w:vertAlign w:val="subscript"/>
        </w:rPr>
      </w:pPr>
      <w:r>
        <w:rPr>
          <w:rFonts w:ascii="Arial" w:cs="Arial" w:eastAsia="Arial" w:hAnsi="Arial"/>
          <w:sz w:val="15"/>
          <w:szCs w:val="15"/>
          <w:b w:val="1"/>
          <w:bCs w:val="1"/>
          <w:color w:val="auto"/>
        </w:rPr>
        <w:t xml:space="preserve">Challenging Performance Objectives: </w:t>
      </w:r>
      <w:r>
        <w:rPr>
          <w:rFonts w:ascii="Arial" w:cs="Arial" w:eastAsia="Arial" w:hAnsi="Arial"/>
          <w:sz w:val="15"/>
          <w:szCs w:val="15"/>
          <w:color w:val="auto"/>
        </w:rPr>
        <w:t>Set challenging performance objectives for</w:t>
      </w:r>
      <w:r>
        <w:rPr>
          <w:rFonts w:ascii="Arial" w:cs="Arial" w:eastAsia="Arial" w:hAnsi="Arial"/>
          <w:sz w:val="15"/>
          <w:szCs w:val="15"/>
          <w:b w:val="1"/>
          <w:bCs w:val="1"/>
          <w:color w:val="auto"/>
        </w:rPr>
        <w:t xml:space="preserve"> </w:t>
      </w:r>
      <w:r>
        <w:rPr>
          <w:rFonts w:ascii="Arial" w:cs="Arial" w:eastAsia="Arial" w:hAnsi="Arial"/>
          <w:sz w:val="15"/>
          <w:szCs w:val="15"/>
          <w:color w:val="auto"/>
        </w:rPr>
        <w:t>Annual and Long-Term Incentives</w:t>
      </w:r>
    </w:p>
    <w:p>
      <w:pPr>
        <w:spacing w:after="0" w:line="19" w:lineRule="exact"/>
        <w:rPr>
          <w:rFonts w:ascii="Wingdings" w:cs="Wingdings" w:eastAsia="Wingdings" w:hAnsi="Wingdings"/>
          <w:sz w:val="34"/>
          <w:szCs w:val="34"/>
          <w:b w:val="1"/>
          <w:bCs w:val="1"/>
          <w:color w:val="auto"/>
          <w:vertAlign w:val="subscript"/>
        </w:rPr>
      </w:pPr>
    </w:p>
    <w:p>
      <w:pPr>
        <w:ind w:left="360" w:right="20" w:hanging="282"/>
        <w:spacing w:after="0" w:line="187" w:lineRule="auto"/>
        <w:tabs>
          <w:tab w:leader="none" w:pos="360" w:val="left"/>
        </w:tabs>
        <w:numPr>
          <w:ilvl w:val="0"/>
          <w:numId w:val="42"/>
        </w:numPr>
        <w:rPr>
          <w:rFonts w:ascii="Wingdings" w:cs="Wingdings" w:eastAsia="Wingdings" w:hAnsi="Wingdings"/>
          <w:sz w:val="37"/>
          <w:szCs w:val="37"/>
          <w:b w:val="1"/>
          <w:bCs w:val="1"/>
          <w:color w:val="auto"/>
          <w:vertAlign w:val="subscript"/>
        </w:rPr>
      </w:pPr>
      <w:r>
        <w:rPr>
          <w:rFonts w:ascii="Arial" w:cs="Arial" w:eastAsia="Arial" w:hAnsi="Arial"/>
          <w:sz w:val="15"/>
          <w:szCs w:val="15"/>
          <w:b w:val="1"/>
          <w:bCs w:val="1"/>
          <w:color w:val="auto"/>
        </w:rPr>
        <w:t xml:space="preserve">Use of Independent Consultant: </w:t>
      </w:r>
      <w:r>
        <w:rPr>
          <w:rFonts w:ascii="Arial" w:cs="Arial" w:eastAsia="Arial" w:hAnsi="Arial"/>
          <w:sz w:val="15"/>
          <w:szCs w:val="15"/>
          <w:color w:val="auto"/>
        </w:rPr>
        <w:t>The Compensation Committee has retained an</w:t>
      </w:r>
      <w:r>
        <w:rPr>
          <w:rFonts w:ascii="Arial" w:cs="Arial" w:eastAsia="Arial" w:hAnsi="Arial"/>
          <w:sz w:val="15"/>
          <w:szCs w:val="15"/>
          <w:b w:val="1"/>
          <w:bCs w:val="1"/>
          <w:color w:val="auto"/>
        </w:rPr>
        <w:t xml:space="preserve"> </w:t>
      </w:r>
      <w:r>
        <w:rPr>
          <w:rFonts w:ascii="Arial" w:cs="Arial" w:eastAsia="Arial" w:hAnsi="Arial"/>
          <w:sz w:val="15"/>
          <w:szCs w:val="15"/>
          <w:color w:val="auto"/>
        </w:rPr>
        <w:t>independent compensation consultant that performs no other consulting services for the Company and has no conflicts of interest</w:t>
      </w:r>
    </w:p>
    <w:p>
      <w:pPr>
        <w:spacing w:after="0" w:line="18" w:lineRule="exact"/>
        <w:rPr>
          <w:rFonts w:ascii="Wingdings" w:cs="Wingdings" w:eastAsia="Wingdings" w:hAnsi="Wingdings"/>
          <w:sz w:val="37"/>
          <w:szCs w:val="37"/>
          <w:b w:val="1"/>
          <w:bCs w:val="1"/>
          <w:color w:val="auto"/>
          <w:vertAlign w:val="subscript"/>
        </w:rPr>
      </w:pPr>
    </w:p>
    <w:p>
      <w:pPr>
        <w:ind w:left="360" w:hanging="282"/>
        <w:spacing w:after="0" w:line="180" w:lineRule="auto"/>
        <w:tabs>
          <w:tab w:leader="none" w:pos="360" w:val="left"/>
        </w:tabs>
        <w:numPr>
          <w:ilvl w:val="0"/>
          <w:numId w:val="42"/>
        </w:numPr>
        <w:rPr>
          <w:rFonts w:ascii="Wingdings" w:cs="Wingdings" w:eastAsia="Wingdings" w:hAnsi="Wingdings"/>
          <w:sz w:val="34"/>
          <w:szCs w:val="34"/>
          <w:b w:val="1"/>
          <w:bCs w:val="1"/>
          <w:color w:val="auto"/>
          <w:vertAlign w:val="subscript"/>
        </w:rPr>
      </w:pPr>
      <w:r>
        <w:rPr>
          <w:rFonts w:ascii="Arial" w:cs="Arial" w:eastAsia="Arial" w:hAnsi="Arial"/>
          <w:sz w:val="15"/>
          <w:szCs w:val="15"/>
          <w:b w:val="1"/>
          <w:bCs w:val="1"/>
          <w:color w:val="auto"/>
        </w:rPr>
        <w:t xml:space="preserve">Limited Perquisites: </w:t>
      </w:r>
      <w:r>
        <w:rPr>
          <w:rFonts w:ascii="Arial" w:cs="Arial" w:eastAsia="Arial" w:hAnsi="Arial"/>
          <w:sz w:val="15"/>
          <w:szCs w:val="15"/>
          <w:color w:val="auto"/>
        </w:rPr>
        <w:t>We provide our executive officers with only limited perquisites,</w:t>
      </w:r>
      <w:r>
        <w:rPr>
          <w:rFonts w:ascii="Arial" w:cs="Arial" w:eastAsia="Arial" w:hAnsi="Arial"/>
          <w:sz w:val="15"/>
          <w:szCs w:val="15"/>
          <w:b w:val="1"/>
          <w:bCs w:val="1"/>
          <w:color w:val="auto"/>
        </w:rPr>
        <w:t xml:space="preserve"> </w:t>
      </w:r>
      <w:r>
        <w:rPr>
          <w:rFonts w:ascii="Arial" w:cs="Arial" w:eastAsia="Arial" w:hAnsi="Arial"/>
          <w:sz w:val="15"/>
          <w:szCs w:val="15"/>
          <w:color w:val="auto"/>
        </w:rPr>
        <w:t>such as those which we consider appropriate and typical in our industry</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ind w:left="1125"/>
        <w:spacing w:after="0"/>
        <w:rPr>
          <w:sz w:val="20"/>
          <w:szCs w:val="20"/>
          <w:color w:val="auto"/>
        </w:rPr>
      </w:pPr>
      <w:r>
        <w:rPr>
          <w:rFonts w:ascii="Arial" w:cs="Arial" w:eastAsia="Arial" w:hAnsi="Arial"/>
          <w:sz w:val="18"/>
          <w:szCs w:val="18"/>
          <w:b w:val="1"/>
          <w:bCs w:val="1"/>
          <w:color w:val="FFFFFF"/>
        </w:rPr>
        <w:t>What We Don't Do</w:t>
      </w:r>
    </w:p>
    <w:p>
      <w:pPr>
        <w:spacing w:after="0" w:line="40" w:lineRule="exact"/>
        <w:rPr>
          <w:sz w:val="20"/>
          <w:szCs w:val="20"/>
          <w:color w:val="auto"/>
        </w:rPr>
      </w:pPr>
    </w:p>
    <w:p>
      <w:pPr>
        <w:ind w:left="285" w:right="100" w:hanging="285"/>
        <w:spacing w:after="0" w:line="188" w:lineRule="exact"/>
        <w:tabs>
          <w:tab w:leader="none" w:pos="285" w:val="left"/>
        </w:tabs>
        <w:numPr>
          <w:ilvl w:val="0"/>
          <w:numId w:val="43"/>
        </w:numPr>
        <w:rPr>
          <w:rFonts w:ascii="Arial" w:cs="Arial" w:eastAsia="Arial" w:hAnsi="Arial"/>
          <w:sz w:val="19"/>
          <w:szCs w:val="19"/>
          <w:b w:val="1"/>
          <w:bCs w:val="1"/>
          <w:color w:val="auto"/>
        </w:rPr>
      </w:pPr>
      <w:r>
        <w:rPr>
          <w:rFonts w:ascii="Arial" w:cs="Arial" w:eastAsia="Arial" w:hAnsi="Arial"/>
          <w:sz w:val="18"/>
          <w:szCs w:val="18"/>
          <w:b w:val="1"/>
          <w:bCs w:val="1"/>
          <w:color w:val="auto"/>
        </w:rPr>
        <w:t>No Excise Tax Gross</w:t>
      </w:r>
      <w:r>
        <w:rPr>
          <w:rFonts w:ascii="MS PGothic" w:cs="MS PGothic" w:eastAsia="MS PGothic" w:hAnsi="MS PGothic"/>
          <w:sz w:val="18"/>
          <w:szCs w:val="18"/>
          <w:color w:val="auto"/>
          <w:strike w:val="1"/>
        </w:rPr>
        <w:t>‑</w:t>
      </w:r>
      <w:r>
        <w:rPr>
          <w:rFonts w:ascii="Arial" w:cs="Arial" w:eastAsia="Arial" w:hAnsi="Arial"/>
          <w:sz w:val="18"/>
          <w:szCs w:val="18"/>
          <w:b w:val="1"/>
          <w:bCs w:val="1"/>
          <w:color w:val="auto"/>
        </w:rPr>
        <w:t xml:space="preserve">Ups: </w:t>
      </w:r>
      <w:r>
        <w:rPr>
          <w:rFonts w:ascii="Arial" w:cs="Arial" w:eastAsia="Arial" w:hAnsi="Arial"/>
          <w:sz w:val="18"/>
          <w:szCs w:val="18"/>
          <w:color w:val="auto"/>
        </w:rPr>
        <w:t>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will not enter into any new agreements, or materially amend any existing employment agreements with its executives that provide excise tax gross-ups in the event of a change in control of the Company</w:t>
      </w:r>
    </w:p>
    <w:p>
      <w:pPr>
        <w:spacing w:after="0" w:line="344" w:lineRule="exact"/>
        <w:rPr>
          <w:rFonts w:ascii="Arial" w:cs="Arial" w:eastAsia="Arial" w:hAnsi="Arial"/>
          <w:sz w:val="19"/>
          <w:szCs w:val="19"/>
          <w:b w:val="1"/>
          <w:bCs w:val="1"/>
          <w:color w:val="auto"/>
        </w:rPr>
      </w:pPr>
    </w:p>
    <w:p>
      <w:pPr>
        <w:ind w:left="285" w:right="80" w:hanging="285"/>
        <w:spacing w:after="0" w:line="235" w:lineRule="auto"/>
        <w:tabs>
          <w:tab w:leader="none" w:pos="285" w:val="left"/>
        </w:tabs>
        <w:numPr>
          <w:ilvl w:val="0"/>
          <w:numId w:val="43"/>
        </w:numPr>
        <w:rPr>
          <w:rFonts w:ascii="Arial" w:cs="Arial" w:eastAsia="Arial" w:hAnsi="Arial"/>
          <w:sz w:val="18"/>
          <w:szCs w:val="18"/>
          <w:b w:val="1"/>
          <w:bCs w:val="1"/>
          <w:color w:val="auto"/>
        </w:rPr>
      </w:pPr>
      <w:r>
        <w:rPr>
          <w:rFonts w:ascii="Arial" w:cs="Arial" w:eastAsia="Arial" w:hAnsi="Arial"/>
          <w:sz w:val="17"/>
          <w:szCs w:val="17"/>
          <w:b w:val="1"/>
          <w:bCs w:val="1"/>
          <w:color w:val="auto"/>
        </w:rPr>
        <w:t xml:space="preserve">No Repricing or Buyouts of Stock Options: </w:t>
      </w:r>
      <w:r>
        <w:rPr>
          <w:rFonts w:ascii="Arial" w:cs="Arial" w:eastAsia="Arial" w:hAnsi="Arial"/>
          <w:sz w:val="17"/>
          <w:szCs w:val="17"/>
          <w:color w:val="auto"/>
        </w:rPr>
        <w:t>The Company’s equity plan</w:t>
      </w:r>
      <w:r>
        <w:rPr>
          <w:rFonts w:ascii="Arial" w:cs="Arial" w:eastAsia="Arial" w:hAnsi="Arial"/>
          <w:sz w:val="17"/>
          <w:szCs w:val="17"/>
          <w:b w:val="1"/>
          <w:bCs w:val="1"/>
          <w:color w:val="auto"/>
        </w:rPr>
        <w:t xml:space="preserve"> </w:t>
      </w:r>
      <w:r>
        <w:rPr>
          <w:rFonts w:ascii="Arial" w:cs="Arial" w:eastAsia="Arial" w:hAnsi="Arial"/>
          <w:sz w:val="17"/>
          <w:szCs w:val="17"/>
          <w:color w:val="auto"/>
        </w:rPr>
        <w:t>prohibits repricing or buyouts of underwater stock options without stockholder approval</w:t>
      </w:r>
    </w:p>
    <w:p>
      <w:pPr>
        <w:spacing w:after="0" w:line="208" w:lineRule="exact"/>
        <w:rPr>
          <w:rFonts w:ascii="Arial" w:cs="Arial" w:eastAsia="Arial" w:hAnsi="Arial"/>
          <w:sz w:val="18"/>
          <w:szCs w:val="18"/>
          <w:b w:val="1"/>
          <w:bCs w:val="1"/>
          <w:color w:val="auto"/>
        </w:rPr>
      </w:pPr>
    </w:p>
    <w:p>
      <w:pPr>
        <w:ind w:left="285" w:right="160" w:hanging="285"/>
        <w:spacing w:after="0" w:line="223" w:lineRule="auto"/>
        <w:tabs>
          <w:tab w:leader="none" w:pos="285" w:val="left"/>
        </w:tabs>
        <w:numPr>
          <w:ilvl w:val="0"/>
          <w:numId w:val="43"/>
        </w:numPr>
        <w:rPr>
          <w:rFonts w:ascii="Arial" w:cs="Arial" w:eastAsia="Arial" w:hAnsi="Arial"/>
          <w:sz w:val="19"/>
          <w:szCs w:val="19"/>
          <w:b w:val="1"/>
          <w:bCs w:val="1"/>
          <w:color w:val="auto"/>
        </w:rPr>
      </w:pPr>
      <w:r>
        <w:rPr>
          <w:rFonts w:ascii="Arial" w:cs="Arial" w:eastAsia="Arial" w:hAnsi="Arial"/>
          <w:sz w:val="18"/>
          <w:szCs w:val="18"/>
          <w:b w:val="1"/>
          <w:bCs w:val="1"/>
          <w:color w:val="auto"/>
        </w:rPr>
        <w:t xml:space="preserve">No Hedging or Pledging: </w:t>
      </w:r>
      <w:r>
        <w:rPr>
          <w:rFonts w:ascii="Arial" w:cs="Arial" w:eastAsia="Arial" w:hAnsi="Arial"/>
          <w:sz w:val="18"/>
          <w:szCs w:val="18"/>
          <w:color w:val="auto"/>
        </w:rPr>
        <w:t>NEOs are</w:t>
      </w:r>
      <w:r>
        <w:rPr>
          <w:rFonts w:ascii="Arial" w:cs="Arial" w:eastAsia="Arial" w:hAnsi="Arial"/>
          <w:sz w:val="18"/>
          <w:szCs w:val="18"/>
          <w:b w:val="1"/>
          <w:bCs w:val="1"/>
          <w:color w:val="auto"/>
        </w:rPr>
        <w:t xml:space="preserve"> </w:t>
      </w:r>
      <w:r>
        <w:rPr>
          <w:rFonts w:ascii="Arial" w:cs="Arial" w:eastAsia="Arial" w:hAnsi="Arial"/>
          <w:sz w:val="18"/>
          <w:szCs w:val="18"/>
          <w:color w:val="auto"/>
        </w:rPr>
        <w:t>prohibited from hedging their ownership or pledging Company stock as collateral</w:t>
      </w:r>
    </w:p>
    <w:p>
      <w:pPr>
        <w:spacing w:after="0" w:line="330" w:lineRule="exact"/>
        <w:rPr>
          <w:rFonts w:ascii="Arial" w:cs="Arial" w:eastAsia="Arial" w:hAnsi="Arial"/>
          <w:sz w:val="19"/>
          <w:szCs w:val="19"/>
          <w:b w:val="1"/>
          <w:bCs w:val="1"/>
          <w:color w:val="auto"/>
        </w:rPr>
      </w:pPr>
    </w:p>
    <w:p>
      <w:pPr>
        <w:ind w:left="285"/>
        <w:spacing w:after="0"/>
        <w:rPr>
          <w:rFonts w:ascii="Arial" w:cs="Arial" w:eastAsia="Arial" w:hAnsi="Arial"/>
          <w:sz w:val="19"/>
          <w:szCs w:val="19"/>
          <w:b w:val="1"/>
          <w:bCs w:val="1"/>
          <w:color w:val="auto"/>
        </w:rPr>
      </w:pPr>
      <w:r>
        <w:rPr>
          <w:rFonts w:ascii="Arial" w:cs="Arial" w:eastAsia="Arial" w:hAnsi="Arial"/>
          <w:sz w:val="18"/>
          <w:szCs w:val="18"/>
          <w:b w:val="1"/>
          <w:bCs w:val="1"/>
          <w:color w:val="auto"/>
        </w:rPr>
        <w:t xml:space="preserve">No Dividends on Unearned PSUs: </w:t>
      </w:r>
      <w:r>
        <w:rPr>
          <w:rFonts w:ascii="Arial" w:cs="Arial" w:eastAsia="Arial" w:hAnsi="Arial"/>
          <w:sz w:val="18"/>
          <w:szCs w:val="18"/>
          <w:color w:val="auto"/>
        </w:rPr>
        <w:t>No</w:t>
      </w:r>
    </w:p>
    <w:p>
      <w:pPr>
        <w:ind w:left="285" w:right="180" w:hanging="285"/>
        <w:spacing w:after="0"/>
        <w:tabs>
          <w:tab w:leader="none" w:pos="285" w:val="left"/>
        </w:tabs>
        <w:numPr>
          <w:ilvl w:val="0"/>
          <w:numId w:val="43"/>
        </w:numPr>
        <w:rPr>
          <w:rFonts w:ascii="Arial" w:cs="Arial" w:eastAsia="Arial" w:hAnsi="Arial"/>
          <w:sz w:val="33"/>
          <w:szCs w:val="33"/>
          <w:b w:val="1"/>
          <w:bCs w:val="1"/>
          <w:color w:val="auto"/>
          <w:vertAlign w:val="superscript"/>
        </w:rPr>
      </w:pPr>
      <w:r>
        <w:rPr>
          <w:rFonts w:ascii="Arial" w:cs="Arial" w:eastAsia="Arial" w:hAnsi="Arial"/>
          <w:sz w:val="16"/>
          <w:szCs w:val="16"/>
          <w:color w:val="auto"/>
        </w:rPr>
        <w:t>dividends or dividend equivalents are paid on PSUs until they become vested and earned</w:t>
      </w:r>
    </w:p>
    <w:p>
      <w:pPr>
        <w:spacing w:after="0" w:line="1286" w:lineRule="exact"/>
        <w:rPr>
          <w:sz w:val="20"/>
          <w:szCs w:val="20"/>
          <w:color w:val="auto"/>
        </w:rPr>
      </w:pPr>
    </w:p>
    <w:p>
      <w:pPr>
        <w:sectPr>
          <w:pgSz w:w="11900" w:h="16838" w:orient="portrait"/>
          <w:cols w:equalWidth="0" w:num="2">
            <w:col w:w="7060" w:space="315"/>
            <w:col w:w="3825"/>
          </w:cols>
          <w:pgMar w:left="320" w:top="121" w:right="379" w:bottom="1440" w:gutter="0" w:footer="0" w:header="0"/>
          <w:type w:val="continuous"/>
        </w:sectPr>
      </w:pPr>
    </w:p>
    <w:p>
      <w:pPr>
        <w:spacing w:after="0" w:line="11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The Role of Stockholder Say-on-Pay Votes and Related Considerations</w:t>
      </w:r>
    </w:p>
    <w:p>
      <w:pPr>
        <w:spacing w:after="0" w:line="1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provide our stockholders with the opportunity to vote annually, on an advisory basis, on the compensation of our named executive officers (the “say-on-pay vote”). At our 2024 Annual Meeting of Stockholders, over 99% of the votes cast by stockholders’ on the say-on-pay vote were in favor of the compensation of our named executive officers. The Committee has considered the results of the say-on-pay vote and believes this favorable vote affirms our stockholders’ support of its approach to executive compensation. Stockholders must be given the opportunity to vote, on an advisory basis, on the frequency of future say-on-pay votes at least every six years. The next required advisory vote on the frequency of future say-on-pay votes will occur at the 2029 Annual Meeting of Stockholders.</w:t>
      </w:r>
    </w:p>
    <w:p>
      <w:pPr>
        <w:spacing w:after="0" w:line="74"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In addition to consideration given to the results of the say-on-pay vote, at various times throughout the year the Committee considers direct and indirect input from stockholders and other stakeholders, and more general developments in executive compensation principles, in the development and implementation of the Company’s executive compensation philosophy, policies and practices.</w:t>
      </w:r>
    </w:p>
    <w:p>
      <w:pPr>
        <w:spacing w:after="0" w:line="3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Independent Compensation Consultant</w:t>
      </w:r>
    </w:p>
    <w:p>
      <w:pPr>
        <w:spacing w:after="0" w:line="11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2024, as in prior years, the Committee retained Pay Governance as its independent executive compensation consultant. At least annually, the Committee conducts a review of its compensation consultant's performance and potential conflicts of interest. In accordance with applicable SEC and NYSE requirements the Committee reviewed the compensation consultant's independence, taking into account the six compensation consultant independence factors adopted by the SEC to guide companies in determining the independence of compensation consultants, and concluded that the work of the compensation consultant did not raise any conflicts of interest.</w:t>
      </w:r>
    </w:p>
    <w:p>
      <w:pPr>
        <w:spacing w:after="0" w:line="7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Pay Governance provides advice to the Committee on matters related to the fulfillment of the Committee’s responsibilities under its charter and on a wide range of executive compensation and related governance matters. As advisor to the Committee, Pay Governance reviews the Company's overall compensation strategy and pay levels for the Company’s</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executive officers, examines all aspects of the Company’s executive compensation programs to ensure their ongoing support of the Company’s business strategy, informs the Committee of developing legal and regulatory considerations affecting executive compensation and benefit programs, and provides general advice to the Committee with respect to compensation decisions pertaining to the Chief Executive Officer and other executive officers.</w:t>
      </w:r>
    </w:p>
    <w:p>
      <w:pPr>
        <w:spacing w:after="0" w:line="68"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At the Committee’s request, Pay Governance (i) reviewed our annual proxy statement disclosures, (ii) provided the Committee with an analysis of the compensation of our named executive officers as reported in the Company’s 2024 proxy statement as compared to the compensation of the named executive officers of companies within our Peer Group as reported in their proxy statements, (iii) provided the Committee with a review of incentive design practices among its peer group and the broader industry, and (iv) reviewed our Peer Group to ensure it continues to represent appropriately comparable companies for evaluating executive pay, and (v) provided the Committee with advice regarding the design and structure of the Company's performance-based compensation plans for 2025.</w:t>
      </w:r>
    </w:p>
    <w:p>
      <w:pPr>
        <w:spacing w:after="0" w:line="4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Reviewing Executive Compensation</w:t>
      </w:r>
    </w:p>
    <w:p>
      <w:pPr>
        <w:spacing w:after="0" w:line="110"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With the input and analysis of its independent compensation consultant, the Committee considers a peer group for purposes of evaluating our compensation levels (the “Peer Group”) against executives in similar positions. From time to time, the Committee and its independent compensation consultant evaluate the Peer Group to ensure that the Committee is evaluating appropriately comparable companies. For purposes of 2024 compensation decisions, the Peer Group consisted of the following companies:</w:t>
      </w:r>
    </w:p>
    <w:p>
      <w:pPr>
        <w:spacing w:after="0" w:line="68" w:lineRule="exact"/>
        <w:rPr>
          <w:sz w:val="20"/>
          <w:szCs w:val="20"/>
          <w:color w:val="auto"/>
        </w:rPr>
      </w:pPr>
    </w:p>
    <w:p>
      <w:pPr>
        <w:ind w:left="660" w:right="460" w:hanging="324"/>
        <w:spacing w:after="0" w:line="287"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Automotive Retailers</w:t>
      </w:r>
      <w:r>
        <w:rPr>
          <w:rFonts w:ascii="Arial" w:cs="Arial" w:eastAsia="Arial" w:hAnsi="Arial"/>
          <w:sz w:val="18"/>
          <w:szCs w:val="18"/>
          <w:color w:val="auto"/>
        </w:rPr>
        <w:t>: AutoNation, Inc., Group 1 Automotive, Inc., Lithia Motors Inc., Penske Automotive Group, Inc. and Sonic Automotive Inc. (collectively, the "Automotive Peer Group")</w:t>
      </w:r>
    </w:p>
    <w:p>
      <w:pPr>
        <w:spacing w:after="0" w:line="44" w:lineRule="exact"/>
        <w:rPr>
          <w:sz w:val="20"/>
          <w:szCs w:val="20"/>
          <w:color w:val="auto"/>
        </w:rPr>
      </w:pPr>
    </w:p>
    <w:p>
      <w:pPr>
        <w:ind w:left="660" w:right="80" w:hanging="324"/>
        <w:spacing w:after="0" w:line="224" w:lineRule="exact"/>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Non-Automotive Retailers</w:t>
      </w:r>
      <w:r>
        <w:rPr>
          <w:rFonts w:ascii="Arial" w:cs="Arial" w:eastAsia="Arial" w:hAnsi="Arial"/>
          <w:sz w:val="18"/>
          <w:szCs w:val="18"/>
          <w:color w:val="auto"/>
        </w:rPr>
        <w:t>: Advance Auto Parts, CarMax, Inc., Carvana Co., DICK's Sporting Goods, Inc., Genuine Parts Company, LKQ Corporation, Murphy USA Inc., The Goodyear Tire &amp; Rubber Company, Tractor Supply Company and Williams</w:t>
      </w:r>
      <w:r>
        <w:rPr>
          <w:rFonts w:ascii="MS PGothic" w:cs="MS PGothic" w:eastAsia="MS PGothic" w:hAnsi="MS PGothic"/>
          <w:sz w:val="18"/>
          <w:szCs w:val="18"/>
          <w:color w:val="auto"/>
        </w:rPr>
        <w:t>‐</w:t>
      </w:r>
      <w:r>
        <w:rPr>
          <w:rFonts w:ascii="Arial" w:cs="Arial" w:eastAsia="Arial" w:hAnsi="Arial"/>
          <w:sz w:val="18"/>
          <w:szCs w:val="18"/>
          <w:color w:val="auto"/>
        </w:rPr>
        <w:t>Sonoma Inc., which group has a median annual revenue of approximately $17.5 billion.</w:t>
      </w:r>
    </w:p>
    <w:p>
      <w:pPr>
        <w:spacing w:after="0" w:line="8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Committee reviewed the executive compensation data of the Peer Group in order to evaluate and confirm whether our executive compensation was within a reasonably competitive range, but did not set 2024 executive compensation levels at a specific target percentile within the Peer Group or any other comparator group. Rather, executive compensation decisions were based on the full consideration of all of the elements discussed above, together with the additional considerations discussed below, all of which provide input into the Committee’s deliberations and inform its decisions.</w:t>
      </w:r>
    </w:p>
    <w:p>
      <w:pPr>
        <w:spacing w:after="0" w:line="3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Additional Considerations in Making Executive Compensation Decisions</w:t>
      </w:r>
    </w:p>
    <w:p>
      <w:pPr>
        <w:spacing w:after="0" w:line="96"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As described above, while we do not specifically benchmark our executive compensation, the Committee generally aims to establish total compensation for our executive officers at levels it considers competitive with executives in similar positions within our Peer Group. Notwithstanding this, given the Committee's focus on the alignment of management and stockholder interests and the related use of short-term cash incentives and time-vested and performance-based equity compensation as the principal components of compensation, the Committee expects that when our performance exceeds targeted performance levels, the actual payouts received by our executive officers may be above competitive median levels. In addition to considering the evaluations and analyses prepared by Pay Governance, to help evaluate our executive compensation against that of our Peer Group, the Committee considered a number of other factors when setting executive officer compensation for 2024, including:</w:t>
      </w:r>
    </w:p>
    <w:p>
      <w:pPr>
        <w:spacing w:after="0" w:line="7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the executive’s knowledge, skills, abilities, experience, tenure and how critical the individual's role is to the Company;</w:t>
      </w:r>
    </w:p>
    <w:p>
      <w:pPr>
        <w:spacing w:after="0" w:line="117" w:lineRule="exact"/>
        <w:rPr>
          <w:sz w:val="20"/>
          <w:szCs w:val="20"/>
          <w:color w:val="auto"/>
        </w:rPr>
      </w:pPr>
    </w:p>
    <w:p>
      <w:pPr>
        <w:ind w:left="660" w:right="400" w:hanging="324"/>
        <w:spacing w:after="0" w:line="287" w:lineRule="auto"/>
        <w:rPr>
          <w:sz w:val="20"/>
          <w:szCs w:val="20"/>
          <w:color w:val="auto"/>
        </w:rPr>
      </w:pPr>
      <w:r>
        <w:rPr>
          <w:rFonts w:ascii="Arial" w:cs="Arial" w:eastAsia="Arial" w:hAnsi="Arial"/>
          <w:sz w:val="18"/>
          <w:szCs w:val="18"/>
          <w:color w:val="auto"/>
        </w:rPr>
        <w:t>– the significant expansion of the nature and scope of the individual’s responsibilities as a result of the Company's growth through recent acquisitions;</w:t>
      </w:r>
    </w:p>
    <w:p>
      <w:pPr>
        <w:spacing w:after="0" w:line="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our financial condition and recent operating results; and</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internal equity considerations.</w:t>
      </w:r>
    </w:p>
    <w:p>
      <w:pPr>
        <w:spacing w:after="0" w:line="8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Review of 2024 Total Compensation</w:t>
      </w:r>
    </w:p>
    <w:p>
      <w:pPr>
        <w:spacing w:after="0" w:line="110"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For 2024, each named executive officer was initially eligible to receive compensation consisting of the following four primary elements: (i) a base salary; (ii) a short-term (annual) incentive in the form of a cash bonus opportunity pursuant to our 2019 Equity &amp; Incentive Compensation Plan (the "2019 Plan"); (iii) long-term incentives in the form of equity awards under the 2019 Plan; and (iv) certain limited perquisites and other benefits.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Base Salaries</w:t>
      </w:r>
    </w:p>
    <w:p>
      <w:pPr>
        <w:spacing w:after="0" w:line="9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On an annual basis, absent a change in circumstances at another time of year that would make reconsideration appropriate at that time, the Chief Executive Officer makes recommendations to the Committee regarding increases, if any, in base salaries for named executive officers other than himself. The Committee reviews increases in base salary for the Chief Executive Officer, if any. In setting base salary, the Committee takes into account the named executive officer’s experience, skills, tenure and importance to us, historical individual performance, significant contributions, the nature and scope of the individual’s responsibilities and internal equity considerations. The Committee also considers our financial health and the compensation data from our Peer Group received from its independent executive compensation consultant.</w:t>
      </w:r>
    </w:p>
    <w:p>
      <w:pPr>
        <w:spacing w:after="0" w:line="75"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Following the regular, annual review of base salaries by the Committee at its regularly scheduled meeting in the first quarter of 2024, the Committee awarded market-based adjustments in base salaries to the named executive officers. Annual base salaries for 2024 for our named executive officers as determined by the Board of Directors in February 2024 except as noted, were as follows:</w:t>
      </w:r>
    </w:p>
    <w:p>
      <w:pPr>
        <w:spacing w:after="0" w:line="90"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2720" w:type="dxa"/>
            <w:vAlign w:val="bottom"/>
            <w:tcBorders>
              <w:left w:val="single" w:sz="8" w:color="E5E5E5"/>
              <w:right w:val="single" w:sz="8" w:color="E5E5E5"/>
            </w:tcBorders>
            <w:vMerge w:val="restart"/>
            <w:shd w:val="clear" w:color="auto" w:fill="D91E18"/>
          </w:tcPr>
          <w:p>
            <w:pPr>
              <w:ind w:left="80"/>
              <w:spacing w:after="0"/>
              <w:rPr>
                <w:sz w:val="20"/>
                <w:szCs w:val="20"/>
                <w:color w:val="auto"/>
              </w:rPr>
            </w:pPr>
            <w:r>
              <w:rPr>
                <w:rFonts w:ascii="Arial" w:cs="Arial" w:eastAsia="Arial" w:hAnsi="Arial"/>
                <w:sz w:val="18"/>
                <w:szCs w:val="18"/>
                <w:b w:val="1"/>
                <w:bCs w:val="1"/>
                <w:color w:val="FFFFFF"/>
              </w:rPr>
              <w:t>Name</w:t>
            </w:r>
          </w:p>
        </w:tc>
        <w:tc>
          <w:tcPr>
            <w:tcW w:w="6060" w:type="dxa"/>
            <w:vAlign w:val="bottom"/>
            <w:tcBorders>
              <w:right w:val="single" w:sz="8" w:color="E5E5E5"/>
            </w:tcBorders>
            <w:vMerge w:val="restart"/>
            <w:shd w:val="clear" w:color="auto" w:fill="D91E18"/>
          </w:tcPr>
          <w:p>
            <w:pPr>
              <w:ind w:left="40"/>
              <w:spacing w:after="0"/>
              <w:rPr>
                <w:sz w:val="20"/>
                <w:szCs w:val="20"/>
                <w:color w:val="auto"/>
              </w:rPr>
            </w:pPr>
            <w:r>
              <w:rPr>
                <w:rFonts w:ascii="Arial" w:cs="Arial" w:eastAsia="Arial" w:hAnsi="Arial"/>
                <w:sz w:val="18"/>
                <w:szCs w:val="18"/>
                <w:b w:val="1"/>
                <w:bCs w:val="1"/>
                <w:color w:val="FFFFFF"/>
              </w:rPr>
              <w:t>Current Position</w:t>
            </w:r>
          </w:p>
        </w:tc>
        <w:tc>
          <w:tcPr>
            <w:tcW w:w="200" w:type="dxa"/>
            <w:vAlign w:val="bottom"/>
            <w:shd w:val="clear" w:color="auto" w:fill="D91E18"/>
          </w:tcPr>
          <w:p>
            <w:pPr>
              <w:spacing w:after="0"/>
              <w:rPr>
                <w:sz w:val="17"/>
                <w:szCs w:val="17"/>
                <w:color w:val="auto"/>
              </w:rPr>
            </w:pPr>
          </w:p>
        </w:tc>
        <w:tc>
          <w:tcPr>
            <w:tcW w:w="2280" w:type="dxa"/>
            <w:vAlign w:val="bottom"/>
            <w:tcBorders>
              <w:right w:val="single" w:sz="8" w:color="E5E5E5"/>
            </w:tcBorders>
            <w:shd w:val="clear" w:color="auto" w:fill="D91E18"/>
          </w:tcPr>
          <w:p>
            <w:pPr>
              <w:jc w:val="right"/>
              <w:ind w:right="210"/>
              <w:spacing w:after="0"/>
              <w:rPr>
                <w:sz w:val="20"/>
                <w:szCs w:val="20"/>
                <w:color w:val="auto"/>
              </w:rPr>
            </w:pPr>
            <w:r>
              <w:rPr>
                <w:rFonts w:ascii="Arial" w:cs="Arial" w:eastAsia="Arial" w:hAnsi="Arial"/>
                <w:sz w:val="18"/>
                <w:szCs w:val="18"/>
                <w:b w:val="1"/>
                <w:bCs w:val="1"/>
                <w:color w:val="FFFFFF"/>
              </w:rPr>
              <w:t>2024 Annualized Base</w:t>
            </w:r>
          </w:p>
        </w:tc>
        <w:tc>
          <w:tcPr>
            <w:tcW w:w="0" w:type="dxa"/>
            <w:vAlign w:val="bottom"/>
          </w:tcPr>
          <w:p>
            <w:pPr>
              <w:spacing w:after="0"/>
              <w:rPr>
                <w:sz w:val="1"/>
                <w:szCs w:val="1"/>
                <w:color w:val="auto"/>
              </w:rPr>
            </w:pPr>
          </w:p>
        </w:tc>
      </w:tr>
      <w:tr>
        <w:trPr>
          <w:trHeight w:val="250"/>
        </w:trPr>
        <w:tc>
          <w:tcPr>
            <w:tcW w:w="2720" w:type="dxa"/>
            <w:vAlign w:val="bottom"/>
            <w:tcBorders>
              <w:left w:val="single" w:sz="8" w:color="E5E5E5"/>
              <w:right w:val="single" w:sz="8" w:color="E5E5E5"/>
            </w:tcBorders>
            <w:vMerge w:val="continue"/>
            <w:shd w:val="clear" w:color="auto" w:fill="D91E18"/>
          </w:tcPr>
          <w:p>
            <w:pPr>
              <w:spacing w:after="0"/>
              <w:rPr>
                <w:sz w:val="21"/>
                <w:szCs w:val="21"/>
                <w:color w:val="auto"/>
              </w:rPr>
            </w:pPr>
          </w:p>
        </w:tc>
        <w:tc>
          <w:tcPr>
            <w:tcW w:w="6060" w:type="dxa"/>
            <w:vAlign w:val="bottom"/>
            <w:tcBorders>
              <w:right w:val="single" w:sz="8" w:color="E5E5E5"/>
            </w:tcBorders>
            <w:vMerge w:val="continue"/>
            <w:shd w:val="clear" w:color="auto" w:fill="D91E18"/>
          </w:tcPr>
          <w:p>
            <w:pPr>
              <w:spacing w:after="0"/>
              <w:rPr>
                <w:sz w:val="21"/>
                <w:szCs w:val="21"/>
                <w:color w:val="auto"/>
              </w:rPr>
            </w:pPr>
          </w:p>
        </w:tc>
        <w:tc>
          <w:tcPr>
            <w:tcW w:w="200" w:type="dxa"/>
            <w:vAlign w:val="bottom"/>
            <w:shd w:val="clear" w:color="auto" w:fill="D91E18"/>
          </w:tcPr>
          <w:p>
            <w:pPr>
              <w:spacing w:after="0"/>
              <w:rPr>
                <w:sz w:val="21"/>
                <w:szCs w:val="21"/>
                <w:color w:val="auto"/>
              </w:rPr>
            </w:pPr>
          </w:p>
        </w:tc>
        <w:tc>
          <w:tcPr>
            <w:tcW w:w="2280" w:type="dxa"/>
            <w:vAlign w:val="bottom"/>
            <w:tcBorders>
              <w:right w:val="single" w:sz="8" w:color="E5E5E5"/>
            </w:tcBorders>
            <w:shd w:val="clear" w:color="auto" w:fill="D91E18"/>
          </w:tcPr>
          <w:p>
            <w:pPr>
              <w:jc w:val="right"/>
              <w:ind w:right="890"/>
              <w:spacing w:after="0"/>
              <w:rPr>
                <w:sz w:val="20"/>
                <w:szCs w:val="20"/>
                <w:color w:val="auto"/>
              </w:rPr>
            </w:pPr>
            <w:r>
              <w:rPr>
                <w:rFonts w:ascii="Arial" w:cs="Arial" w:eastAsia="Arial" w:hAnsi="Arial"/>
                <w:sz w:val="18"/>
                <w:szCs w:val="18"/>
                <w:b w:val="1"/>
                <w:bCs w:val="1"/>
                <w:color w:val="FFFFFF"/>
              </w:rPr>
              <w:t>Salary</w:t>
            </w:r>
          </w:p>
        </w:tc>
        <w:tc>
          <w:tcPr>
            <w:tcW w:w="0" w:type="dxa"/>
            <w:vAlign w:val="bottom"/>
          </w:tcPr>
          <w:p>
            <w:pPr>
              <w:spacing w:after="0"/>
              <w:rPr>
                <w:sz w:val="1"/>
                <w:szCs w:val="1"/>
                <w:color w:val="auto"/>
              </w:rPr>
            </w:pPr>
          </w:p>
        </w:tc>
      </w:tr>
      <w:tr>
        <w:trPr>
          <w:trHeight w:val="250"/>
        </w:trPr>
        <w:tc>
          <w:tcPr>
            <w:tcW w:w="2720" w:type="dxa"/>
            <w:vAlign w:val="bottom"/>
            <w:tcBorders>
              <w:left w:val="single" w:sz="8" w:color="E5E5E5"/>
              <w:right w:val="single" w:sz="8" w:color="E5E5E5"/>
            </w:tcBorders>
            <w:shd w:val="clear" w:color="auto" w:fill="DBDBDB"/>
          </w:tcPr>
          <w:p>
            <w:pPr>
              <w:ind w:left="80"/>
              <w:spacing w:after="0"/>
              <w:rPr>
                <w:sz w:val="20"/>
                <w:szCs w:val="20"/>
                <w:color w:val="auto"/>
              </w:rPr>
            </w:pPr>
            <w:r>
              <w:rPr>
                <w:rFonts w:ascii="Arial" w:cs="Arial" w:eastAsia="Arial" w:hAnsi="Arial"/>
                <w:sz w:val="18"/>
                <w:szCs w:val="18"/>
                <w:color w:val="auto"/>
              </w:rPr>
              <w:t>David W. Hult</w:t>
            </w:r>
          </w:p>
        </w:tc>
        <w:tc>
          <w:tcPr>
            <w:tcW w:w="6060" w:type="dxa"/>
            <w:vAlign w:val="bottom"/>
            <w:tcBorders>
              <w:right w:val="single" w:sz="8" w:color="E5E5E5"/>
            </w:tcBorders>
            <w:shd w:val="clear" w:color="auto" w:fill="DBDBDB"/>
          </w:tcPr>
          <w:p>
            <w:pPr>
              <w:ind w:left="40"/>
              <w:spacing w:after="0"/>
              <w:rPr>
                <w:sz w:val="20"/>
                <w:szCs w:val="20"/>
                <w:color w:val="auto"/>
              </w:rPr>
            </w:pPr>
            <w:r>
              <w:rPr>
                <w:rFonts w:ascii="Arial" w:cs="Arial" w:eastAsia="Arial" w:hAnsi="Arial"/>
                <w:sz w:val="18"/>
                <w:szCs w:val="18"/>
                <w:color w:val="auto"/>
              </w:rPr>
              <w:t>President &amp; Chief Executive Officer</w:t>
            </w:r>
          </w:p>
        </w:tc>
        <w:tc>
          <w:tcPr>
            <w:tcW w:w="20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2280" w:type="dxa"/>
            <w:vAlign w:val="bottom"/>
            <w:tcBorders>
              <w:right w:val="single" w:sz="8" w:color="E5E5E5"/>
            </w:tcBorders>
            <w:shd w:val="clear" w:color="auto" w:fill="DBDBDB"/>
          </w:tcPr>
          <w:p>
            <w:pPr>
              <w:jc w:val="right"/>
              <w:ind w:right="110"/>
              <w:spacing w:after="0"/>
              <w:rPr>
                <w:sz w:val="20"/>
                <w:szCs w:val="20"/>
                <w:color w:val="auto"/>
              </w:rPr>
            </w:pPr>
            <w:r>
              <w:rPr>
                <w:rFonts w:ascii="Arial" w:cs="Arial" w:eastAsia="Arial" w:hAnsi="Arial"/>
                <w:sz w:val="18"/>
                <w:szCs w:val="18"/>
                <w:color w:val="auto"/>
              </w:rPr>
              <w:t>1,300,000</w:t>
            </w:r>
          </w:p>
        </w:tc>
        <w:tc>
          <w:tcPr>
            <w:tcW w:w="0" w:type="dxa"/>
            <w:vAlign w:val="bottom"/>
          </w:tcPr>
          <w:p>
            <w:pPr>
              <w:spacing w:after="0"/>
              <w:rPr>
                <w:sz w:val="1"/>
                <w:szCs w:val="1"/>
                <w:color w:val="auto"/>
              </w:rPr>
            </w:pPr>
          </w:p>
        </w:tc>
      </w:tr>
      <w:tr>
        <w:trPr>
          <w:trHeight w:val="229"/>
        </w:trPr>
        <w:tc>
          <w:tcPr>
            <w:tcW w:w="2720" w:type="dxa"/>
            <w:vAlign w:val="bottom"/>
            <w:tcBorders>
              <w:left w:val="single" w:sz="8" w:color="E5E5E5"/>
              <w:right w:val="single" w:sz="8" w:color="E5E5E5"/>
            </w:tcBorders>
          </w:tcPr>
          <w:p>
            <w:pPr>
              <w:ind w:left="80"/>
              <w:spacing w:after="0"/>
              <w:rPr>
                <w:sz w:val="20"/>
                <w:szCs w:val="20"/>
                <w:color w:val="auto"/>
              </w:rPr>
            </w:pPr>
            <w:r>
              <w:rPr>
                <w:rFonts w:ascii="Arial" w:cs="Arial" w:eastAsia="Arial" w:hAnsi="Arial"/>
                <w:sz w:val="18"/>
                <w:szCs w:val="18"/>
                <w:color w:val="auto"/>
              </w:rPr>
              <w:t>Michael Welch</w:t>
            </w:r>
          </w:p>
        </w:tc>
        <w:tc>
          <w:tcPr>
            <w:tcW w:w="6060" w:type="dxa"/>
            <w:vAlign w:val="bottom"/>
            <w:tcBorders>
              <w:right w:val="single" w:sz="8" w:color="E5E5E5"/>
            </w:tcBorders>
          </w:tcPr>
          <w:p>
            <w:pPr>
              <w:ind w:left="40"/>
              <w:spacing w:after="0"/>
              <w:rPr>
                <w:sz w:val="20"/>
                <w:szCs w:val="20"/>
                <w:color w:val="auto"/>
              </w:rPr>
            </w:pPr>
            <w:r>
              <w:rPr>
                <w:rFonts w:ascii="Arial" w:cs="Arial" w:eastAsia="Arial" w:hAnsi="Arial"/>
                <w:sz w:val="18"/>
                <w:szCs w:val="18"/>
                <w:color w:val="auto"/>
              </w:rPr>
              <w:t>Senior Vice President &amp; Chief Financial Officer</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80" w:type="dxa"/>
            <w:vAlign w:val="bottom"/>
            <w:tcBorders>
              <w:right w:val="single" w:sz="8" w:color="E5E5E5"/>
            </w:tcBorders>
          </w:tcPr>
          <w:p>
            <w:pPr>
              <w:jc w:val="right"/>
              <w:ind w:right="110"/>
              <w:spacing w:after="0"/>
              <w:rPr>
                <w:sz w:val="20"/>
                <w:szCs w:val="20"/>
                <w:color w:val="auto"/>
              </w:rPr>
            </w:pPr>
            <w:r>
              <w:rPr>
                <w:rFonts w:ascii="Arial" w:cs="Arial" w:eastAsia="Arial" w:hAnsi="Arial"/>
                <w:sz w:val="18"/>
                <w:szCs w:val="18"/>
                <w:color w:val="auto"/>
              </w:rPr>
              <w:t>725,000</w:t>
            </w:r>
          </w:p>
        </w:tc>
        <w:tc>
          <w:tcPr>
            <w:tcW w:w="0" w:type="dxa"/>
            <w:vAlign w:val="bottom"/>
          </w:tcPr>
          <w:p>
            <w:pPr>
              <w:spacing w:after="0"/>
              <w:rPr>
                <w:sz w:val="1"/>
                <w:szCs w:val="1"/>
                <w:color w:val="auto"/>
              </w:rPr>
            </w:pPr>
          </w:p>
        </w:tc>
      </w:tr>
      <w:tr>
        <w:trPr>
          <w:trHeight w:val="257"/>
        </w:trPr>
        <w:tc>
          <w:tcPr>
            <w:tcW w:w="2720" w:type="dxa"/>
            <w:vAlign w:val="bottom"/>
            <w:tcBorders>
              <w:left w:val="single" w:sz="8" w:color="E5E5E5"/>
              <w:right w:val="single" w:sz="8" w:color="E5E5E5"/>
            </w:tcBorders>
            <w:shd w:val="clear" w:color="auto" w:fill="DBDBDB"/>
          </w:tcPr>
          <w:p>
            <w:pPr>
              <w:ind w:left="80"/>
              <w:spacing w:after="0"/>
              <w:rPr>
                <w:sz w:val="20"/>
                <w:szCs w:val="20"/>
                <w:color w:val="auto"/>
              </w:rPr>
            </w:pPr>
            <w:r>
              <w:rPr>
                <w:rFonts w:ascii="Arial" w:cs="Arial" w:eastAsia="Arial" w:hAnsi="Arial"/>
                <w:sz w:val="18"/>
                <w:szCs w:val="18"/>
                <w:color w:val="auto"/>
              </w:rPr>
              <w:t>Daniel Clara</w:t>
            </w:r>
          </w:p>
        </w:tc>
        <w:tc>
          <w:tcPr>
            <w:tcW w:w="6060" w:type="dxa"/>
            <w:vAlign w:val="bottom"/>
            <w:tcBorders>
              <w:right w:val="single" w:sz="8" w:color="E5E5E5"/>
            </w:tcBorders>
            <w:shd w:val="clear" w:color="auto" w:fill="DBDBDB"/>
          </w:tcPr>
          <w:p>
            <w:pPr>
              <w:ind w:left="40"/>
              <w:spacing w:after="0"/>
              <w:rPr>
                <w:sz w:val="20"/>
                <w:szCs w:val="20"/>
                <w:color w:val="auto"/>
              </w:rPr>
            </w:pPr>
            <w:r>
              <w:rPr>
                <w:rFonts w:ascii="Arial" w:cs="Arial" w:eastAsia="Arial" w:hAnsi="Arial"/>
                <w:sz w:val="18"/>
                <w:szCs w:val="18"/>
                <w:color w:val="auto"/>
              </w:rPr>
              <w:t>Chief Operating Officer</w:t>
            </w:r>
          </w:p>
        </w:tc>
        <w:tc>
          <w:tcPr>
            <w:tcW w:w="20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2280" w:type="dxa"/>
            <w:vAlign w:val="bottom"/>
            <w:tcBorders>
              <w:right w:val="single" w:sz="8" w:color="E5E5E5"/>
            </w:tcBorders>
            <w:shd w:val="clear" w:color="auto" w:fill="DBDBDB"/>
          </w:tcPr>
          <w:p>
            <w:pPr>
              <w:jc w:val="right"/>
              <w:ind w:right="110"/>
              <w:spacing w:after="0"/>
              <w:rPr>
                <w:sz w:val="20"/>
                <w:szCs w:val="20"/>
                <w:color w:val="auto"/>
              </w:rPr>
            </w:pPr>
            <w:r>
              <w:rPr>
                <w:rFonts w:ascii="Arial" w:cs="Arial" w:eastAsia="Arial" w:hAnsi="Arial"/>
                <w:sz w:val="18"/>
                <w:szCs w:val="18"/>
                <w:color w:val="auto"/>
              </w:rPr>
              <w:t>750,000</w:t>
            </w:r>
          </w:p>
        </w:tc>
        <w:tc>
          <w:tcPr>
            <w:tcW w:w="0" w:type="dxa"/>
            <w:vAlign w:val="bottom"/>
          </w:tcPr>
          <w:p>
            <w:pPr>
              <w:spacing w:after="0"/>
              <w:rPr>
                <w:sz w:val="1"/>
                <w:szCs w:val="1"/>
                <w:color w:val="auto"/>
              </w:rPr>
            </w:pPr>
          </w:p>
        </w:tc>
      </w:tr>
      <w:tr>
        <w:trPr>
          <w:trHeight w:val="229"/>
        </w:trPr>
        <w:tc>
          <w:tcPr>
            <w:tcW w:w="2720" w:type="dxa"/>
            <w:vAlign w:val="bottom"/>
            <w:tcBorders>
              <w:left w:val="single" w:sz="8" w:color="E5E5E5"/>
              <w:right w:val="single" w:sz="8" w:color="E5E5E5"/>
            </w:tcBorders>
          </w:tcPr>
          <w:p>
            <w:pPr>
              <w:ind w:left="80"/>
              <w:spacing w:after="0"/>
              <w:rPr>
                <w:sz w:val="20"/>
                <w:szCs w:val="20"/>
                <w:color w:val="auto"/>
              </w:rPr>
            </w:pPr>
            <w:r>
              <w:rPr>
                <w:rFonts w:ascii="Arial" w:cs="Arial" w:eastAsia="Arial" w:hAnsi="Arial"/>
                <w:sz w:val="18"/>
                <w:szCs w:val="18"/>
                <w:color w:val="auto"/>
              </w:rPr>
              <w:t>Jed Milstein</w:t>
            </w:r>
          </w:p>
        </w:tc>
        <w:tc>
          <w:tcPr>
            <w:tcW w:w="6060" w:type="dxa"/>
            <w:vAlign w:val="bottom"/>
            <w:tcBorders>
              <w:right w:val="single" w:sz="8" w:color="E5E5E5"/>
            </w:tcBorders>
          </w:tcPr>
          <w:p>
            <w:pPr>
              <w:ind w:left="40"/>
              <w:spacing w:after="0"/>
              <w:rPr>
                <w:sz w:val="20"/>
                <w:szCs w:val="20"/>
                <w:color w:val="auto"/>
              </w:rPr>
            </w:pPr>
            <w:r>
              <w:rPr>
                <w:rFonts w:ascii="Arial" w:cs="Arial" w:eastAsia="Arial" w:hAnsi="Arial"/>
                <w:sz w:val="18"/>
                <w:szCs w:val="18"/>
                <w:color w:val="auto"/>
              </w:rPr>
              <w:t>Senior Vice President &amp; Chief Human Resources Officer</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80" w:type="dxa"/>
            <w:vAlign w:val="bottom"/>
            <w:tcBorders>
              <w:right w:val="single" w:sz="8" w:color="E5E5E5"/>
            </w:tcBorders>
          </w:tcPr>
          <w:p>
            <w:pPr>
              <w:jc w:val="right"/>
              <w:ind w:right="110"/>
              <w:spacing w:after="0"/>
              <w:rPr>
                <w:sz w:val="20"/>
                <w:szCs w:val="20"/>
                <w:color w:val="auto"/>
              </w:rPr>
            </w:pPr>
            <w:r>
              <w:rPr>
                <w:rFonts w:ascii="Arial" w:cs="Arial" w:eastAsia="Arial" w:hAnsi="Arial"/>
                <w:sz w:val="18"/>
                <w:szCs w:val="18"/>
                <w:color w:val="auto"/>
              </w:rPr>
              <w:t>625,000</w:t>
            </w:r>
          </w:p>
        </w:tc>
        <w:tc>
          <w:tcPr>
            <w:tcW w:w="0" w:type="dxa"/>
            <w:vAlign w:val="bottom"/>
          </w:tcPr>
          <w:p>
            <w:pPr>
              <w:spacing w:after="0"/>
              <w:rPr>
                <w:sz w:val="1"/>
                <w:szCs w:val="1"/>
                <w:color w:val="auto"/>
              </w:rPr>
            </w:pPr>
          </w:p>
        </w:tc>
      </w:tr>
      <w:tr>
        <w:trPr>
          <w:trHeight w:val="257"/>
        </w:trPr>
        <w:tc>
          <w:tcPr>
            <w:tcW w:w="2720" w:type="dxa"/>
            <w:vAlign w:val="bottom"/>
            <w:tcBorders>
              <w:left w:val="single" w:sz="8" w:color="E5E5E5"/>
              <w:right w:val="single" w:sz="8" w:color="E5E5E5"/>
            </w:tcBorders>
            <w:shd w:val="clear" w:color="auto" w:fill="DBDBDB"/>
          </w:tcPr>
          <w:p>
            <w:pPr>
              <w:ind w:left="80"/>
              <w:spacing w:after="0" w:line="243" w:lineRule="exact"/>
              <w:rPr>
                <w:sz w:val="20"/>
                <w:szCs w:val="20"/>
                <w:color w:val="auto"/>
              </w:rPr>
            </w:pPr>
            <w:r>
              <w:rPr>
                <w:rFonts w:ascii="Arial" w:cs="Arial" w:eastAsia="Arial" w:hAnsi="Arial"/>
                <w:sz w:val="18"/>
                <w:szCs w:val="18"/>
                <w:color w:val="auto"/>
              </w:rPr>
              <w:t>Dean Calloway</w:t>
            </w:r>
            <w:r>
              <w:rPr>
                <w:rFonts w:ascii="Arial" w:cs="Arial" w:eastAsia="Arial" w:hAnsi="Arial"/>
                <w:sz w:val="23"/>
                <w:szCs w:val="23"/>
                <w:color w:val="auto"/>
                <w:vertAlign w:val="superscript"/>
              </w:rPr>
              <w:t>(1)</w:t>
            </w:r>
          </w:p>
        </w:tc>
        <w:tc>
          <w:tcPr>
            <w:tcW w:w="6060" w:type="dxa"/>
            <w:vAlign w:val="bottom"/>
            <w:tcBorders>
              <w:right w:val="single" w:sz="8" w:color="E5E5E5"/>
            </w:tcBorders>
            <w:shd w:val="clear" w:color="auto" w:fill="DBDBDB"/>
          </w:tcPr>
          <w:p>
            <w:pPr>
              <w:ind w:left="40"/>
              <w:spacing w:after="0"/>
              <w:rPr>
                <w:sz w:val="20"/>
                <w:szCs w:val="20"/>
                <w:color w:val="auto"/>
              </w:rPr>
            </w:pPr>
            <w:r>
              <w:rPr>
                <w:rFonts w:ascii="Arial" w:cs="Arial" w:eastAsia="Arial" w:hAnsi="Arial"/>
                <w:sz w:val="18"/>
                <w:szCs w:val="18"/>
                <w:color w:val="auto"/>
              </w:rPr>
              <w:t>Senior Vice President, General Counsel &amp; Secretary</w:t>
            </w:r>
          </w:p>
        </w:tc>
        <w:tc>
          <w:tcPr>
            <w:tcW w:w="20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2280" w:type="dxa"/>
            <w:vAlign w:val="bottom"/>
            <w:tcBorders>
              <w:right w:val="single" w:sz="8" w:color="E5E5E5"/>
            </w:tcBorders>
            <w:shd w:val="clear" w:color="auto" w:fill="DBDBDB"/>
          </w:tcPr>
          <w:p>
            <w:pPr>
              <w:jc w:val="right"/>
              <w:ind w:right="110"/>
              <w:spacing w:after="0"/>
              <w:rPr>
                <w:sz w:val="20"/>
                <w:szCs w:val="20"/>
                <w:color w:val="auto"/>
              </w:rPr>
            </w:pPr>
            <w:r>
              <w:rPr>
                <w:rFonts w:ascii="Arial" w:cs="Arial" w:eastAsia="Arial" w:hAnsi="Arial"/>
                <w:sz w:val="18"/>
                <w:szCs w:val="18"/>
                <w:color w:val="auto"/>
              </w:rPr>
              <w:t>600,000</w:t>
            </w:r>
          </w:p>
        </w:tc>
        <w:tc>
          <w:tcPr>
            <w:tcW w:w="0" w:type="dxa"/>
            <w:vAlign w:val="bottom"/>
          </w:tcPr>
          <w:p>
            <w:pPr>
              <w:spacing w:after="0"/>
              <w:rPr>
                <w:sz w:val="1"/>
                <w:szCs w:val="1"/>
                <w:color w:val="auto"/>
              </w:rPr>
            </w:pPr>
          </w:p>
        </w:tc>
      </w:tr>
      <w:tr>
        <w:trPr>
          <w:trHeight w:val="229"/>
        </w:trPr>
        <w:tc>
          <w:tcPr>
            <w:tcW w:w="2720" w:type="dxa"/>
            <w:vAlign w:val="bottom"/>
            <w:tcBorders>
              <w:left w:val="single" w:sz="8" w:color="E5E5E5"/>
              <w:right w:val="single" w:sz="8" w:color="E5E5E5"/>
            </w:tcBorders>
          </w:tcPr>
          <w:p>
            <w:pPr>
              <w:ind w:left="80"/>
              <w:spacing w:after="0" w:line="230" w:lineRule="exact"/>
              <w:rPr>
                <w:sz w:val="20"/>
                <w:szCs w:val="20"/>
                <w:color w:val="auto"/>
              </w:rPr>
            </w:pPr>
            <w:r>
              <w:rPr>
                <w:rFonts w:ascii="Arial" w:cs="Arial" w:eastAsia="Arial" w:hAnsi="Arial"/>
                <w:sz w:val="18"/>
                <w:szCs w:val="18"/>
                <w:color w:val="auto"/>
              </w:rPr>
              <w:t>George A. Villasana</w:t>
            </w:r>
            <w:r>
              <w:rPr>
                <w:rFonts w:ascii="Arial" w:cs="Arial" w:eastAsia="Arial" w:hAnsi="Arial"/>
                <w:sz w:val="23"/>
                <w:szCs w:val="23"/>
                <w:color w:val="auto"/>
                <w:vertAlign w:val="superscript"/>
              </w:rPr>
              <w:t>(2)</w:t>
            </w:r>
          </w:p>
        </w:tc>
        <w:tc>
          <w:tcPr>
            <w:tcW w:w="6060" w:type="dxa"/>
            <w:vAlign w:val="bottom"/>
            <w:tcBorders>
              <w:right w:val="single" w:sz="8" w:color="E5E5E5"/>
            </w:tcBorders>
          </w:tcPr>
          <w:p>
            <w:pPr>
              <w:ind w:left="40"/>
              <w:spacing w:after="0"/>
              <w:rPr>
                <w:sz w:val="20"/>
                <w:szCs w:val="20"/>
                <w:color w:val="auto"/>
              </w:rPr>
            </w:pPr>
            <w:r>
              <w:rPr>
                <w:rFonts w:ascii="Arial" w:cs="Arial" w:eastAsia="Arial" w:hAnsi="Arial"/>
                <w:sz w:val="18"/>
                <w:szCs w:val="18"/>
                <w:color w:val="auto"/>
              </w:rPr>
              <w:t>Former Senior Vice President, Chief Legal Officer &amp; Secretary</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80" w:type="dxa"/>
            <w:vAlign w:val="bottom"/>
            <w:tcBorders>
              <w:right w:val="single" w:sz="8" w:color="E5E5E5"/>
            </w:tcBorders>
          </w:tcPr>
          <w:p>
            <w:pPr>
              <w:jc w:val="right"/>
              <w:ind w:right="110"/>
              <w:spacing w:after="0"/>
              <w:rPr>
                <w:sz w:val="20"/>
                <w:szCs w:val="20"/>
                <w:color w:val="auto"/>
              </w:rPr>
            </w:pPr>
            <w:r>
              <w:rPr>
                <w:rFonts w:ascii="Arial" w:cs="Arial" w:eastAsia="Arial" w:hAnsi="Arial"/>
                <w:sz w:val="18"/>
                <w:szCs w:val="18"/>
                <w:color w:val="auto"/>
              </w:rPr>
              <w:t>700,000</w:t>
            </w:r>
          </w:p>
        </w:tc>
        <w:tc>
          <w:tcPr>
            <w:tcW w:w="0" w:type="dxa"/>
            <w:vAlign w:val="bottom"/>
          </w:tcPr>
          <w:p>
            <w:pPr>
              <w:spacing w:after="0"/>
              <w:rPr>
                <w:sz w:val="1"/>
                <w:szCs w:val="1"/>
                <w:color w:val="auto"/>
              </w:rPr>
            </w:pPr>
          </w:p>
        </w:tc>
      </w:tr>
      <w:tr>
        <w:trPr>
          <w:trHeight w:val="257"/>
        </w:trPr>
        <w:tc>
          <w:tcPr>
            <w:tcW w:w="2720" w:type="dxa"/>
            <w:vAlign w:val="bottom"/>
            <w:tcBorders>
              <w:left w:val="single" w:sz="8" w:color="E5E5E5"/>
              <w:right w:val="single" w:sz="8" w:color="E5E5E5"/>
            </w:tcBorders>
            <w:shd w:val="clear" w:color="auto" w:fill="DBDBDB"/>
          </w:tcPr>
          <w:p>
            <w:pPr>
              <w:ind w:left="80"/>
              <w:spacing w:after="0" w:line="243" w:lineRule="exact"/>
              <w:rPr>
                <w:sz w:val="20"/>
                <w:szCs w:val="20"/>
                <w:color w:val="auto"/>
              </w:rPr>
            </w:pPr>
            <w:r>
              <w:rPr>
                <w:rFonts w:ascii="Arial" w:cs="Arial" w:eastAsia="Arial" w:hAnsi="Arial"/>
                <w:sz w:val="18"/>
                <w:szCs w:val="18"/>
                <w:color w:val="auto"/>
              </w:rPr>
              <w:t>Miran Maric</w:t>
            </w:r>
            <w:r>
              <w:rPr>
                <w:rFonts w:ascii="Arial" w:cs="Arial" w:eastAsia="Arial" w:hAnsi="Arial"/>
                <w:sz w:val="23"/>
                <w:szCs w:val="23"/>
                <w:color w:val="auto"/>
                <w:vertAlign w:val="superscript"/>
              </w:rPr>
              <w:t>(3)</w:t>
            </w:r>
          </w:p>
        </w:tc>
        <w:tc>
          <w:tcPr>
            <w:tcW w:w="6060" w:type="dxa"/>
            <w:vAlign w:val="bottom"/>
            <w:tcBorders>
              <w:right w:val="single" w:sz="8" w:color="E5E5E5"/>
            </w:tcBorders>
            <w:shd w:val="clear" w:color="auto" w:fill="DBDBDB"/>
          </w:tcPr>
          <w:p>
            <w:pPr>
              <w:ind w:left="40"/>
              <w:spacing w:after="0"/>
              <w:rPr>
                <w:sz w:val="20"/>
                <w:szCs w:val="20"/>
                <w:color w:val="auto"/>
              </w:rPr>
            </w:pPr>
            <w:r>
              <w:rPr>
                <w:rFonts w:ascii="Arial" w:cs="Arial" w:eastAsia="Arial" w:hAnsi="Arial"/>
                <w:sz w:val="18"/>
                <w:szCs w:val="18"/>
                <w:color w:val="auto"/>
              </w:rPr>
              <w:t>Former Senior Vice President, Strategy &amp; Innovation</w:t>
            </w:r>
          </w:p>
        </w:tc>
        <w:tc>
          <w:tcPr>
            <w:tcW w:w="20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2280" w:type="dxa"/>
            <w:vAlign w:val="bottom"/>
            <w:tcBorders>
              <w:right w:val="single" w:sz="8" w:color="E5E5E5"/>
            </w:tcBorders>
            <w:shd w:val="clear" w:color="auto" w:fill="DBDBDB"/>
          </w:tcPr>
          <w:p>
            <w:pPr>
              <w:jc w:val="right"/>
              <w:ind w:right="110"/>
              <w:spacing w:after="0"/>
              <w:rPr>
                <w:sz w:val="20"/>
                <w:szCs w:val="20"/>
                <w:color w:val="auto"/>
              </w:rPr>
            </w:pPr>
            <w:r>
              <w:rPr>
                <w:rFonts w:ascii="Arial" w:cs="Arial" w:eastAsia="Arial" w:hAnsi="Arial"/>
                <w:sz w:val="18"/>
                <w:szCs w:val="18"/>
                <w:color w:val="auto"/>
              </w:rPr>
              <w:t>600,000</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340" w:right="500" w:hanging="332"/>
        <w:spacing w:after="0" w:line="281" w:lineRule="auto"/>
        <w:tabs>
          <w:tab w:leader="none" w:pos="335" w:val="left"/>
        </w:tabs>
        <w:numPr>
          <w:ilvl w:val="0"/>
          <w:numId w:val="46"/>
        </w:numPr>
        <w:rPr>
          <w:rFonts w:ascii="Arial" w:cs="Arial" w:eastAsia="Arial" w:hAnsi="Arial"/>
          <w:sz w:val="16"/>
          <w:szCs w:val="16"/>
          <w:color w:val="auto"/>
        </w:rPr>
      </w:pPr>
      <w:r>
        <w:rPr>
          <w:rFonts w:ascii="Arial" w:cs="Arial" w:eastAsia="Arial" w:hAnsi="Arial"/>
          <w:sz w:val="16"/>
          <w:szCs w:val="16"/>
          <w:color w:val="auto"/>
        </w:rPr>
        <w:t>Mr. Calloway was appointed as Senior Vice President, General Counsel &amp; Secretary effective July 1, 2024. His annualized base salary reflects his salary following his promotion.</w:t>
      </w:r>
    </w:p>
    <w:p>
      <w:pPr>
        <w:spacing w:after="0" w:line="1" w:lineRule="exact"/>
        <w:rPr>
          <w:rFonts w:ascii="Arial" w:cs="Arial" w:eastAsia="Arial" w:hAnsi="Arial"/>
          <w:sz w:val="16"/>
          <w:szCs w:val="16"/>
          <w:color w:val="auto"/>
        </w:rPr>
      </w:pPr>
    </w:p>
    <w:p>
      <w:pPr>
        <w:ind w:left="320" w:hanging="312"/>
        <w:spacing w:after="0"/>
        <w:tabs>
          <w:tab w:leader="none" w:pos="3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Mr. Villasana retired as Senior Vice President, Chief Legal Officer &amp; Secretary effective June 30, 2024.</w:t>
      </w:r>
    </w:p>
    <w:p>
      <w:pPr>
        <w:spacing w:after="0" w:line="72" w:lineRule="exact"/>
        <w:rPr>
          <w:rFonts w:ascii="Arial" w:cs="Arial" w:eastAsia="Arial" w:hAnsi="Arial"/>
          <w:sz w:val="16"/>
          <w:szCs w:val="16"/>
          <w:color w:val="auto"/>
        </w:rPr>
      </w:pPr>
    </w:p>
    <w:p>
      <w:pPr>
        <w:ind w:left="320" w:hanging="312"/>
        <w:spacing w:after="0"/>
        <w:tabs>
          <w:tab w:leader="none" w:pos="3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Mr. Maric resigned as Senior Vice President, Strategy &amp; Innovation effective November 14, 2024.</w:t>
      </w:r>
    </w:p>
    <w:p>
      <w:pPr>
        <w:spacing w:after="0" w:line="8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Annual Cash Incentive Opportunity</w:t>
      </w:r>
    </w:p>
    <w:p>
      <w:pPr>
        <w:spacing w:after="0" w:line="9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As described above, in order to motivate management toward the achievement of certain pre-established corporate goals and to remain competitive in the industry, we believe that a significant portion of each executive officer’s total compensation should be performance-based. We also believe that our executives are motivated by the opportunity to earn incremental cash compensation based upon the achievement of annual performance objectives, and that such opportunity properly fosters effective management, innovative thinking and, in some instances, the implementation of effective cost-saving measures by our executive officers, which may enable us to further enhance our stockholder value. Cash awards paid to our executive officers are paid under the terms of the 2019 Plan.</w:t>
      </w:r>
    </w:p>
    <w:p>
      <w:pPr>
        <w:spacing w:after="0" w:line="74" w:lineRule="exact"/>
        <w:rPr>
          <w:sz w:val="20"/>
          <w:szCs w:val="20"/>
          <w:color w:val="auto"/>
        </w:rPr>
      </w:pPr>
    </w:p>
    <w:p>
      <w:pPr>
        <w:jc w:val="both"/>
        <w:ind w:right="160"/>
        <w:spacing w:after="0" w:line="262" w:lineRule="auto"/>
        <w:rPr>
          <w:sz w:val="20"/>
          <w:szCs w:val="20"/>
          <w:color w:val="auto"/>
        </w:rPr>
      </w:pPr>
      <w:r>
        <w:rPr>
          <w:rFonts w:ascii="Arial" w:cs="Arial" w:eastAsia="Arial" w:hAnsi="Arial"/>
          <w:sz w:val="18"/>
          <w:szCs w:val="18"/>
          <w:color w:val="auto"/>
        </w:rPr>
        <w:t>For 2024, the Committee decided it was appropriate to use a cash incentive plan structure, with potential payouts under the cash incentive plan being dependent upon the achievement of (a) EBITDA (subject to adjustment as described below) correlated with actual United States Annual Automotive Sales (“USAAS”) as reported by Wards Intelligence, which such metric being assigned a 80% weight, (b) predetermined strategic objectives, which such objectives being assigned a 20% weight, and (c) Committee review of other strategic initiatives.</w:t>
      </w:r>
    </w:p>
    <w:p>
      <w:pPr>
        <w:spacing w:after="0" w:line="4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EBITDA Performance Goals</w:t>
      </w:r>
    </w:p>
    <w:p>
      <w:pPr>
        <w:spacing w:after="0" w:line="9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define EBITDA as earnings before non-floor plan interest, income taxes and depreciation and amortization. The selection of EBITDA as the performance benchmark for payouts under the annual cash incentive plan reflected the Committee’s continued belief that EBITDA is an important metric used by management from time to time to evaluate and analyze results and the impact on the Company of strategic decisions and actions relating to, among other things, events outside of normal, or “core,” business operations, and is often used by investors and market analysts in comparing performance and in determining enterprise value. Further, the Committee believed it was appropriate to establish award opportunities at various levels of actual USAAS, which is highly uncertain and is beyond the control of management. As a result, the Committee believed it was appropriate to increase target EBITDA at higher levels of USAAS.</w:t>
      </w:r>
    </w:p>
    <w:p>
      <w:pPr>
        <w:spacing w:after="0" w:line="75" w:lineRule="exact"/>
        <w:rPr>
          <w:sz w:val="20"/>
          <w:szCs w:val="20"/>
          <w:color w:val="auto"/>
        </w:rPr>
      </w:pPr>
    </w:p>
    <w:p>
      <w:pPr>
        <w:jc w:val="both"/>
        <w:ind w:right="100"/>
        <w:spacing w:after="0" w:line="268" w:lineRule="auto"/>
        <w:rPr>
          <w:sz w:val="20"/>
          <w:szCs w:val="20"/>
          <w:color w:val="auto"/>
        </w:rPr>
      </w:pPr>
      <w:r>
        <w:rPr>
          <w:rFonts w:ascii="Arial" w:cs="Arial" w:eastAsia="Arial" w:hAnsi="Arial"/>
          <w:sz w:val="18"/>
          <w:szCs w:val="18"/>
          <w:color w:val="auto"/>
        </w:rPr>
        <w:t>In connection with the determination of EBITDA as the appropriate performance metric under the annual cash incentive plan, the Committee further believed it was appropriate to provide for certain potential adjustments to the traditional measure of EBITDA to account for the impact on our financial results of certain potential extraordinary items that are considered outside of normal, or core, business operations.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Under the annual cash incentive plan, to account for the potential for different levels of 2024 USAAS, three EBITDA</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performance goals were established: (i) a “threshold” level; (ii) a “target” level; and (iii) a “maximum” level at varying levels of USAAS. Under the terms of the annual cash incentive plan, if EBITDA did not meet the established “threshold” level at the actual USAAS, no payouts would be made under the plan. Further, if EBITDA exceeded the established “maximum” level at the actual USAAS, payout under the annual cash incentive plan would be limited as if performance had equaled the maximum performance goal. If actual USAAS was between two established levels, or if the achievement of EBITDA performance goals was between threshold and target levels, or target and maximum levels, participants would be entitled to a ratable portion of any payment due based upon linear interpolation.</w:t>
      </w:r>
    </w:p>
    <w:p>
      <w:pPr>
        <w:spacing w:after="0" w:line="74"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In determining what it considered an appropriate “target” performance goal at the various levels of USAAS, the Committee consulted with management and evaluated various internally-prepared models and forecasts. The Committee approved the threshold and maximum performance goals at 85% and 115% of target, respectively.</w:t>
      </w:r>
    </w:p>
    <w:p>
      <w:pPr>
        <w:spacing w:after="0" w:line="63"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The table below sets out the threshold, target and maximum EBITDA performance goals approved for 2024, with such goals being assigned an 80% weight.</w:t>
      </w:r>
    </w:p>
    <w:p>
      <w:pPr>
        <w:spacing w:after="0" w:line="91"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2460" w:type="dxa"/>
            <w:vAlign w:val="bottom"/>
            <w:tcBorders>
              <w:left w:val="single" w:sz="8" w:color="E5E5E5"/>
              <w:right w:val="single" w:sz="8" w:color="E5E5E5"/>
            </w:tcBorders>
            <w:vMerge w:val="restart"/>
            <w:shd w:val="clear" w:color="auto" w:fill="D91E18"/>
          </w:tcPr>
          <w:p>
            <w:pPr>
              <w:jc w:val="center"/>
              <w:spacing w:after="0"/>
              <w:rPr>
                <w:sz w:val="20"/>
                <w:szCs w:val="20"/>
                <w:color w:val="auto"/>
              </w:rPr>
            </w:pPr>
            <w:r>
              <w:rPr>
                <w:rFonts w:ascii="Arial" w:cs="Arial" w:eastAsia="Arial" w:hAnsi="Arial"/>
                <w:sz w:val="18"/>
                <w:szCs w:val="18"/>
                <w:b w:val="1"/>
                <w:bCs w:val="1"/>
                <w:color w:val="FFFFFF"/>
                <w:w w:val="99"/>
              </w:rPr>
              <w:t>Actual USAAS</w:t>
            </w:r>
          </w:p>
        </w:tc>
        <w:tc>
          <w:tcPr>
            <w:tcW w:w="8800" w:type="dxa"/>
            <w:vAlign w:val="bottom"/>
            <w:tcBorders>
              <w:right w:val="single" w:sz="8" w:color="E5E5E5"/>
            </w:tcBorders>
            <w:gridSpan w:val="3"/>
            <w:shd w:val="clear" w:color="auto" w:fill="D91E18"/>
          </w:tcPr>
          <w:p>
            <w:pPr>
              <w:jc w:val="center"/>
              <w:spacing w:after="0"/>
              <w:rPr>
                <w:sz w:val="20"/>
                <w:szCs w:val="20"/>
                <w:color w:val="auto"/>
              </w:rPr>
            </w:pPr>
            <w:r>
              <w:rPr>
                <w:rFonts w:ascii="Arial" w:cs="Arial" w:eastAsia="Arial" w:hAnsi="Arial"/>
                <w:sz w:val="18"/>
                <w:szCs w:val="18"/>
                <w:b w:val="1"/>
                <w:bCs w:val="1"/>
                <w:color w:val="FFFFFF"/>
                <w:w w:val="99"/>
              </w:rPr>
              <w:t>EBITDA Performance Goals (in millions)</w:t>
            </w:r>
          </w:p>
        </w:tc>
        <w:tc>
          <w:tcPr>
            <w:tcW w:w="0" w:type="dxa"/>
            <w:vAlign w:val="bottom"/>
          </w:tcPr>
          <w:p>
            <w:pPr>
              <w:spacing w:after="0"/>
              <w:rPr>
                <w:sz w:val="1"/>
                <w:szCs w:val="1"/>
                <w:color w:val="auto"/>
              </w:rPr>
            </w:pPr>
          </w:p>
        </w:tc>
      </w:tr>
      <w:tr>
        <w:trPr>
          <w:trHeight w:val="189"/>
        </w:trPr>
        <w:tc>
          <w:tcPr>
            <w:tcW w:w="2460" w:type="dxa"/>
            <w:vAlign w:val="bottom"/>
            <w:tcBorders>
              <w:left w:val="single" w:sz="8" w:color="E5E5E5"/>
              <w:right w:val="single" w:sz="8" w:color="E5E5E5"/>
            </w:tcBorders>
            <w:vMerge w:val="continue"/>
            <w:shd w:val="clear" w:color="auto" w:fill="D91E18"/>
          </w:tcPr>
          <w:p>
            <w:pPr>
              <w:spacing w:after="0"/>
              <w:rPr>
                <w:sz w:val="16"/>
                <w:szCs w:val="16"/>
                <w:color w:val="auto"/>
              </w:rPr>
            </w:pPr>
          </w:p>
        </w:tc>
        <w:tc>
          <w:tcPr>
            <w:tcW w:w="2920" w:type="dxa"/>
            <w:vAlign w:val="bottom"/>
            <w:tcBorders>
              <w:right w:val="single" w:sz="8" w:color="E5E5E5"/>
            </w:tcBorders>
            <w:shd w:val="clear" w:color="auto" w:fill="D91E18"/>
          </w:tcPr>
          <w:p>
            <w:pPr>
              <w:jc w:val="center"/>
              <w:spacing w:after="0" w:line="189" w:lineRule="exact"/>
              <w:rPr>
                <w:sz w:val="20"/>
                <w:szCs w:val="20"/>
                <w:color w:val="auto"/>
              </w:rPr>
            </w:pPr>
            <w:r>
              <w:rPr>
                <w:rFonts w:ascii="Arial" w:cs="Arial" w:eastAsia="Arial" w:hAnsi="Arial"/>
                <w:sz w:val="18"/>
                <w:szCs w:val="18"/>
                <w:b w:val="1"/>
                <w:bCs w:val="1"/>
                <w:color w:val="FFFFFF"/>
                <w:w w:val="99"/>
              </w:rPr>
              <w:t>Threshold (85% of Target) 50%</w:t>
            </w:r>
          </w:p>
        </w:tc>
        <w:tc>
          <w:tcPr>
            <w:tcW w:w="2940" w:type="dxa"/>
            <w:vAlign w:val="bottom"/>
            <w:tcBorders>
              <w:right w:val="single" w:sz="8" w:color="E5E5E5"/>
            </w:tcBorders>
            <w:shd w:val="clear" w:color="auto" w:fill="D91E18"/>
          </w:tcPr>
          <w:p>
            <w:pPr>
              <w:jc w:val="center"/>
              <w:spacing w:after="0" w:line="189" w:lineRule="exact"/>
              <w:rPr>
                <w:sz w:val="20"/>
                <w:szCs w:val="20"/>
                <w:color w:val="auto"/>
              </w:rPr>
            </w:pPr>
            <w:r>
              <w:rPr>
                <w:rFonts w:ascii="Arial" w:cs="Arial" w:eastAsia="Arial" w:hAnsi="Arial"/>
                <w:sz w:val="18"/>
                <w:szCs w:val="18"/>
                <w:b w:val="1"/>
                <w:bCs w:val="1"/>
                <w:color w:val="FFFFFF"/>
                <w:w w:val="98"/>
              </w:rPr>
              <w:t>Target (100%)</w:t>
            </w:r>
          </w:p>
        </w:tc>
        <w:tc>
          <w:tcPr>
            <w:tcW w:w="2940" w:type="dxa"/>
            <w:vAlign w:val="bottom"/>
            <w:tcBorders>
              <w:right w:val="single" w:sz="8" w:color="E5E5E5"/>
            </w:tcBorders>
            <w:shd w:val="clear" w:color="auto" w:fill="D91E18"/>
          </w:tcPr>
          <w:p>
            <w:pPr>
              <w:jc w:val="center"/>
              <w:spacing w:after="0" w:line="189" w:lineRule="exact"/>
              <w:rPr>
                <w:sz w:val="20"/>
                <w:szCs w:val="20"/>
                <w:color w:val="auto"/>
              </w:rPr>
            </w:pPr>
            <w:r>
              <w:rPr>
                <w:rFonts w:ascii="Arial" w:cs="Arial" w:eastAsia="Arial" w:hAnsi="Arial"/>
                <w:sz w:val="18"/>
                <w:szCs w:val="18"/>
                <w:b w:val="1"/>
                <w:bCs w:val="1"/>
                <w:color w:val="FFFFFF"/>
                <w:w w:val="98"/>
              </w:rPr>
              <w:t>Maximum (115% of Target) 200%</w:t>
            </w:r>
          </w:p>
        </w:tc>
        <w:tc>
          <w:tcPr>
            <w:tcW w:w="0" w:type="dxa"/>
            <w:vAlign w:val="bottom"/>
          </w:tcPr>
          <w:p>
            <w:pPr>
              <w:spacing w:after="0"/>
              <w:rPr>
                <w:sz w:val="1"/>
                <w:szCs w:val="1"/>
                <w:color w:val="auto"/>
              </w:rPr>
            </w:pPr>
          </w:p>
        </w:tc>
      </w:tr>
      <w:tr>
        <w:trPr>
          <w:trHeight w:val="250"/>
        </w:trPr>
        <w:tc>
          <w:tcPr>
            <w:tcW w:w="2460" w:type="dxa"/>
            <w:vAlign w:val="bottom"/>
            <w:tcBorders>
              <w:left w:val="single" w:sz="8" w:color="E5E5E5"/>
              <w:right w:val="single" w:sz="8" w:color="E5E5E5"/>
            </w:tcBorders>
            <w:shd w:val="clear" w:color="auto" w:fill="D91E18"/>
          </w:tcPr>
          <w:p>
            <w:pPr>
              <w:jc w:val="center"/>
              <w:spacing w:after="0"/>
              <w:rPr>
                <w:sz w:val="20"/>
                <w:szCs w:val="20"/>
                <w:color w:val="auto"/>
              </w:rPr>
            </w:pPr>
            <w:r>
              <w:rPr>
                <w:rFonts w:ascii="Arial" w:cs="Arial" w:eastAsia="Arial" w:hAnsi="Arial"/>
                <w:sz w:val="18"/>
                <w:szCs w:val="18"/>
                <w:b w:val="1"/>
                <w:bCs w:val="1"/>
                <w:color w:val="FFFFFF"/>
              </w:rPr>
              <w:t>(in millions)</w:t>
            </w:r>
          </w:p>
        </w:tc>
        <w:tc>
          <w:tcPr>
            <w:tcW w:w="2920" w:type="dxa"/>
            <w:vAlign w:val="bottom"/>
            <w:tcBorders>
              <w:right w:val="single" w:sz="8" w:color="E5E5E5"/>
            </w:tcBorders>
            <w:shd w:val="clear" w:color="auto" w:fill="D91E18"/>
          </w:tcPr>
          <w:p>
            <w:pPr>
              <w:jc w:val="center"/>
              <w:spacing w:after="0"/>
              <w:rPr>
                <w:sz w:val="20"/>
                <w:szCs w:val="20"/>
                <w:color w:val="auto"/>
              </w:rPr>
            </w:pPr>
            <w:r>
              <w:rPr>
                <w:rFonts w:ascii="Arial" w:cs="Arial" w:eastAsia="Arial" w:hAnsi="Arial"/>
                <w:sz w:val="18"/>
                <w:szCs w:val="18"/>
                <w:b w:val="1"/>
                <w:bCs w:val="1"/>
                <w:color w:val="FFFFFF"/>
                <w:w w:val="99"/>
              </w:rPr>
              <w:t>Payout</w:t>
            </w:r>
          </w:p>
        </w:tc>
        <w:tc>
          <w:tcPr>
            <w:tcW w:w="2940" w:type="dxa"/>
            <w:vAlign w:val="bottom"/>
            <w:tcBorders>
              <w:right w:val="single" w:sz="8" w:color="E5E5E5"/>
            </w:tcBorders>
            <w:shd w:val="clear" w:color="auto" w:fill="D91E18"/>
          </w:tcPr>
          <w:p>
            <w:pPr>
              <w:jc w:val="center"/>
              <w:spacing w:after="0"/>
              <w:rPr>
                <w:sz w:val="20"/>
                <w:szCs w:val="20"/>
                <w:color w:val="auto"/>
              </w:rPr>
            </w:pPr>
            <w:r>
              <w:rPr>
                <w:rFonts w:ascii="Arial" w:cs="Arial" w:eastAsia="Arial" w:hAnsi="Arial"/>
                <w:sz w:val="18"/>
                <w:szCs w:val="18"/>
                <w:b w:val="1"/>
                <w:bCs w:val="1"/>
                <w:color w:val="FFFFFF"/>
              </w:rPr>
              <w:t>100% Payout</w:t>
            </w:r>
          </w:p>
        </w:tc>
        <w:tc>
          <w:tcPr>
            <w:tcW w:w="2940" w:type="dxa"/>
            <w:vAlign w:val="bottom"/>
            <w:tcBorders>
              <w:right w:val="single" w:sz="8" w:color="E5E5E5"/>
            </w:tcBorders>
            <w:shd w:val="clear" w:color="auto" w:fill="D91E18"/>
          </w:tcPr>
          <w:p>
            <w:pPr>
              <w:jc w:val="center"/>
              <w:spacing w:after="0"/>
              <w:rPr>
                <w:sz w:val="20"/>
                <w:szCs w:val="20"/>
                <w:color w:val="auto"/>
              </w:rPr>
            </w:pPr>
            <w:r>
              <w:rPr>
                <w:rFonts w:ascii="Arial" w:cs="Arial" w:eastAsia="Arial" w:hAnsi="Arial"/>
                <w:sz w:val="18"/>
                <w:szCs w:val="18"/>
                <w:b w:val="1"/>
                <w:bCs w:val="1"/>
                <w:color w:val="FFFFFF"/>
                <w:w w:val="99"/>
              </w:rPr>
              <w:t>Payout</w:t>
            </w:r>
          </w:p>
        </w:tc>
        <w:tc>
          <w:tcPr>
            <w:tcW w:w="0" w:type="dxa"/>
            <w:vAlign w:val="bottom"/>
          </w:tcPr>
          <w:p>
            <w:pPr>
              <w:spacing w:after="0"/>
              <w:rPr>
                <w:sz w:val="1"/>
                <w:szCs w:val="1"/>
                <w:color w:val="auto"/>
              </w:rPr>
            </w:pPr>
          </w:p>
        </w:tc>
      </w:tr>
      <w:tr>
        <w:trPr>
          <w:trHeight w:val="250"/>
        </w:trPr>
        <w:tc>
          <w:tcPr>
            <w:tcW w:w="2460" w:type="dxa"/>
            <w:vAlign w:val="bottom"/>
            <w:tcBorders>
              <w:left w:val="single" w:sz="8" w:color="E5E5E5"/>
              <w:right w:val="single" w:sz="8" w:color="E5E5E5"/>
            </w:tcBorders>
            <w:shd w:val="clear" w:color="auto" w:fill="DBDBDB"/>
          </w:tcPr>
          <w:p>
            <w:pPr>
              <w:jc w:val="center"/>
              <w:spacing w:after="0"/>
              <w:rPr>
                <w:sz w:val="20"/>
                <w:szCs w:val="20"/>
                <w:color w:val="auto"/>
              </w:rPr>
            </w:pPr>
            <w:r>
              <w:rPr>
                <w:rFonts w:ascii="Arial" w:cs="Arial" w:eastAsia="Arial" w:hAnsi="Arial"/>
                <w:sz w:val="18"/>
                <w:szCs w:val="18"/>
                <w:color w:val="auto"/>
                <w:w w:val="99"/>
              </w:rPr>
              <w:t>14.2 &amp; Lower</w:t>
            </w:r>
          </w:p>
        </w:tc>
        <w:tc>
          <w:tcPr>
            <w:tcW w:w="2920" w:type="dxa"/>
            <w:vAlign w:val="bottom"/>
            <w:tcBorders>
              <w:right w:val="single" w:sz="8" w:color="E5E5E5"/>
            </w:tcBorders>
            <w:shd w:val="clear" w:color="auto" w:fill="DBDBDB"/>
          </w:tcPr>
          <w:p>
            <w:pPr>
              <w:jc w:val="center"/>
              <w:spacing w:after="0"/>
              <w:rPr>
                <w:sz w:val="20"/>
                <w:szCs w:val="20"/>
                <w:color w:val="auto"/>
              </w:rPr>
            </w:pPr>
            <w:r>
              <w:rPr>
                <w:rFonts w:ascii="Arial" w:cs="Arial" w:eastAsia="Arial" w:hAnsi="Arial"/>
                <w:sz w:val="18"/>
                <w:szCs w:val="18"/>
                <w:color w:val="auto"/>
                <w:w w:val="98"/>
              </w:rPr>
              <w:t>$879.6</w:t>
            </w:r>
          </w:p>
        </w:tc>
        <w:tc>
          <w:tcPr>
            <w:tcW w:w="2940" w:type="dxa"/>
            <w:vAlign w:val="bottom"/>
            <w:tcBorders>
              <w:right w:val="single" w:sz="8" w:color="E5E5E5"/>
            </w:tcBorders>
            <w:shd w:val="clear" w:color="auto" w:fill="DBDBDB"/>
          </w:tcPr>
          <w:p>
            <w:pPr>
              <w:jc w:val="center"/>
              <w:spacing w:after="0"/>
              <w:rPr>
                <w:sz w:val="20"/>
                <w:szCs w:val="20"/>
                <w:color w:val="auto"/>
              </w:rPr>
            </w:pPr>
            <w:r>
              <w:rPr>
                <w:rFonts w:ascii="Arial" w:cs="Arial" w:eastAsia="Arial" w:hAnsi="Arial"/>
                <w:sz w:val="18"/>
                <w:szCs w:val="18"/>
                <w:color w:val="auto"/>
                <w:w w:val="99"/>
              </w:rPr>
              <w:t>$1,034.8</w:t>
            </w:r>
          </w:p>
        </w:tc>
        <w:tc>
          <w:tcPr>
            <w:tcW w:w="2940" w:type="dxa"/>
            <w:vAlign w:val="bottom"/>
            <w:tcBorders>
              <w:right w:val="single" w:sz="8" w:color="E5E5E5"/>
            </w:tcBorders>
            <w:shd w:val="clear" w:color="auto" w:fill="DBDBDB"/>
          </w:tcPr>
          <w:p>
            <w:pPr>
              <w:jc w:val="center"/>
              <w:spacing w:after="0"/>
              <w:rPr>
                <w:sz w:val="20"/>
                <w:szCs w:val="20"/>
                <w:color w:val="auto"/>
              </w:rPr>
            </w:pPr>
            <w:r>
              <w:rPr>
                <w:rFonts w:ascii="Arial" w:cs="Arial" w:eastAsia="Arial" w:hAnsi="Arial"/>
                <w:sz w:val="18"/>
                <w:szCs w:val="18"/>
                <w:color w:val="auto"/>
                <w:w w:val="99"/>
              </w:rPr>
              <w:t>$1,190.0</w:t>
            </w:r>
          </w:p>
        </w:tc>
        <w:tc>
          <w:tcPr>
            <w:tcW w:w="0" w:type="dxa"/>
            <w:vAlign w:val="bottom"/>
          </w:tcPr>
          <w:p>
            <w:pPr>
              <w:spacing w:after="0"/>
              <w:rPr>
                <w:sz w:val="1"/>
                <w:szCs w:val="1"/>
                <w:color w:val="auto"/>
              </w:rPr>
            </w:pPr>
          </w:p>
        </w:tc>
      </w:tr>
      <w:tr>
        <w:trPr>
          <w:trHeight w:val="229"/>
        </w:trPr>
        <w:tc>
          <w:tcPr>
            <w:tcW w:w="2460" w:type="dxa"/>
            <w:vAlign w:val="bottom"/>
            <w:tcBorders>
              <w:left w:val="single" w:sz="8" w:color="E5E5E5"/>
              <w:right w:val="single" w:sz="8" w:color="E5E5E5"/>
            </w:tcBorders>
          </w:tcPr>
          <w:p>
            <w:pPr>
              <w:jc w:val="center"/>
              <w:spacing w:after="0"/>
              <w:rPr>
                <w:sz w:val="20"/>
                <w:szCs w:val="20"/>
                <w:color w:val="auto"/>
              </w:rPr>
            </w:pPr>
            <w:r>
              <w:rPr>
                <w:rFonts w:ascii="Arial" w:cs="Arial" w:eastAsia="Arial" w:hAnsi="Arial"/>
                <w:sz w:val="18"/>
                <w:szCs w:val="18"/>
                <w:color w:val="auto"/>
                <w:w w:val="96"/>
              </w:rPr>
              <w:t>14.7</w:t>
            </w:r>
          </w:p>
        </w:tc>
        <w:tc>
          <w:tcPr>
            <w:tcW w:w="2920" w:type="dxa"/>
            <w:vAlign w:val="bottom"/>
            <w:tcBorders>
              <w:right w:val="single" w:sz="8" w:color="E5E5E5"/>
            </w:tcBorders>
          </w:tcPr>
          <w:p>
            <w:pPr>
              <w:jc w:val="center"/>
              <w:spacing w:after="0"/>
              <w:rPr>
                <w:sz w:val="20"/>
                <w:szCs w:val="20"/>
                <w:color w:val="auto"/>
              </w:rPr>
            </w:pPr>
            <w:r>
              <w:rPr>
                <w:rFonts w:ascii="Arial" w:cs="Arial" w:eastAsia="Arial" w:hAnsi="Arial"/>
                <w:sz w:val="18"/>
                <w:szCs w:val="18"/>
                <w:color w:val="auto"/>
                <w:w w:val="98"/>
              </w:rPr>
              <w:t>$894.8</w:t>
            </w:r>
          </w:p>
        </w:tc>
        <w:tc>
          <w:tcPr>
            <w:tcW w:w="2940" w:type="dxa"/>
            <w:vAlign w:val="bottom"/>
            <w:tcBorders>
              <w:right w:val="single" w:sz="8" w:color="E5E5E5"/>
            </w:tcBorders>
          </w:tcPr>
          <w:p>
            <w:pPr>
              <w:jc w:val="center"/>
              <w:spacing w:after="0"/>
              <w:rPr>
                <w:sz w:val="20"/>
                <w:szCs w:val="20"/>
                <w:color w:val="auto"/>
              </w:rPr>
            </w:pPr>
            <w:r>
              <w:rPr>
                <w:rFonts w:ascii="Arial" w:cs="Arial" w:eastAsia="Arial" w:hAnsi="Arial"/>
                <w:sz w:val="18"/>
                <w:szCs w:val="18"/>
                <w:color w:val="auto"/>
                <w:w w:val="99"/>
              </w:rPr>
              <w:t>$1,052.7</w:t>
            </w:r>
          </w:p>
        </w:tc>
        <w:tc>
          <w:tcPr>
            <w:tcW w:w="2940" w:type="dxa"/>
            <w:vAlign w:val="bottom"/>
            <w:tcBorders>
              <w:right w:val="single" w:sz="8" w:color="E5E5E5"/>
            </w:tcBorders>
          </w:tcPr>
          <w:p>
            <w:pPr>
              <w:jc w:val="center"/>
              <w:spacing w:after="0"/>
              <w:rPr>
                <w:sz w:val="20"/>
                <w:szCs w:val="20"/>
                <w:color w:val="auto"/>
              </w:rPr>
            </w:pPr>
            <w:r>
              <w:rPr>
                <w:rFonts w:ascii="Arial" w:cs="Arial" w:eastAsia="Arial" w:hAnsi="Arial"/>
                <w:sz w:val="18"/>
                <w:szCs w:val="18"/>
                <w:color w:val="auto"/>
                <w:w w:val="99"/>
              </w:rPr>
              <w:t>$1,210.6</w:t>
            </w:r>
          </w:p>
        </w:tc>
        <w:tc>
          <w:tcPr>
            <w:tcW w:w="0" w:type="dxa"/>
            <w:vAlign w:val="bottom"/>
          </w:tcPr>
          <w:p>
            <w:pPr>
              <w:spacing w:after="0"/>
              <w:rPr>
                <w:sz w:val="1"/>
                <w:szCs w:val="1"/>
                <w:color w:val="auto"/>
              </w:rPr>
            </w:pPr>
          </w:p>
        </w:tc>
      </w:tr>
      <w:tr>
        <w:trPr>
          <w:trHeight w:val="257"/>
        </w:trPr>
        <w:tc>
          <w:tcPr>
            <w:tcW w:w="2460" w:type="dxa"/>
            <w:vAlign w:val="bottom"/>
            <w:tcBorders>
              <w:left w:val="single" w:sz="8" w:color="E5E5E5"/>
              <w:right w:val="single" w:sz="8" w:color="E5E5E5"/>
            </w:tcBorders>
            <w:shd w:val="clear" w:color="auto" w:fill="DBDBDB"/>
          </w:tcPr>
          <w:p>
            <w:pPr>
              <w:jc w:val="center"/>
              <w:spacing w:after="0"/>
              <w:rPr>
                <w:sz w:val="20"/>
                <w:szCs w:val="20"/>
                <w:color w:val="auto"/>
              </w:rPr>
            </w:pPr>
            <w:r>
              <w:rPr>
                <w:rFonts w:ascii="Arial" w:cs="Arial" w:eastAsia="Arial" w:hAnsi="Arial"/>
                <w:sz w:val="18"/>
                <w:szCs w:val="18"/>
                <w:color w:val="auto"/>
                <w:w w:val="96"/>
              </w:rPr>
              <w:t>15.2</w:t>
            </w:r>
          </w:p>
        </w:tc>
        <w:tc>
          <w:tcPr>
            <w:tcW w:w="2920" w:type="dxa"/>
            <w:vAlign w:val="bottom"/>
            <w:tcBorders>
              <w:right w:val="single" w:sz="8" w:color="E5E5E5"/>
            </w:tcBorders>
            <w:shd w:val="clear" w:color="auto" w:fill="DBDBDB"/>
          </w:tcPr>
          <w:p>
            <w:pPr>
              <w:jc w:val="center"/>
              <w:spacing w:after="0"/>
              <w:rPr>
                <w:sz w:val="20"/>
                <w:szCs w:val="20"/>
                <w:color w:val="auto"/>
              </w:rPr>
            </w:pPr>
            <w:r>
              <w:rPr>
                <w:rFonts w:ascii="Arial" w:cs="Arial" w:eastAsia="Arial" w:hAnsi="Arial"/>
                <w:sz w:val="18"/>
                <w:szCs w:val="18"/>
                <w:color w:val="auto"/>
                <w:w w:val="98"/>
              </w:rPr>
              <w:t>$910.1</w:t>
            </w:r>
          </w:p>
        </w:tc>
        <w:tc>
          <w:tcPr>
            <w:tcW w:w="2940" w:type="dxa"/>
            <w:vAlign w:val="bottom"/>
            <w:tcBorders>
              <w:right w:val="single" w:sz="8" w:color="E5E5E5"/>
            </w:tcBorders>
            <w:shd w:val="clear" w:color="auto" w:fill="DBDBDB"/>
          </w:tcPr>
          <w:p>
            <w:pPr>
              <w:jc w:val="center"/>
              <w:spacing w:after="0"/>
              <w:rPr>
                <w:sz w:val="20"/>
                <w:szCs w:val="20"/>
                <w:color w:val="auto"/>
              </w:rPr>
            </w:pPr>
            <w:r>
              <w:rPr>
                <w:rFonts w:ascii="Arial" w:cs="Arial" w:eastAsia="Arial" w:hAnsi="Arial"/>
                <w:sz w:val="18"/>
                <w:szCs w:val="18"/>
                <w:color w:val="auto"/>
                <w:w w:val="99"/>
              </w:rPr>
              <w:t>$1,070.7</w:t>
            </w:r>
          </w:p>
        </w:tc>
        <w:tc>
          <w:tcPr>
            <w:tcW w:w="2940" w:type="dxa"/>
            <w:vAlign w:val="bottom"/>
            <w:tcBorders>
              <w:right w:val="single" w:sz="8" w:color="E5E5E5"/>
            </w:tcBorders>
            <w:shd w:val="clear" w:color="auto" w:fill="DBDBDB"/>
          </w:tcPr>
          <w:p>
            <w:pPr>
              <w:jc w:val="center"/>
              <w:spacing w:after="0"/>
              <w:rPr>
                <w:sz w:val="20"/>
                <w:szCs w:val="20"/>
                <w:color w:val="auto"/>
              </w:rPr>
            </w:pPr>
            <w:r>
              <w:rPr>
                <w:rFonts w:ascii="Arial" w:cs="Arial" w:eastAsia="Arial" w:hAnsi="Arial"/>
                <w:sz w:val="18"/>
                <w:szCs w:val="18"/>
                <w:color w:val="auto"/>
                <w:w w:val="99"/>
              </w:rPr>
              <w:t>$1,231.3</w:t>
            </w:r>
          </w:p>
        </w:tc>
        <w:tc>
          <w:tcPr>
            <w:tcW w:w="0" w:type="dxa"/>
            <w:vAlign w:val="bottom"/>
          </w:tcPr>
          <w:p>
            <w:pPr>
              <w:spacing w:after="0"/>
              <w:rPr>
                <w:sz w:val="1"/>
                <w:szCs w:val="1"/>
                <w:color w:val="auto"/>
              </w:rPr>
            </w:pPr>
          </w:p>
        </w:tc>
      </w:tr>
      <w:tr>
        <w:trPr>
          <w:trHeight w:val="229"/>
        </w:trPr>
        <w:tc>
          <w:tcPr>
            <w:tcW w:w="2460" w:type="dxa"/>
            <w:vAlign w:val="bottom"/>
            <w:tcBorders>
              <w:left w:val="single" w:sz="8" w:color="E5E5E5"/>
              <w:right w:val="single" w:sz="8" w:color="E5E5E5"/>
            </w:tcBorders>
          </w:tcPr>
          <w:p>
            <w:pPr>
              <w:jc w:val="center"/>
              <w:spacing w:after="0"/>
              <w:rPr>
                <w:sz w:val="20"/>
                <w:szCs w:val="20"/>
                <w:color w:val="auto"/>
              </w:rPr>
            </w:pPr>
            <w:r>
              <w:rPr>
                <w:rFonts w:ascii="Arial" w:cs="Arial" w:eastAsia="Arial" w:hAnsi="Arial"/>
                <w:sz w:val="18"/>
                <w:szCs w:val="18"/>
                <w:color w:val="auto"/>
                <w:w w:val="96"/>
              </w:rPr>
              <w:t>15.7</w:t>
            </w:r>
          </w:p>
        </w:tc>
        <w:tc>
          <w:tcPr>
            <w:tcW w:w="2920" w:type="dxa"/>
            <w:vAlign w:val="bottom"/>
            <w:tcBorders>
              <w:right w:val="single" w:sz="8" w:color="E5E5E5"/>
            </w:tcBorders>
          </w:tcPr>
          <w:p>
            <w:pPr>
              <w:jc w:val="center"/>
              <w:spacing w:after="0"/>
              <w:rPr>
                <w:sz w:val="20"/>
                <w:szCs w:val="20"/>
                <w:color w:val="auto"/>
              </w:rPr>
            </w:pPr>
            <w:r>
              <w:rPr>
                <w:rFonts w:ascii="Arial" w:cs="Arial" w:eastAsia="Arial" w:hAnsi="Arial"/>
                <w:sz w:val="18"/>
                <w:szCs w:val="18"/>
                <w:color w:val="auto"/>
                <w:w w:val="98"/>
              </w:rPr>
              <w:t>$926.4</w:t>
            </w:r>
          </w:p>
        </w:tc>
        <w:tc>
          <w:tcPr>
            <w:tcW w:w="2940" w:type="dxa"/>
            <w:vAlign w:val="bottom"/>
            <w:tcBorders>
              <w:right w:val="single" w:sz="8" w:color="E5E5E5"/>
            </w:tcBorders>
          </w:tcPr>
          <w:p>
            <w:pPr>
              <w:jc w:val="center"/>
              <w:spacing w:after="0"/>
              <w:rPr>
                <w:sz w:val="20"/>
                <w:szCs w:val="20"/>
                <w:color w:val="auto"/>
              </w:rPr>
            </w:pPr>
            <w:r>
              <w:rPr>
                <w:rFonts w:ascii="Arial" w:cs="Arial" w:eastAsia="Arial" w:hAnsi="Arial"/>
                <w:sz w:val="18"/>
                <w:szCs w:val="18"/>
                <w:color w:val="auto"/>
                <w:w w:val="99"/>
              </w:rPr>
              <w:t>$1,089.9</w:t>
            </w:r>
          </w:p>
        </w:tc>
        <w:tc>
          <w:tcPr>
            <w:tcW w:w="2940" w:type="dxa"/>
            <w:vAlign w:val="bottom"/>
            <w:tcBorders>
              <w:right w:val="single" w:sz="8" w:color="E5E5E5"/>
            </w:tcBorders>
          </w:tcPr>
          <w:p>
            <w:pPr>
              <w:jc w:val="center"/>
              <w:spacing w:after="0"/>
              <w:rPr>
                <w:sz w:val="20"/>
                <w:szCs w:val="20"/>
                <w:color w:val="auto"/>
              </w:rPr>
            </w:pPr>
            <w:r>
              <w:rPr>
                <w:rFonts w:ascii="Arial" w:cs="Arial" w:eastAsia="Arial" w:hAnsi="Arial"/>
                <w:sz w:val="18"/>
                <w:szCs w:val="18"/>
                <w:color w:val="auto"/>
                <w:w w:val="99"/>
              </w:rPr>
              <w:t>$1,253.4</w:t>
            </w:r>
          </w:p>
        </w:tc>
        <w:tc>
          <w:tcPr>
            <w:tcW w:w="0" w:type="dxa"/>
            <w:vAlign w:val="bottom"/>
          </w:tcPr>
          <w:p>
            <w:pPr>
              <w:spacing w:after="0"/>
              <w:rPr>
                <w:sz w:val="1"/>
                <w:szCs w:val="1"/>
                <w:color w:val="auto"/>
              </w:rPr>
            </w:pPr>
          </w:p>
        </w:tc>
      </w:tr>
      <w:tr>
        <w:trPr>
          <w:trHeight w:val="257"/>
        </w:trPr>
        <w:tc>
          <w:tcPr>
            <w:tcW w:w="2460" w:type="dxa"/>
            <w:vAlign w:val="bottom"/>
            <w:tcBorders>
              <w:left w:val="single" w:sz="8" w:color="E5E5E5"/>
              <w:right w:val="single" w:sz="8" w:color="E5E5E5"/>
            </w:tcBorders>
            <w:shd w:val="clear" w:color="auto" w:fill="DBDBDB"/>
          </w:tcPr>
          <w:p>
            <w:pPr>
              <w:jc w:val="center"/>
              <w:spacing w:after="0"/>
              <w:rPr>
                <w:sz w:val="20"/>
                <w:szCs w:val="20"/>
                <w:color w:val="auto"/>
              </w:rPr>
            </w:pPr>
            <w:r>
              <w:rPr>
                <w:rFonts w:ascii="Arial" w:cs="Arial" w:eastAsia="Arial" w:hAnsi="Arial"/>
                <w:sz w:val="18"/>
                <w:szCs w:val="18"/>
                <w:color w:val="auto"/>
                <w:w w:val="96"/>
              </w:rPr>
              <w:t>16.2</w:t>
            </w:r>
          </w:p>
        </w:tc>
        <w:tc>
          <w:tcPr>
            <w:tcW w:w="2920" w:type="dxa"/>
            <w:vAlign w:val="bottom"/>
            <w:tcBorders>
              <w:right w:val="single" w:sz="8" w:color="E5E5E5"/>
            </w:tcBorders>
            <w:shd w:val="clear" w:color="auto" w:fill="DBDBDB"/>
          </w:tcPr>
          <w:p>
            <w:pPr>
              <w:jc w:val="center"/>
              <w:spacing w:after="0"/>
              <w:rPr>
                <w:sz w:val="20"/>
                <w:szCs w:val="20"/>
                <w:color w:val="auto"/>
              </w:rPr>
            </w:pPr>
            <w:r>
              <w:rPr>
                <w:rFonts w:ascii="Arial" w:cs="Arial" w:eastAsia="Arial" w:hAnsi="Arial"/>
                <w:sz w:val="18"/>
                <w:szCs w:val="18"/>
                <w:color w:val="auto"/>
                <w:w w:val="98"/>
              </w:rPr>
              <w:t>$908.7</w:t>
            </w:r>
          </w:p>
        </w:tc>
        <w:tc>
          <w:tcPr>
            <w:tcW w:w="2940" w:type="dxa"/>
            <w:vAlign w:val="bottom"/>
            <w:tcBorders>
              <w:right w:val="single" w:sz="8" w:color="E5E5E5"/>
            </w:tcBorders>
            <w:shd w:val="clear" w:color="auto" w:fill="DBDBDB"/>
          </w:tcPr>
          <w:p>
            <w:pPr>
              <w:jc w:val="center"/>
              <w:spacing w:after="0"/>
              <w:rPr>
                <w:sz w:val="20"/>
                <w:szCs w:val="20"/>
                <w:color w:val="auto"/>
              </w:rPr>
            </w:pPr>
            <w:r>
              <w:rPr>
                <w:rFonts w:ascii="Arial" w:cs="Arial" w:eastAsia="Arial" w:hAnsi="Arial"/>
                <w:sz w:val="18"/>
                <w:szCs w:val="18"/>
                <w:color w:val="auto"/>
                <w:w w:val="99"/>
              </w:rPr>
              <w:t>$1,069.1</w:t>
            </w:r>
          </w:p>
        </w:tc>
        <w:tc>
          <w:tcPr>
            <w:tcW w:w="2940" w:type="dxa"/>
            <w:vAlign w:val="bottom"/>
            <w:tcBorders>
              <w:right w:val="single" w:sz="8" w:color="E5E5E5"/>
            </w:tcBorders>
            <w:shd w:val="clear" w:color="auto" w:fill="DBDBDB"/>
          </w:tcPr>
          <w:p>
            <w:pPr>
              <w:jc w:val="center"/>
              <w:spacing w:after="0"/>
              <w:rPr>
                <w:sz w:val="20"/>
                <w:szCs w:val="20"/>
                <w:color w:val="auto"/>
              </w:rPr>
            </w:pPr>
            <w:r>
              <w:rPr>
                <w:rFonts w:ascii="Arial" w:cs="Arial" w:eastAsia="Arial" w:hAnsi="Arial"/>
                <w:sz w:val="18"/>
                <w:szCs w:val="18"/>
                <w:color w:val="auto"/>
                <w:w w:val="99"/>
              </w:rPr>
              <w:t>$1,229.5</w:t>
            </w:r>
          </w:p>
        </w:tc>
        <w:tc>
          <w:tcPr>
            <w:tcW w:w="0" w:type="dxa"/>
            <w:vAlign w:val="bottom"/>
          </w:tcPr>
          <w:p>
            <w:pPr>
              <w:spacing w:after="0"/>
              <w:rPr>
                <w:sz w:val="1"/>
                <w:szCs w:val="1"/>
                <w:color w:val="auto"/>
              </w:rPr>
            </w:pPr>
          </w:p>
        </w:tc>
      </w:tr>
      <w:tr>
        <w:trPr>
          <w:trHeight w:val="229"/>
        </w:trPr>
        <w:tc>
          <w:tcPr>
            <w:tcW w:w="2460" w:type="dxa"/>
            <w:vAlign w:val="bottom"/>
            <w:tcBorders>
              <w:left w:val="single" w:sz="8" w:color="E5E5E5"/>
              <w:right w:val="single" w:sz="8" w:color="E5E5E5"/>
            </w:tcBorders>
          </w:tcPr>
          <w:p>
            <w:pPr>
              <w:jc w:val="center"/>
              <w:spacing w:after="0"/>
              <w:rPr>
                <w:sz w:val="20"/>
                <w:szCs w:val="20"/>
                <w:color w:val="auto"/>
              </w:rPr>
            </w:pPr>
            <w:r>
              <w:rPr>
                <w:rFonts w:ascii="Arial" w:cs="Arial" w:eastAsia="Arial" w:hAnsi="Arial"/>
                <w:sz w:val="18"/>
                <w:szCs w:val="18"/>
                <w:color w:val="auto"/>
                <w:w w:val="96"/>
              </w:rPr>
              <w:t>16.7</w:t>
            </w:r>
          </w:p>
        </w:tc>
        <w:tc>
          <w:tcPr>
            <w:tcW w:w="2920" w:type="dxa"/>
            <w:vAlign w:val="bottom"/>
            <w:tcBorders>
              <w:right w:val="single" w:sz="8" w:color="E5E5E5"/>
            </w:tcBorders>
          </w:tcPr>
          <w:p>
            <w:pPr>
              <w:jc w:val="center"/>
              <w:spacing w:after="0"/>
              <w:rPr>
                <w:sz w:val="20"/>
                <w:szCs w:val="20"/>
                <w:color w:val="auto"/>
              </w:rPr>
            </w:pPr>
            <w:r>
              <w:rPr>
                <w:rFonts w:ascii="Arial" w:cs="Arial" w:eastAsia="Arial" w:hAnsi="Arial"/>
                <w:sz w:val="18"/>
                <w:szCs w:val="18"/>
                <w:color w:val="auto"/>
                <w:w w:val="98"/>
              </w:rPr>
              <w:t>$910.9</w:t>
            </w:r>
          </w:p>
        </w:tc>
        <w:tc>
          <w:tcPr>
            <w:tcW w:w="2940" w:type="dxa"/>
            <w:vAlign w:val="bottom"/>
            <w:tcBorders>
              <w:right w:val="single" w:sz="8" w:color="E5E5E5"/>
            </w:tcBorders>
          </w:tcPr>
          <w:p>
            <w:pPr>
              <w:jc w:val="center"/>
              <w:spacing w:after="0"/>
              <w:rPr>
                <w:sz w:val="20"/>
                <w:szCs w:val="20"/>
                <w:color w:val="auto"/>
              </w:rPr>
            </w:pPr>
            <w:r>
              <w:rPr>
                <w:rFonts w:ascii="Arial" w:cs="Arial" w:eastAsia="Arial" w:hAnsi="Arial"/>
                <w:sz w:val="18"/>
                <w:szCs w:val="18"/>
                <w:color w:val="auto"/>
                <w:w w:val="99"/>
              </w:rPr>
              <w:t>$1,071.6</w:t>
            </w:r>
          </w:p>
        </w:tc>
        <w:tc>
          <w:tcPr>
            <w:tcW w:w="2940" w:type="dxa"/>
            <w:vAlign w:val="bottom"/>
            <w:tcBorders>
              <w:right w:val="single" w:sz="8" w:color="E5E5E5"/>
            </w:tcBorders>
          </w:tcPr>
          <w:p>
            <w:pPr>
              <w:jc w:val="center"/>
              <w:spacing w:after="0"/>
              <w:rPr>
                <w:sz w:val="20"/>
                <w:szCs w:val="20"/>
                <w:color w:val="auto"/>
              </w:rPr>
            </w:pPr>
            <w:r>
              <w:rPr>
                <w:rFonts w:ascii="Arial" w:cs="Arial" w:eastAsia="Arial" w:hAnsi="Arial"/>
                <w:sz w:val="18"/>
                <w:szCs w:val="18"/>
                <w:color w:val="auto"/>
                <w:w w:val="99"/>
              </w:rPr>
              <w:t>$1,232.3</w:t>
            </w:r>
          </w:p>
        </w:tc>
        <w:tc>
          <w:tcPr>
            <w:tcW w:w="0" w:type="dxa"/>
            <w:vAlign w:val="bottom"/>
          </w:tcPr>
          <w:p>
            <w:pPr>
              <w:spacing w:after="0"/>
              <w:rPr>
                <w:sz w:val="1"/>
                <w:szCs w:val="1"/>
                <w:color w:val="auto"/>
              </w:rPr>
            </w:pPr>
          </w:p>
        </w:tc>
      </w:tr>
      <w:tr>
        <w:trPr>
          <w:trHeight w:val="257"/>
        </w:trPr>
        <w:tc>
          <w:tcPr>
            <w:tcW w:w="2460" w:type="dxa"/>
            <w:vAlign w:val="bottom"/>
            <w:tcBorders>
              <w:left w:val="single" w:sz="8" w:color="E5E5E5"/>
              <w:right w:val="single" w:sz="8" w:color="E5E5E5"/>
            </w:tcBorders>
            <w:shd w:val="clear" w:color="auto" w:fill="DBDBDB"/>
          </w:tcPr>
          <w:p>
            <w:pPr>
              <w:jc w:val="center"/>
              <w:spacing w:after="0"/>
              <w:rPr>
                <w:sz w:val="20"/>
                <w:szCs w:val="20"/>
                <w:color w:val="auto"/>
              </w:rPr>
            </w:pPr>
            <w:r>
              <w:rPr>
                <w:rFonts w:ascii="Arial" w:cs="Arial" w:eastAsia="Arial" w:hAnsi="Arial"/>
                <w:sz w:val="18"/>
                <w:szCs w:val="18"/>
                <w:color w:val="auto"/>
                <w:w w:val="99"/>
              </w:rPr>
              <w:t>17.2 &amp; Higher</w:t>
            </w:r>
          </w:p>
        </w:tc>
        <w:tc>
          <w:tcPr>
            <w:tcW w:w="2920" w:type="dxa"/>
            <w:vAlign w:val="bottom"/>
            <w:tcBorders>
              <w:right w:val="single" w:sz="8" w:color="E5E5E5"/>
            </w:tcBorders>
            <w:shd w:val="clear" w:color="auto" w:fill="DBDBDB"/>
          </w:tcPr>
          <w:p>
            <w:pPr>
              <w:jc w:val="center"/>
              <w:spacing w:after="0"/>
              <w:rPr>
                <w:sz w:val="20"/>
                <w:szCs w:val="20"/>
                <w:color w:val="auto"/>
              </w:rPr>
            </w:pPr>
            <w:r>
              <w:rPr>
                <w:rFonts w:ascii="Arial" w:cs="Arial" w:eastAsia="Arial" w:hAnsi="Arial"/>
                <w:sz w:val="18"/>
                <w:szCs w:val="18"/>
                <w:color w:val="auto"/>
                <w:w w:val="98"/>
              </w:rPr>
              <w:t>$941.0</w:t>
            </w:r>
          </w:p>
        </w:tc>
        <w:tc>
          <w:tcPr>
            <w:tcW w:w="2940" w:type="dxa"/>
            <w:vAlign w:val="bottom"/>
            <w:tcBorders>
              <w:right w:val="single" w:sz="8" w:color="E5E5E5"/>
            </w:tcBorders>
            <w:shd w:val="clear" w:color="auto" w:fill="DBDBDB"/>
          </w:tcPr>
          <w:p>
            <w:pPr>
              <w:jc w:val="center"/>
              <w:spacing w:after="0"/>
              <w:rPr>
                <w:sz w:val="20"/>
                <w:szCs w:val="20"/>
                <w:color w:val="auto"/>
              </w:rPr>
            </w:pPr>
            <w:r>
              <w:rPr>
                <w:rFonts w:ascii="Arial" w:cs="Arial" w:eastAsia="Arial" w:hAnsi="Arial"/>
                <w:sz w:val="18"/>
                <w:szCs w:val="18"/>
                <w:color w:val="auto"/>
                <w:w w:val="99"/>
              </w:rPr>
              <w:t>$1,107.1</w:t>
            </w:r>
          </w:p>
        </w:tc>
        <w:tc>
          <w:tcPr>
            <w:tcW w:w="2940" w:type="dxa"/>
            <w:vAlign w:val="bottom"/>
            <w:tcBorders>
              <w:right w:val="single" w:sz="8" w:color="E5E5E5"/>
            </w:tcBorders>
            <w:shd w:val="clear" w:color="auto" w:fill="DBDBDB"/>
          </w:tcPr>
          <w:p>
            <w:pPr>
              <w:jc w:val="center"/>
              <w:spacing w:after="0"/>
              <w:rPr>
                <w:sz w:val="20"/>
                <w:szCs w:val="20"/>
                <w:color w:val="auto"/>
              </w:rPr>
            </w:pPr>
            <w:r>
              <w:rPr>
                <w:rFonts w:ascii="Arial" w:cs="Arial" w:eastAsia="Arial" w:hAnsi="Arial"/>
                <w:sz w:val="18"/>
                <w:szCs w:val="18"/>
                <w:color w:val="auto"/>
                <w:w w:val="99"/>
              </w:rPr>
              <w:t>$1,273.2</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For 2024, actual USAAS as reported by Wards Intelligence was 15.8 million. Based on this level of USAAS, EBITDA levels for the purpose of determining payouts under the annual cash incentive plan were calculated by interpolation as follows: threshold: $923.9 million; target: $1,087.0 million; and maximum: $1,250.0 million. The Company reported Adjusted EBITDA of $985.0 million in 2024, which resulted in a formulaic achievement of 69% of target (55% payout) for the EBITDA component.</w:t>
      </w:r>
    </w:p>
    <w:p>
      <w:pPr>
        <w:spacing w:after="0" w:line="4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Strategic Objectives</w:t>
      </w:r>
    </w:p>
    <w:p>
      <w:pPr>
        <w:spacing w:after="0" w:line="9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strategic objectives established for 2024 consisted of the following three measures of the Company’s performance: (1) management’s continued success and progress with respect to the integration of acquisitions, Including Jim Koons automotive group, Larry H. Miller dealership group, and Total Care Auto, Powered by Landcar; (2) the advancement of the Company’s ESG strategy, and (3) the Company’s operating margin relative to its peers, with such objectives being assigned a weight of 20%. The bonus achievement percentage for strategic objectives ranges from 0% for no objectives achieved to a maximum of 40% for exceeding achievement of such objectives, based on Committee discretion.</w:t>
      </w:r>
    </w:p>
    <w:p>
      <w:pPr>
        <w:spacing w:after="0" w:line="74"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The Committee established incentive opportunities, as a percentage of base salary, for each named executive officer dependent upon each named executive officer’s respective current and expected positions, skills, and experience, as well as other factors described above, including the degree of responsibility assumed and expected to be assumed by such individual for aspects of the organization that impact our financial performance.</w:t>
      </w:r>
    </w:p>
    <w:p>
      <w:pPr>
        <w:spacing w:after="0" w:line="6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Committee reviewed the achievements of the Company relative to its three strategic objectives as described below. For the first strategic objective, the Committee took into consideration management’s continued success in integrating its recently acquired large businesses (Jim Koons automotive group, Larry H. Miller dealership group and Total Care Auto, Powered by Landcar). For the second strategic objective, the Committee considered management’s continued advancement of its ESG strategy, which included the successful launch of various training programs designed to advance our diversity, equity and inclusion initiative and our mission to be the most guest centric auto retail company while supporting our employees' careers and providing them with necessary leadership skills. For the last strategic objective, the Committee considered the Company’s adjusted operating margin of 5.8%, which ranked highest as compared to that of its auto retail peers. In addition to considering the Company’s achievement and success relative to the strategic objectives, the Committee took into account the impact of a cyber event including related legal fees, the impact of hurricane activity, and the impact of manufacturer stop sales on other strategic initiatives.</w:t>
      </w:r>
    </w:p>
    <w:p>
      <w:pPr>
        <w:spacing w:after="0" w:line="77"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The Committee may increase the bonus payout by up to ten percentage points based on its evaluation of the achievement of strategic initiatives, including operational initiatives, acquisitions, divestitures and others in furtherance of the Company's long-term interests. The Committee exercised its discretion to increase the bonus payout by ten percentage points in recognition of management's execution on the Company's success and progress of integrating acquisitions, the</w:t>
      </w:r>
    </w:p>
    <w:p>
      <w:pPr>
        <w:sectPr>
          <w:pgSz w:w="11900" w:h="16838" w:orient="portrait"/>
          <w:cols w:equalWidth="0" w:num="1">
            <w:col w:w="11260"/>
          </w:cols>
          <w:pgMar w:left="320" w:top="121" w:right="319" w:bottom="1440" w:gutter="0" w:footer="0" w:header="0"/>
        </w:sectPr>
      </w:pPr>
    </w:p>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advancement of our ESG strategy, and the Company's operating margin relative to automotive retail peers. This resulted in a total bonus payout of 95% of target under the cash incentive plan as set forth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57785</wp:posOffset>
            </wp:positionV>
            <wp:extent cx="2100580" cy="3943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100580" cy="394335"/>
                    </a:xfrm>
                    <a:prstGeom prst="rect">
                      <a:avLst/>
                    </a:prstGeom>
                    <a:noFill/>
                  </pic:spPr>
                </pic:pic>
              </a:graphicData>
            </a:graphic>
          </wp:anchor>
        </w:drawing>
      </w:r>
    </w:p>
    <w:p>
      <w:pPr>
        <w:spacing w:after="0" w:line="53"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6500" w:type="dxa"/>
            <w:vAlign w:val="bottom"/>
            <w:tcBorders>
              <w:left w:val="single" w:sz="8" w:color="E5E5E5"/>
              <w:right w:val="single" w:sz="8" w:color="E5E5E5"/>
            </w:tcBorders>
            <w:shd w:val="clear" w:color="auto" w:fill="D91E18"/>
          </w:tcPr>
          <w:p>
            <w:pPr>
              <w:spacing w:after="0"/>
              <w:rPr>
                <w:sz w:val="17"/>
                <w:szCs w:val="17"/>
                <w:color w:val="auto"/>
              </w:rPr>
            </w:pPr>
          </w:p>
        </w:tc>
        <w:tc>
          <w:tcPr>
            <w:tcW w:w="1460" w:type="dxa"/>
            <w:vAlign w:val="bottom"/>
            <w:tcBorders>
              <w:right w:val="single" w:sz="8" w:color="E5E5E5"/>
            </w:tcBorders>
            <w:shd w:val="clear" w:color="auto" w:fill="D91E18"/>
          </w:tcPr>
          <w:p>
            <w:pPr>
              <w:jc w:val="center"/>
              <w:spacing w:after="0"/>
              <w:rPr>
                <w:sz w:val="20"/>
                <w:szCs w:val="20"/>
                <w:color w:val="auto"/>
              </w:rPr>
            </w:pPr>
            <w:r>
              <w:rPr>
                <w:rFonts w:ascii="Arial" w:cs="Arial" w:eastAsia="Arial" w:hAnsi="Arial"/>
                <w:sz w:val="18"/>
                <w:szCs w:val="18"/>
                <w:b w:val="1"/>
                <w:bCs w:val="1"/>
                <w:color w:val="FFFFFF"/>
                <w:w w:val="98"/>
              </w:rPr>
              <w:t>Actual</w:t>
            </w:r>
          </w:p>
        </w:tc>
        <w:tc>
          <w:tcPr>
            <w:tcW w:w="300" w:type="dxa"/>
            <w:vAlign w:val="bottom"/>
            <w:shd w:val="clear" w:color="auto" w:fill="D91E18"/>
          </w:tcPr>
          <w:p>
            <w:pPr>
              <w:spacing w:after="0"/>
              <w:rPr>
                <w:sz w:val="17"/>
                <w:szCs w:val="17"/>
                <w:color w:val="auto"/>
              </w:rPr>
            </w:pPr>
          </w:p>
        </w:tc>
        <w:tc>
          <w:tcPr>
            <w:tcW w:w="1160" w:type="dxa"/>
            <w:vAlign w:val="bottom"/>
            <w:shd w:val="clear" w:color="auto" w:fill="D91E18"/>
          </w:tcPr>
          <w:p>
            <w:pPr>
              <w:spacing w:after="0"/>
              <w:rPr>
                <w:sz w:val="17"/>
                <w:szCs w:val="17"/>
                <w:color w:val="auto"/>
              </w:rPr>
            </w:pPr>
          </w:p>
        </w:tc>
        <w:tc>
          <w:tcPr>
            <w:tcW w:w="340" w:type="dxa"/>
            <w:vAlign w:val="bottom"/>
            <w:tcBorders>
              <w:right w:val="single" w:sz="8" w:color="D91E18"/>
            </w:tcBorders>
            <w:shd w:val="clear" w:color="auto" w:fill="D91E18"/>
          </w:tcPr>
          <w:p>
            <w:pPr>
              <w:spacing w:after="0"/>
              <w:rPr>
                <w:sz w:val="17"/>
                <w:szCs w:val="17"/>
                <w:color w:val="auto"/>
              </w:rPr>
            </w:pPr>
          </w:p>
        </w:tc>
        <w:tc>
          <w:tcPr>
            <w:tcW w:w="1500" w:type="dxa"/>
            <w:vAlign w:val="bottom"/>
            <w:tcBorders>
              <w:right w:val="single" w:sz="8" w:color="D91E18"/>
            </w:tcBorders>
            <w:vMerge w:val="restart"/>
            <w:shd w:val="clear" w:color="auto" w:fill="D91E18"/>
          </w:tcPr>
          <w:p>
            <w:pPr>
              <w:jc w:val="center"/>
              <w:spacing w:after="0"/>
              <w:rPr>
                <w:sz w:val="20"/>
                <w:szCs w:val="20"/>
                <w:color w:val="auto"/>
              </w:rPr>
            </w:pPr>
            <w:r>
              <w:rPr>
                <w:rFonts w:ascii="Arial" w:cs="Arial" w:eastAsia="Arial" w:hAnsi="Arial"/>
                <w:sz w:val="18"/>
                <w:szCs w:val="18"/>
                <w:b w:val="1"/>
                <w:bCs w:val="1"/>
                <w:color w:val="FFFFFF"/>
                <w:w w:val="99"/>
              </w:rPr>
              <w:t>Payout</w:t>
            </w:r>
          </w:p>
        </w:tc>
        <w:tc>
          <w:tcPr>
            <w:tcW w:w="0" w:type="dxa"/>
            <w:vAlign w:val="bottom"/>
          </w:tcPr>
          <w:p>
            <w:pPr>
              <w:spacing w:after="0"/>
              <w:rPr>
                <w:sz w:val="1"/>
                <w:szCs w:val="1"/>
                <w:color w:val="auto"/>
              </w:rPr>
            </w:pPr>
          </w:p>
        </w:tc>
      </w:tr>
      <w:tr>
        <w:trPr>
          <w:trHeight w:val="175"/>
        </w:trPr>
        <w:tc>
          <w:tcPr>
            <w:tcW w:w="6500" w:type="dxa"/>
            <w:vAlign w:val="bottom"/>
            <w:tcBorders>
              <w:left w:val="single" w:sz="8" w:color="E5E5E5"/>
              <w:right w:val="single" w:sz="8" w:color="E5E5E5"/>
            </w:tcBorders>
            <w:vMerge w:val="restart"/>
            <w:shd w:val="clear" w:color="auto" w:fill="D91E18"/>
          </w:tcPr>
          <w:p>
            <w:pPr>
              <w:ind w:left="80"/>
              <w:spacing w:after="0"/>
              <w:rPr>
                <w:sz w:val="20"/>
                <w:szCs w:val="20"/>
                <w:color w:val="auto"/>
              </w:rPr>
            </w:pPr>
            <w:r>
              <w:rPr>
                <w:rFonts w:ascii="Arial" w:cs="Arial" w:eastAsia="Arial" w:hAnsi="Arial"/>
                <w:sz w:val="18"/>
                <w:szCs w:val="18"/>
                <w:b w:val="1"/>
                <w:bCs w:val="1"/>
                <w:color w:val="FFFFFF"/>
              </w:rPr>
              <w:t>Performance Component</w:t>
            </w:r>
          </w:p>
        </w:tc>
        <w:tc>
          <w:tcPr>
            <w:tcW w:w="1460" w:type="dxa"/>
            <w:vAlign w:val="bottom"/>
            <w:tcBorders>
              <w:right w:val="single" w:sz="8" w:color="E5E5E5"/>
            </w:tcBorders>
            <w:shd w:val="clear" w:color="auto" w:fill="D91E18"/>
          </w:tcPr>
          <w:p>
            <w:pPr>
              <w:jc w:val="center"/>
              <w:spacing w:after="0" w:line="176" w:lineRule="exact"/>
              <w:rPr>
                <w:sz w:val="20"/>
                <w:szCs w:val="20"/>
                <w:color w:val="auto"/>
              </w:rPr>
            </w:pPr>
            <w:r>
              <w:rPr>
                <w:rFonts w:ascii="Arial" w:cs="Arial" w:eastAsia="Arial" w:hAnsi="Arial"/>
                <w:sz w:val="18"/>
                <w:szCs w:val="18"/>
                <w:b w:val="1"/>
                <w:bCs w:val="1"/>
                <w:color w:val="FFFFFF"/>
                <w:w w:val="99"/>
              </w:rPr>
              <w:t>Achievement</w:t>
            </w:r>
          </w:p>
        </w:tc>
        <w:tc>
          <w:tcPr>
            <w:tcW w:w="300" w:type="dxa"/>
            <w:vAlign w:val="bottom"/>
            <w:shd w:val="clear" w:color="auto" w:fill="D91E18"/>
          </w:tcPr>
          <w:p>
            <w:pPr>
              <w:spacing w:after="0"/>
              <w:rPr>
                <w:sz w:val="15"/>
                <w:szCs w:val="15"/>
                <w:color w:val="auto"/>
              </w:rPr>
            </w:pPr>
          </w:p>
        </w:tc>
        <w:tc>
          <w:tcPr>
            <w:tcW w:w="1160" w:type="dxa"/>
            <w:vAlign w:val="bottom"/>
            <w:vMerge w:val="restart"/>
            <w:shd w:val="clear" w:color="auto" w:fill="D91E18"/>
          </w:tcPr>
          <w:p>
            <w:pPr>
              <w:jc w:val="center"/>
              <w:spacing w:after="0"/>
              <w:rPr>
                <w:sz w:val="20"/>
                <w:szCs w:val="20"/>
                <w:color w:val="auto"/>
              </w:rPr>
            </w:pPr>
            <w:r>
              <w:rPr>
                <w:rFonts w:ascii="Arial" w:cs="Arial" w:eastAsia="Arial" w:hAnsi="Arial"/>
                <w:sz w:val="18"/>
                <w:szCs w:val="18"/>
                <w:b w:val="1"/>
                <w:bCs w:val="1"/>
                <w:color w:val="FFFFFF"/>
                <w:w w:val="98"/>
              </w:rPr>
              <w:t>Weighting</w:t>
            </w:r>
          </w:p>
        </w:tc>
        <w:tc>
          <w:tcPr>
            <w:tcW w:w="340" w:type="dxa"/>
            <w:vAlign w:val="bottom"/>
            <w:tcBorders>
              <w:right w:val="single" w:sz="8" w:color="D91E18"/>
            </w:tcBorders>
            <w:shd w:val="clear" w:color="auto" w:fill="D91E18"/>
          </w:tcPr>
          <w:p>
            <w:pPr>
              <w:spacing w:after="0"/>
              <w:rPr>
                <w:sz w:val="15"/>
                <w:szCs w:val="15"/>
                <w:color w:val="auto"/>
              </w:rPr>
            </w:pPr>
          </w:p>
        </w:tc>
        <w:tc>
          <w:tcPr>
            <w:tcW w:w="1500" w:type="dxa"/>
            <w:vAlign w:val="bottom"/>
            <w:tcBorders>
              <w:right w:val="single" w:sz="8" w:color="D91E18"/>
            </w:tcBorders>
            <w:vMerge w:val="continue"/>
            <w:shd w:val="clear" w:color="auto" w:fill="D91E18"/>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500" w:type="dxa"/>
            <w:vAlign w:val="bottom"/>
            <w:tcBorders>
              <w:left w:val="single" w:sz="8" w:color="E5E5E5"/>
              <w:right w:val="single" w:sz="8" w:color="E5E5E5"/>
            </w:tcBorders>
            <w:vMerge w:val="continue"/>
            <w:shd w:val="clear" w:color="auto" w:fill="D91E18"/>
          </w:tcPr>
          <w:p>
            <w:pPr>
              <w:spacing w:after="0"/>
              <w:rPr>
                <w:sz w:val="21"/>
                <w:szCs w:val="21"/>
                <w:color w:val="auto"/>
              </w:rPr>
            </w:pPr>
          </w:p>
        </w:tc>
        <w:tc>
          <w:tcPr>
            <w:tcW w:w="1460" w:type="dxa"/>
            <w:vAlign w:val="bottom"/>
            <w:tcBorders>
              <w:right w:val="single" w:sz="8" w:color="E5E5E5"/>
            </w:tcBorders>
            <w:shd w:val="clear" w:color="auto" w:fill="D91E18"/>
          </w:tcPr>
          <w:p>
            <w:pPr>
              <w:jc w:val="center"/>
              <w:spacing w:after="0"/>
              <w:rPr>
                <w:sz w:val="20"/>
                <w:szCs w:val="20"/>
                <w:color w:val="auto"/>
              </w:rPr>
            </w:pPr>
            <w:r>
              <w:rPr>
                <w:rFonts w:ascii="Arial" w:cs="Arial" w:eastAsia="Arial" w:hAnsi="Arial"/>
                <w:sz w:val="18"/>
                <w:szCs w:val="18"/>
                <w:b w:val="1"/>
                <w:bCs w:val="1"/>
                <w:color w:val="FFFFFF"/>
                <w:w w:val="99"/>
              </w:rPr>
              <w:t>(% of Target)</w:t>
            </w:r>
          </w:p>
        </w:tc>
        <w:tc>
          <w:tcPr>
            <w:tcW w:w="300" w:type="dxa"/>
            <w:vAlign w:val="bottom"/>
            <w:shd w:val="clear" w:color="auto" w:fill="D91E18"/>
          </w:tcPr>
          <w:p>
            <w:pPr>
              <w:spacing w:after="0"/>
              <w:rPr>
                <w:sz w:val="21"/>
                <w:szCs w:val="21"/>
                <w:color w:val="auto"/>
              </w:rPr>
            </w:pPr>
          </w:p>
        </w:tc>
        <w:tc>
          <w:tcPr>
            <w:tcW w:w="1160" w:type="dxa"/>
            <w:vAlign w:val="bottom"/>
            <w:vMerge w:val="continue"/>
            <w:shd w:val="clear" w:color="auto" w:fill="D91E18"/>
          </w:tcPr>
          <w:p>
            <w:pPr>
              <w:spacing w:after="0"/>
              <w:rPr>
                <w:sz w:val="21"/>
                <w:szCs w:val="21"/>
                <w:color w:val="auto"/>
              </w:rPr>
            </w:pPr>
          </w:p>
        </w:tc>
        <w:tc>
          <w:tcPr>
            <w:tcW w:w="340" w:type="dxa"/>
            <w:vAlign w:val="bottom"/>
            <w:tcBorders>
              <w:right w:val="single" w:sz="8" w:color="D91E18"/>
            </w:tcBorders>
            <w:shd w:val="clear" w:color="auto" w:fill="D91E18"/>
          </w:tcPr>
          <w:p>
            <w:pPr>
              <w:spacing w:after="0"/>
              <w:rPr>
                <w:sz w:val="21"/>
                <w:szCs w:val="21"/>
                <w:color w:val="auto"/>
              </w:rPr>
            </w:pPr>
          </w:p>
        </w:tc>
        <w:tc>
          <w:tcPr>
            <w:tcW w:w="1500" w:type="dxa"/>
            <w:vAlign w:val="bottom"/>
            <w:tcBorders>
              <w:right w:val="single" w:sz="8" w:color="D91E18"/>
            </w:tcBorders>
            <w:shd w:val="clear" w:color="auto" w:fill="D91E18"/>
          </w:tcPr>
          <w:p>
            <w:pPr>
              <w:jc w:val="center"/>
              <w:spacing w:after="0"/>
              <w:rPr>
                <w:sz w:val="20"/>
                <w:szCs w:val="20"/>
                <w:color w:val="auto"/>
              </w:rPr>
            </w:pPr>
            <w:r>
              <w:rPr>
                <w:rFonts w:ascii="Arial" w:cs="Arial" w:eastAsia="Arial" w:hAnsi="Arial"/>
                <w:sz w:val="18"/>
                <w:szCs w:val="18"/>
                <w:b w:val="1"/>
                <w:bCs w:val="1"/>
                <w:color w:val="FFFFFF"/>
                <w:w w:val="98"/>
              </w:rPr>
              <w:t>(% of Target)</w:t>
            </w:r>
          </w:p>
        </w:tc>
        <w:tc>
          <w:tcPr>
            <w:tcW w:w="0" w:type="dxa"/>
            <w:vAlign w:val="bottom"/>
          </w:tcPr>
          <w:p>
            <w:pPr>
              <w:spacing w:after="0"/>
              <w:rPr>
                <w:sz w:val="1"/>
                <w:szCs w:val="1"/>
                <w:color w:val="auto"/>
              </w:rPr>
            </w:pPr>
          </w:p>
        </w:tc>
      </w:tr>
      <w:tr>
        <w:trPr>
          <w:trHeight w:val="257"/>
        </w:trPr>
        <w:tc>
          <w:tcPr>
            <w:tcW w:w="6500" w:type="dxa"/>
            <w:vAlign w:val="bottom"/>
            <w:tcBorders>
              <w:left w:val="single" w:sz="8" w:color="E5E5E5"/>
              <w:right w:val="single" w:sz="8" w:color="E5E5E5"/>
            </w:tcBorders>
            <w:shd w:val="clear" w:color="auto" w:fill="D9D9D9"/>
          </w:tcPr>
          <w:p>
            <w:pPr>
              <w:ind w:left="80"/>
              <w:spacing w:after="0"/>
              <w:rPr>
                <w:sz w:val="20"/>
                <w:szCs w:val="20"/>
                <w:color w:val="auto"/>
              </w:rPr>
            </w:pPr>
            <w:r>
              <w:rPr>
                <w:rFonts w:ascii="Arial" w:cs="Arial" w:eastAsia="Arial" w:hAnsi="Arial"/>
                <w:sz w:val="18"/>
                <w:szCs w:val="18"/>
                <w:color w:val="auto"/>
              </w:rPr>
              <w:t>EBITDA</w:t>
            </w:r>
          </w:p>
        </w:tc>
        <w:tc>
          <w:tcPr>
            <w:tcW w:w="1460" w:type="dxa"/>
            <w:vAlign w:val="bottom"/>
            <w:tcBorders>
              <w:right w:val="single" w:sz="8" w:color="E5E5E5"/>
            </w:tcBorders>
            <w:shd w:val="clear" w:color="auto" w:fill="D9D9D9"/>
          </w:tcPr>
          <w:p>
            <w:pPr>
              <w:jc w:val="center"/>
              <w:spacing w:after="0"/>
              <w:rPr>
                <w:sz w:val="20"/>
                <w:szCs w:val="20"/>
                <w:color w:val="auto"/>
              </w:rPr>
            </w:pPr>
            <w:r>
              <w:rPr>
                <w:rFonts w:ascii="Arial" w:cs="Arial" w:eastAsia="Arial" w:hAnsi="Arial"/>
                <w:sz w:val="18"/>
                <w:szCs w:val="18"/>
                <w:color w:val="auto"/>
                <w:w w:val="99"/>
              </w:rPr>
              <w:t>69%</w:t>
            </w:r>
          </w:p>
        </w:tc>
        <w:tc>
          <w:tcPr>
            <w:tcW w:w="300" w:type="dxa"/>
            <w:vAlign w:val="bottom"/>
            <w:shd w:val="clear" w:color="auto" w:fill="D9D9D9"/>
          </w:tcPr>
          <w:p>
            <w:pPr>
              <w:ind w:left="60"/>
              <w:spacing w:after="0"/>
              <w:rPr>
                <w:sz w:val="20"/>
                <w:szCs w:val="20"/>
                <w:color w:val="auto"/>
              </w:rPr>
            </w:pPr>
            <w:r>
              <w:rPr>
                <w:rFonts w:ascii="Arial" w:cs="Arial" w:eastAsia="Arial" w:hAnsi="Arial"/>
                <w:sz w:val="18"/>
                <w:szCs w:val="18"/>
                <w:color w:val="auto"/>
              </w:rPr>
              <w:t>x</w:t>
            </w:r>
          </w:p>
        </w:tc>
        <w:tc>
          <w:tcPr>
            <w:tcW w:w="1160" w:type="dxa"/>
            <w:vAlign w:val="bottom"/>
            <w:shd w:val="clear" w:color="auto" w:fill="D9D9D9"/>
          </w:tcPr>
          <w:p>
            <w:pPr>
              <w:jc w:val="center"/>
              <w:spacing w:after="0"/>
              <w:rPr>
                <w:sz w:val="20"/>
                <w:szCs w:val="20"/>
                <w:color w:val="auto"/>
              </w:rPr>
            </w:pPr>
            <w:r>
              <w:rPr>
                <w:rFonts w:ascii="Arial" w:cs="Arial" w:eastAsia="Arial" w:hAnsi="Arial"/>
                <w:sz w:val="18"/>
                <w:szCs w:val="18"/>
                <w:color w:val="auto"/>
                <w:w w:val="99"/>
              </w:rPr>
              <w:t>80%</w:t>
            </w:r>
          </w:p>
        </w:tc>
        <w:tc>
          <w:tcPr>
            <w:tcW w:w="340" w:type="dxa"/>
            <w:vAlign w:val="bottom"/>
            <w:tcBorders>
              <w:right w:val="single" w:sz="8" w:color="E5E5E5"/>
            </w:tcBorders>
            <w:shd w:val="clear" w:color="auto" w:fill="D9D9D9"/>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tcBorders>
              <w:right w:val="single" w:sz="8" w:color="E5E5E5"/>
            </w:tcBorders>
            <w:shd w:val="clear" w:color="auto" w:fill="D9D9D9"/>
          </w:tcPr>
          <w:p>
            <w:pPr>
              <w:jc w:val="center"/>
              <w:spacing w:after="0"/>
              <w:rPr>
                <w:sz w:val="20"/>
                <w:szCs w:val="20"/>
                <w:color w:val="auto"/>
              </w:rPr>
            </w:pPr>
            <w:r>
              <w:rPr>
                <w:rFonts w:ascii="Arial" w:cs="Arial" w:eastAsia="Arial" w:hAnsi="Arial"/>
                <w:sz w:val="18"/>
                <w:szCs w:val="18"/>
                <w:color w:val="auto"/>
                <w:w w:val="99"/>
              </w:rPr>
              <w:t>55%</w:t>
            </w:r>
          </w:p>
        </w:tc>
        <w:tc>
          <w:tcPr>
            <w:tcW w:w="0" w:type="dxa"/>
            <w:vAlign w:val="bottom"/>
          </w:tcPr>
          <w:p>
            <w:pPr>
              <w:spacing w:after="0"/>
              <w:rPr>
                <w:sz w:val="1"/>
                <w:szCs w:val="1"/>
                <w:color w:val="auto"/>
              </w:rPr>
            </w:pPr>
          </w:p>
        </w:tc>
      </w:tr>
      <w:tr>
        <w:trPr>
          <w:trHeight w:val="176"/>
        </w:trPr>
        <w:tc>
          <w:tcPr>
            <w:tcW w:w="6500" w:type="dxa"/>
            <w:vAlign w:val="bottom"/>
            <w:tcBorders>
              <w:left w:val="single" w:sz="8" w:color="E5E5E5"/>
              <w:right w:val="single" w:sz="8" w:color="E5E5E5"/>
            </w:tcBorders>
          </w:tcPr>
          <w:p>
            <w:pPr>
              <w:ind w:left="80"/>
              <w:spacing w:after="0" w:line="176" w:lineRule="exact"/>
              <w:rPr>
                <w:sz w:val="20"/>
                <w:szCs w:val="20"/>
                <w:color w:val="auto"/>
              </w:rPr>
            </w:pPr>
            <w:r>
              <w:rPr>
                <w:rFonts w:ascii="Arial" w:cs="Arial" w:eastAsia="Arial" w:hAnsi="Arial"/>
                <w:sz w:val="18"/>
                <w:szCs w:val="18"/>
                <w:color w:val="auto"/>
              </w:rPr>
              <w:t>Strategic Objectives: Acquisition Integration Success, Advancement of ESG</w:t>
            </w:r>
          </w:p>
        </w:tc>
        <w:tc>
          <w:tcPr>
            <w:tcW w:w="1460" w:type="dxa"/>
            <w:vAlign w:val="bottom"/>
            <w:tcBorders>
              <w:right w:val="single" w:sz="8" w:color="E5E5E5"/>
            </w:tcBorders>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vMerge w:val="restart"/>
          </w:tcPr>
          <w:p>
            <w:pPr>
              <w:jc w:val="center"/>
              <w:spacing w:after="0"/>
              <w:rPr>
                <w:sz w:val="20"/>
                <w:szCs w:val="20"/>
                <w:color w:val="auto"/>
              </w:rPr>
            </w:pPr>
            <w:r>
              <w:rPr>
                <w:rFonts w:ascii="Arial" w:cs="Arial" w:eastAsia="Arial" w:hAnsi="Arial"/>
                <w:sz w:val="18"/>
                <w:szCs w:val="18"/>
                <w:color w:val="auto"/>
              </w:rPr>
              <w:t>0 to 40%</w:t>
            </w:r>
          </w:p>
        </w:tc>
        <w:tc>
          <w:tcPr>
            <w:tcW w:w="340" w:type="dxa"/>
            <w:vAlign w:val="bottom"/>
            <w:tcBorders>
              <w:right w:val="single" w:sz="8" w:color="E5E5E5"/>
            </w:tcBorders>
            <w:vMerge w:val="restart"/>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right w:val="single" w:sz="8" w:color="E5E5E5"/>
            </w:tcBorders>
            <w:vMerge w:val="restart"/>
          </w:tcPr>
          <w:p>
            <w:pPr>
              <w:jc w:val="center"/>
              <w:spacing w:after="0"/>
              <w:rPr>
                <w:sz w:val="20"/>
                <w:szCs w:val="20"/>
                <w:color w:val="auto"/>
              </w:rPr>
            </w:pPr>
            <w:r>
              <w:rPr>
                <w:rFonts w:ascii="Arial" w:cs="Arial" w:eastAsia="Arial" w:hAnsi="Arial"/>
                <w:sz w:val="18"/>
                <w:szCs w:val="18"/>
                <w:color w:val="auto"/>
                <w:w w:val="99"/>
              </w:rPr>
              <w:t>30%</w:t>
            </w:r>
          </w:p>
        </w:tc>
        <w:tc>
          <w:tcPr>
            <w:tcW w:w="0" w:type="dxa"/>
            <w:vAlign w:val="bottom"/>
          </w:tcPr>
          <w:p>
            <w:pPr>
              <w:spacing w:after="0"/>
              <w:rPr>
                <w:sz w:val="1"/>
                <w:szCs w:val="1"/>
                <w:color w:val="auto"/>
              </w:rPr>
            </w:pPr>
          </w:p>
        </w:tc>
      </w:tr>
      <w:tr>
        <w:trPr>
          <w:trHeight w:val="153"/>
        </w:trPr>
        <w:tc>
          <w:tcPr>
            <w:tcW w:w="6500" w:type="dxa"/>
            <w:vAlign w:val="bottom"/>
            <w:tcBorders>
              <w:left w:val="single" w:sz="8" w:color="E5E5E5"/>
              <w:right w:val="single" w:sz="8" w:color="E5E5E5"/>
            </w:tcBorders>
            <w:vMerge w:val="restart"/>
          </w:tcPr>
          <w:p>
            <w:pPr>
              <w:ind w:left="80"/>
              <w:spacing w:after="0"/>
              <w:rPr>
                <w:sz w:val="20"/>
                <w:szCs w:val="20"/>
                <w:color w:val="auto"/>
              </w:rPr>
            </w:pPr>
            <w:r>
              <w:rPr>
                <w:rFonts w:ascii="Arial" w:cs="Arial" w:eastAsia="Arial" w:hAnsi="Arial"/>
                <w:sz w:val="18"/>
                <w:szCs w:val="18"/>
                <w:color w:val="auto"/>
              </w:rPr>
              <w:t>Strategy, and Operating Margin Relative to Peers</w:t>
            </w:r>
          </w:p>
        </w:tc>
        <w:tc>
          <w:tcPr>
            <w:tcW w:w="1460" w:type="dxa"/>
            <w:vAlign w:val="bottom"/>
            <w:tcBorders>
              <w:right w:val="single" w:sz="8" w:color="E5E5E5"/>
            </w:tcBorders>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340" w:type="dxa"/>
            <w:vAlign w:val="bottom"/>
            <w:tcBorders>
              <w:right w:val="single" w:sz="8" w:color="E5E5E5"/>
            </w:tcBorders>
            <w:vMerge w:val="continue"/>
          </w:tcPr>
          <w:p>
            <w:pPr>
              <w:spacing w:after="0"/>
              <w:rPr>
                <w:sz w:val="13"/>
                <w:szCs w:val="13"/>
                <w:color w:val="auto"/>
              </w:rPr>
            </w:pPr>
          </w:p>
        </w:tc>
        <w:tc>
          <w:tcPr>
            <w:tcW w:w="1500" w:type="dxa"/>
            <w:vAlign w:val="bottom"/>
            <w:tcBorders>
              <w:right w:val="single" w:sz="8" w:color="E5E5E5"/>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6500" w:type="dxa"/>
            <w:vAlign w:val="bottom"/>
            <w:tcBorders>
              <w:left w:val="single" w:sz="8" w:color="E5E5E5"/>
              <w:right w:val="single" w:sz="8" w:color="E5E5E5"/>
            </w:tcBorders>
            <w:vMerge w:val="continue"/>
          </w:tcPr>
          <w:p>
            <w:pPr>
              <w:spacing w:after="0"/>
              <w:rPr>
                <w:sz w:val="7"/>
                <w:szCs w:val="7"/>
                <w:color w:val="auto"/>
              </w:rPr>
            </w:pPr>
          </w:p>
        </w:tc>
        <w:tc>
          <w:tcPr>
            <w:tcW w:w="1460" w:type="dxa"/>
            <w:vAlign w:val="bottom"/>
            <w:tcBorders>
              <w:right w:val="single" w:sz="8" w:color="E5E5E5"/>
            </w:tcBorders>
          </w:tcPr>
          <w:p>
            <w:pPr>
              <w:spacing w:after="0"/>
              <w:rPr>
                <w:sz w:val="7"/>
                <w:szCs w:val="7"/>
                <w:color w:val="auto"/>
              </w:rPr>
            </w:pPr>
          </w:p>
        </w:tc>
        <w:tc>
          <w:tcPr>
            <w:tcW w:w="3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340" w:type="dxa"/>
            <w:vAlign w:val="bottom"/>
            <w:tcBorders>
              <w:right w:val="single" w:sz="8" w:color="E5E5E5"/>
            </w:tcBorders>
          </w:tcPr>
          <w:p>
            <w:pPr>
              <w:spacing w:after="0"/>
              <w:rPr>
                <w:sz w:val="7"/>
                <w:szCs w:val="7"/>
                <w:color w:val="auto"/>
              </w:rPr>
            </w:pPr>
          </w:p>
        </w:tc>
        <w:tc>
          <w:tcPr>
            <w:tcW w:w="1500" w:type="dxa"/>
            <w:vAlign w:val="bottom"/>
            <w:tcBorders>
              <w:right w:val="single" w:sz="8" w:color="E5E5E5"/>
            </w:tcBorders>
          </w:tcPr>
          <w:p>
            <w:pPr>
              <w:spacing w:after="0"/>
              <w:rPr>
                <w:sz w:val="7"/>
                <w:szCs w:val="7"/>
                <w:color w:val="auto"/>
              </w:rPr>
            </w:pPr>
          </w:p>
        </w:tc>
        <w:tc>
          <w:tcPr>
            <w:tcW w:w="0" w:type="dxa"/>
            <w:vAlign w:val="bottom"/>
          </w:tcPr>
          <w:p>
            <w:pPr>
              <w:spacing w:after="0"/>
              <w:rPr>
                <w:sz w:val="1"/>
                <w:szCs w:val="1"/>
                <w:color w:val="auto"/>
              </w:rPr>
            </w:pPr>
          </w:p>
        </w:tc>
      </w:tr>
      <w:tr>
        <w:trPr>
          <w:trHeight w:val="259"/>
        </w:trPr>
        <w:tc>
          <w:tcPr>
            <w:tcW w:w="6500" w:type="dxa"/>
            <w:vAlign w:val="bottom"/>
            <w:tcBorders>
              <w:left w:val="single" w:sz="8" w:color="E5E5E5"/>
              <w:right w:val="single" w:sz="8" w:color="E5E5E5"/>
            </w:tcBorders>
            <w:shd w:val="clear" w:color="auto" w:fill="D9D9D9"/>
          </w:tcPr>
          <w:p>
            <w:pPr>
              <w:ind w:left="80"/>
              <w:spacing w:after="0"/>
              <w:rPr>
                <w:sz w:val="20"/>
                <w:szCs w:val="20"/>
                <w:color w:val="auto"/>
              </w:rPr>
            </w:pPr>
            <w:r>
              <w:rPr>
                <w:rFonts w:ascii="Arial" w:cs="Arial" w:eastAsia="Arial" w:hAnsi="Arial"/>
                <w:sz w:val="18"/>
                <w:szCs w:val="18"/>
                <w:color w:val="auto"/>
              </w:rPr>
              <w:t>Committee Review of Other Strategic Initiatives</w:t>
            </w:r>
          </w:p>
        </w:tc>
        <w:tc>
          <w:tcPr>
            <w:tcW w:w="1460" w:type="dxa"/>
            <w:vAlign w:val="bottom"/>
            <w:tcBorders>
              <w:right w:val="single" w:sz="8" w:color="E5E5E5"/>
            </w:tcBorders>
            <w:shd w:val="clear" w:color="auto" w:fill="D9D9D9"/>
          </w:tcPr>
          <w:p>
            <w:pPr>
              <w:spacing w:after="0"/>
              <w:rPr>
                <w:sz w:val="22"/>
                <w:szCs w:val="22"/>
                <w:color w:val="auto"/>
              </w:rPr>
            </w:pPr>
          </w:p>
        </w:tc>
        <w:tc>
          <w:tcPr>
            <w:tcW w:w="300" w:type="dxa"/>
            <w:vAlign w:val="bottom"/>
            <w:shd w:val="clear" w:color="auto" w:fill="D9D9D9"/>
          </w:tcPr>
          <w:p>
            <w:pPr>
              <w:spacing w:after="0"/>
              <w:rPr>
                <w:sz w:val="22"/>
                <w:szCs w:val="22"/>
                <w:color w:val="auto"/>
              </w:rPr>
            </w:pPr>
          </w:p>
        </w:tc>
        <w:tc>
          <w:tcPr>
            <w:tcW w:w="1160" w:type="dxa"/>
            <w:vAlign w:val="bottom"/>
            <w:shd w:val="clear" w:color="auto" w:fill="D9D9D9"/>
          </w:tcPr>
          <w:p>
            <w:pPr>
              <w:jc w:val="center"/>
              <w:spacing w:after="0"/>
              <w:rPr>
                <w:sz w:val="20"/>
                <w:szCs w:val="20"/>
                <w:color w:val="auto"/>
              </w:rPr>
            </w:pPr>
            <w:r>
              <w:rPr>
                <w:rFonts w:ascii="Arial" w:cs="Arial" w:eastAsia="Arial" w:hAnsi="Arial"/>
                <w:sz w:val="18"/>
                <w:szCs w:val="18"/>
                <w:color w:val="auto"/>
                <w:w w:val="99"/>
              </w:rPr>
              <w:t>Up to 10%</w:t>
            </w:r>
          </w:p>
        </w:tc>
        <w:tc>
          <w:tcPr>
            <w:tcW w:w="340" w:type="dxa"/>
            <w:vAlign w:val="bottom"/>
            <w:tcBorders>
              <w:right w:val="single" w:sz="8" w:color="E5E5E5"/>
            </w:tcBorders>
            <w:shd w:val="clear" w:color="auto" w:fill="D9D9D9"/>
          </w:tcPr>
          <w:p>
            <w:pPr>
              <w:spacing w:after="0"/>
              <w:rPr>
                <w:sz w:val="22"/>
                <w:szCs w:val="22"/>
                <w:color w:val="auto"/>
              </w:rPr>
            </w:pPr>
          </w:p>
        </w:tc>
        <w:tc>
          <w:tcPr>
            <w:tcW w:w="1500" w:type="dxa"/>
            <w:vAlign w:val="bottom"/>
            <w:tcBorders>
              <w:right w:val="single" w:sz="8" w:color="E5E5E5"/>
            </w:tcBorders>
            <w:shd w:val="clear" w:color="auto" w:fill="D9D9D9"/>
          </w:tcPr>
          <w:p>
            <w:pPr>
              <w:jc w:val="center"/>
              <w:spacing w:after="0"/>
              <w:rPr>
                <w:sz w:val="20"/>
                <w:szCs w:val="20"/>
                <w:color w:val="auto"/>
              </w:rPr>
            </w:pPr>
            <w:r>
              <w:rPr>
                <w:rFonts w:ascii="Arial" w:cs="Arial" w:eastAsia="Arial" w:hAnsi="Arial"/>
                <w:sz w:val="18"/>
                <w:szCs w:val="18"/>
                <w:color w:val="auto"/>
                <w:w w:val="99"/>
              </w:rPr>
              <w:t>10%</w:t>
            </w:r>
          </w:p>
        </w:tc>
        <w:tc>
          <w:tcPr>
            <w:tcW w:w="0" w:type="dxa"/>
            <w:vAlign w:val="bottom"/>
          </w:tcPr>
          <w:p>
            <w:pPr>
              <w:spacing w:after="0"/>
              <w:rPr>
                <w:sz w:val="1"/>
                <w:szCs w:val="1"/>
                <w:color w:val="auto"/>
              </w:rPr>
            </w:pPr>
          </w:p>
        </w:tc>
      </w:tr>
      <w:tr>
        <w:trPr>
          <w:trHeight w:val="230"/>
        </w:trPr>
        <w:tc>
          <w:tcPr>
            <w:tcW w:w="6500" w:type="dxa"/>
            <w:vAlign w:val="bottom"/>
            <w:tcBorders>
              <w:left w:val="single" w:sz="8" w:color="E5E5E5"/>
              <w:bottom w:val="single" w:sz="8" w:color="E5E5E5"/>
              <w:right w:val="single" w:sz="8" w:color="E5E5E5"/>
            </w:tcBorders>
          </w:tcPr>
          <w:p>
            <w:pPr>
              <w:ind w:left="80"/>
              <w:spacing w:after="0"/>
              <w:rPr>
                <w:sz w:val="20"/>
                <w:szCs w:val="20"/>
                <w:color w:val="auto"/>
              </w:rPr>
            </w:pPr>
            <w:r>
              <w:rPr>
                <w:rFonts w:ascii="Arial" w:cs="Arial" w:eastAsia="Arial" w:hAnsi="Arial"/>
                <w:sz w:val="18"/>
                <w:szCs w:val="18"/>
                <w:color w:val="auto"/>
              </w:rPr>
              <w:t>Final Payout</w:t>
            </w:r>
          </w:p>
        </w:tc>
        <w:tc>
          <w:tcPr>
            <w:tcW w:w="1460" w:type="dxa"/>
            <w:vAlign w:val="bottom"/>
            <w:tcBorders>
              <w:bottom w:val="single" w:sz="8" w:color="E5E5E5"/>
              <w:right w:val="single" w:sz="8" w:color="E5E5E5"/>
            </w:tcBorders>
          </w:tcPr>
          <w:p>
            <w:pPr>
              <w:spacing w:after="0"/>
              <w:rPr>
                <w:sz w:val="19"/>
                <w:szCs w:val="19"/>
                <w:color w:val="auto"/>
              </w:rPr>
            </w:pPr>
          </w:p>
        </w:tc>
        <w:tc>
          <w:tcPr>
            <w:tcW w:w="300" w:type="dxa"/>
            <w:vAlign w:val="bottom"/>
            <w:tcBorders>
              <w:bottom w:val="single" w:sz="8" w:color="E5E5E5"/>
            </w:tcBorders>
          </w:tcPr>
          <w:p>
            <w:pPr>
              <w:spacing w:after="0"/>
              <w:rPr>
                <w:sz w:val="19"/>
                <w:szCs w:val="19"/>
                <w:color w:val="auto"/>
              </w:rPr>
            </w:pPr>
          </w:p>
        </w:tc>
        <w:tc>
          <w:tcPr>
            <w:tcW w:w="1160" w:type="dxa"/>
            <w:vAlign w:val="bottom"/>
            <w:tcBorders>
              <w:bottom w:val="single" w:sz="8" w:color="E5E5E5"/>
            </w:tcBorders>
          </w:tcPr>
          <w:p>
            <w:pPr>
              <w:spacing w:after="0"/>
              <w:rPr>
                <w:sz w:val="19"/>
                <w:szCs w:val="19"/>
                <w:color w:val="auto"/>
              </w:rPr>
            </w:pPr>
          </w:p>
        </w:tc>
        <w:tc>
          <w:tcPr>
            <w:tcW w:w="340" w:type="dxa"/>
            <w:vAlign w:val="bottom"/>
            <w:tcBorders>
              <w:bottom w:val="single" w:sz="8" w:color="E5E5E5"/>
              <w:right w:val="single" w:sz="8" w:color="E5E5E5"/>
            </w:tcBorders>
          </w:tcPr>
          <w:p>
            <w:pPr>
              <w:spacing w:after="0"/>
              <w:rPr>
                <w:sz w:val="19"/>
                <w:szCs w:val="19"/>
                <w:color w:val="auto"/>
              </w:rPr>
            </w:pPr>
          </w:p>
        </w:tc>
        <w:tc>
          <w:tcPr>
            <w:tcW w:w="1500" w:type="dxa"/>
            <w:vAlign w:val="bottom"/>
            <w:tcBorders>
              <w:bottom w:val="single" w:sz="8" w:color="E5E5E5"/>
              <w:right w:val="single" w:sz="8" w:color="E5E5E5"/>
            </w:tcBorders>
          </w:tcPr>
          <w:p>
            <w:pPr>
              <w:jc w:val="center"/>
              <w:spacing w:after="0"/>
              <w:rPr>
                <w:sz w:val="20"/>
                <w:szCs w:val="20"/>
                <w:color w:val="auto"/>
              </w:rPr>
            </w:pPr>
            <w:r>
              <w:rPr>
                <w:rFonts w:ascii="Arial" w:cs="Arial" w:eastAsia="Arial" w:hAnsi="Arial"/>
                <w:sz w:val="18"/>
                <w:szCs w:val="18"/>
                <w:color w:val="auto"/>
                <w:w w:val="99"/>
              </w:rPr>
              <w:t>95%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-162560</wp:posOffset>
            </wp:positionV>
            <wp:extent cx="8890" cy="1631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-162560</wp:posOffset>
            </wp:positionV>
            <wp:extent cx="8255" cy="1631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255" cy="16319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-591185</wp:posOffset>
            </wp:positionV>
            <wp:extent cx="8890" cy="2832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890" cy="28321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-591185</wp:posOffset>
            </wp:positionV>
            <wp:extent cx="8255" cy="2832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255" cy="283210"/>
                    </a:xfrm>
                    <a:prstGeom prst="rect">
                      <a:avLst/>
                    </a:prstGeom>
                    <a:noFill/>
                  </pic:spPr>
                </pic:pic>
              </a:graphicData>
            </a:graphic>
          </wp:anchor>
        </w:drawing>
      </w:r>
    </w:p>
    <w:p>
      <w:pPr>
        <w:spacing w:after="0" w:line="164" w:lineRule="exact"/>
        <w:rPr>
          <w:sz w:val="20"/>
          <w:szCs w:val="20"/>
          <w:color w:val="auto"/>
        </w:rPr>
      </w:pPr>
    </w:p>
    <w:p>
      <w:pPr>
        <w:ind w:right="620"/>
        <w:spacing w:after="0" w:line="287" w:lineRule="auto"/>
        <w:rPr>
          <w:sz w:val="20"/>
          <w:szCs w:val="20"/>
          <w:color w:val="auto"/>
        </w:rPr>
      </w:pPr>
      <w:r>
        <w:rPr>
          <w:rFonts w:ascii="Arial" w:cs="Arial" w:eastAsia="Arial" w:hAnsi="Arial"/>
          <w:sz w:val="18"/>
          <w:szCs w:val="18"/>
          <w:color w:val="auto"/>
        </w:rPr>
        <w:t>The various incentive opportunities (as a percentage of base salary) and actual dollar amounts paid pursuant to the 2024 annual cash incentive plan are detailed in the table below.</w:t>
      </w:r>
    </w:p>
    <w:p>
      <w:pPr>
        <w:spacing w:after="0" w:line="73"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3160" w:type="dxa"/>
            <w:vAlign w:val="bottom"/>
            <w:tcBorders>
              <w:left w:val="single" w:sz="8" w:color="E5E5E5"/>
              <w:right w:val="single" w:sz="8" w:color="E5E5E5"/>
            </w:tcBorders>
            <w:shd w:val="clear" w:color="auto" w:fill="D91E18"/>
          </w:tcPr>
          <w:p>
            <w:pPr>
              <w:spacing w:after="0"/>
              <w:rPr>
                <w:sz w:val="17"/>
                <w:szCs w:val="17"/>
                <w:color w:val="auto"/>
              </w:rPr>
            </w:pPr>
          </w:p>
        </w:tc>
        <w:tc>
          <w:tcPr>
            <w:tcW w:w="2020" w:type="dxa"/>
            <w:vAlign w:val="bottom"/>
            <w:tcBorders>
              <w:right w:val="single" w:sz="8" w:color="E5E5E5"/>
            </w:tcBorders>
            <w:shd w:val="clear" w:color="auto" w:fill="D91E18"/>
          </w:tcPr>
          <w:p>
            <w:pPr>
              <w:jc w:val="center"/>
              <w:spacing w:after="0"/>
              <w:rPr>
                <w:sz w:val="20"/>
                <w:szCs w:val="20"/>
                <w:color w:val="auto"/>
              </w:rPr>
            </w:pPr>
            <w:r>
              <w:rPr>
                <w:rFonts w:ascii="Arial" w:cs="Arial" w:eastAsia="Arial" w:hAnsi="Arial"/>
                <w:sz w:val="18"/>
                <w:szCs w:val="18"/>
                <w:b w:val="1"/>
                <w:bCs w:val="1"/>
                <w:color w:val="FFFFFF"/>
                <w:w w:val="98"/>
              </w:rPr>
              <w:t>Threshold</w:t>
            </w:r>
          </w:p>
        </w:tc>
        <w:tc>
          <w:tcPr>
            <w:tcW w:w="2000" w:type="dxa"/>
            <w:vAlign w:val="bottom"/>
            <w:tcBorders>
              <w:right w:val="single" w:sz="8" w:color="E5E5E5"/>
            </w:tcBorders>
            <w:vMerge w:val="restart"/>
            <w:shd w:val="clear" w:color="auto" w:fill="D91E18"/>
          </w:tcPr>
          <w:p>
            <w:pPr>
              <w:jc w:val="center"/>
              <w:spacing w:after="0"/>
              <w:rPr>
                <w:sz w:val="20"/>
                <w:szCs w:val="20"/>
                <w:color w:val="auto"/>
              </w:rPr>
            </w:pPr>
            <w:r>
              <w:rPr>
                <w:rFonts w:ascii="Arial" w:cs="Arial" w:eastAsia="Arial" w:hAnsi="Arial"/>
                <w:sz w:val="18"/>
                <w:szCs w:val="18"/>
                <w:b w:val="1"/>
                <w:bCs w:val="1"/>
                <w:color w:val="FFFFFF"/>
                <w:w w:val="99"/>
              </w:rPr>
              <w:t>Target Opportunity</w:t>
            </w:r>
          </w:p>
        </w:tc>
        <w:tc>
          <w:tcPr>
            <w:tcW w:w="2020" w:type="dxa"/>
            <w:vAlign w:val="bottom"/>
            <w:tcBorders>
              <w:right w:val="single" w:sz="8" w:color="E5E5E5"/>
            </w:tcBorders>
            <w:shd w:val="clear" w:color="auto" w:fill="D91E18"/>
          </w:tcPr>
          <w:p>
            <w:pPr>
              <w:jc w:val="center"/>
              <w:spacing w:after="0"/>
              <w:rPr>
                <w:sz w:val="20"/>
                <w:szCs w:val="20"/>
                <w:color w:val="auto"/>
              </w:rPr>
            </w:pPr>
            <w:r>
              <w:rPr>
                <w:rFonts w:ascii="Arial" w:cs="Arial" w:eastAsia="Arial" w:hAnsi="Arial"/>
                <w:sz w:val="18"/>
                <w:szCs w:val="18"/>
                <w:b w:val="1"/>
                <w:bCs w:val="1"/>
                <w:color w:val="FFFFFF"/>
              </w:rPr>
              <w:t>Maximum</w:t>
            </w:r>
          </w:p>
        </w:tc>
        <w:tc>
          <w:tcPr>
            <w:tcW w:w="2040" w:type="dxa"/>
            <w:vAlign w:val="bottom"/>
            <w:tcBorders>
              <w:right w:val="single" w:sz="8" w:color="E5E5E5"/>
            </w:tcBorders>
            <w:gridSpan w:val="2"/>
            <w:vMerge w:val="restart"/>
            <w:shd w:val="clear" w:color="auto" w:fill="D91E18"/>
          </w:tcPr>
          <w:p>
            <w:pPr>
              <w:jc w:val="right"/>
              <w:ind w:right="30"/>
              <w:spacing w:after="0"/>
              <w:rPr>
                <w:sz w:val="20"/>
                <w:szCs w:val="20"/>
                <w:color w:val="auto"/>
              </w:rPr>
            </w:pPr>
            <w:r>
              <w:rPr>
                <w:rFonts w:ascii="Arial" w:cs="Arial" w:eastAsia="Arial" w:hAnsi="Arial"/>
                <w:sz w:val="18"/>
                <w:szCs w:val="18"/>
                <w:b w:val="1"/>
                <w:bCs w:val="1"/>
                <w:color w:val="FFFFFF"/>
              </w:rPr>
              <w:t>Actual Payment (95%</w:t>
            </w:r>
          </w:p>
        </w:tc>
        <w:tc>
          <w:tcPr>
            <w:tcW w:w="0" w:type="dxa"/>
            <w:vAlign w:val="bottom"/>
          </w:tcPr>
          <w:p>
            <w:pPr>
              <w:spacing w:after="0"/>
              <w:rPr>
                <w:sz w:val="1"/>
                <w:szCs w:val="1"/>
                <w:color w:val="auto"/>
              </w:rPr>
            </w:pPr>
          </w:p>
        </w:tc>
      </w:tr>
      <w:tr>
        <w:trPr>
          <w:trHeight w:val="176"/>
        </w:trPr>
        <w:tc>
          <w:tcPr>
            <w:tcW w:w="3160" w:type="dxa"/>
            <w:vAlign w:val="bottom"/>
            <w:tcBorders>
              <w:left w:val="single" w:sz="8" w:color="E5E5E5"/>
              <w:right w:val="single" w:sz="8" w:color="E5E5E5"/>
            </w:tcBorders>
            <w:vMerge w:val="restart"/>
            <w:shd w:val="clear" w:color="auto" w:fill="D91E18"/>
          </w:tcPr>
          <w:p>
            <w:pPr>
              <w:ind w:left="80"/>
              <w:spacing w:after="0"/>
              <w:rPr>
                <w:sz w:val="20"/>
                <w:szCs w:val="20"/>
                <w:color w:val="auto"/>
              </w:rPr>
            </w:pPr>
            <w:r>
              <w:rPr>
                <w:rFonts w:ascii="Arial" w:cs="Arial" w:eastAsia="Arial" w:hAnsi="Arial"/>
                <w:sz w:val="18"/>
                <w:szCs w:val="18"/>
                <w:b w:val="1"/>
                <w:bCs w:val="1"/>
                <w:color w:val="FFFFFF"/>
              </w:rPr>
              <w:t>Name</w:t>
            </w:r>
          </w:p>
        </w:tc>
        <w:tc>
          <w:tcPr>
            <w:tcW w:w="2020" w:type="dxa"/>
            <w:vAlign w:val="bottom"/>
            <w:tcBorders>
              <w:right w:val="single" w:sz="8" w:color="E5E5E5"/>
            </w:tcBorders>
            <w:shd w:val="clear" w:color="auto" w:fill="D91E18"/>
          </w:tcPr>
          <w:p>
            <w:pPr>
              <w:jc w:val="center"/>
              <w:spacing w:after="0" w:line="176" w:lineRule="exact"/>
              <w:rPr>
                <w:sz w:val="20"/>
                <w:szCs w:val="20"/>
                <w:color w:val="auto"/>
              </w:rPr>
            </w:pPr>
            <w:r>
              <w:rPr>
                <w:rFonts w:ascii="Arial" w:cs="Arial" w:eastAsia="Arial" w:hAnsi="Arial"/>
                <w:sz w:val="18"/>
                <w:szCs w:val="18"/>
                <w:b w:val="1"/>
                <w:bCs w:val="1"/>
                <w:color w:val="FFFFFF"/>
                <w:w w:val="98"/>
              </w:rPr>
              <w:t>Opportunity</w:t>
            </w:r>
          </w:p>
        </w:tc>
        <w:tc>
          <w:tcPr>
            <w:tcW w:w="2000" w:type="dxa"/>
            <w:vAlign w:val="bottom"/>
            <w:tcBorders>
              <w:right w:val="single" w:sz="8" w:color="E5E5E5"/>
            </w:tcBorders>
            <w:vMerge w:val="continue"/>
            <w:shd w:val="clear" w:color="auto" w:fill="D91E18"/>
          </w:tcPr>
          <w:p>
            <w:pPr>
              <w:spacing w:after="0"/>
              <w:rPr>
                <w:sz w:val="15"/>
                <w:szCs w:val="15"/>
                <w:color w:val="auto"/>
              </w:rPr>
            </w:pPr>
          </w:p>
        </w:tc>
        <w:tc>
          <w:tcPr>
            <w:tcW w:w="2020" w:type="dxa"/>
            <w:vAlign w:val="bottom"/>
            <w:tcBorders>
              <w:right w:val="single" w:sz="8" w:color="E5E5E5"/>
            </w:tcBorders>
            <w:shd w:val="clear" w:color="auto" w:fill="D91E18"/>
          </w:tcPr>
          <w:p>
            <w:pPr>
              <w:jc w:val="center"/>
              <w:spacing w:after="0" w:line="176" w:lineRule="exact"/>
              <w:rPr>
                <w:sz w:val="20"/>
                <w:szCs w:val="20"/>
                <w:color w:val="auto"/>
              </w:rPr>
            </w:pPr>
            <w:r>
              <w:rPr>
                <w:rFonts w:ascii="Arial" w:cs="Arial" w:eastAsia="Arial" w:hAnsi="Arial"/>
                <w:sz w:val="18"/>
                <w:szCs w:val="18"/>
                <w:b w:val="1"/>
                <w:bCs w:val="1"/>
                <w:color w:val="FFFFFF"/>
              </w:rPr>
              <w:t>Opportunity</w:t>
            </w:r>
          </w:p>
        </w:tc>
        <w:tc>
          <w:tcPr>
            <w:tcW w:w="2040" w:type="dxa"/>
            <w:vAlign w:val="bottom"/>
            <w:tcBorders>
              <w:right w:val="single" w:sz="8" w:color="E5E5E5"/>
            </w:tcBorders>
            <w:gridSpan w:val="2"/>
            <w:vMerge w:val="continue"/>
            <w:shd w:val="clear" w:color="auto" w:fill="D91E18"/>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3160" w:type="dxa"/>
            <w:vAlign w:val="bottom"/>
            <w:tcBorders>
              <w:left w:val="single" w:sz="8" w:color="E5E5E5"/>
              <w:right w:val="single" w:sz="8" w:color="E5E5E5"/>
            </w:tcBorders>
            <w:vMerge w:val="continue"/>
            <w:shd w:val="clear" w:color="auto" w:fill="D91E18"/>
          </w:tcPr>
          <w:p>
            <w:pPr>
              <w:spacing w:after="0"/>
              <w:rPr>
                <w:sz w:val="21"/>
                <w:szCs w:val="21"/>
                <w:color w:val="auto"/>
              </w:rPr>
            </w:pPr>
          </w:p>
        </w:tc>
        <w:tc>
          <w:tcPr>
            <w:tcW w:w="2020" w:type="dxa"/>
            <w:vAlign w:val="bottom"/>
            <w:tcBorders>
              <w:right w:val="single" w:sz="8" w:color="E5E5E5"/>
            </w:tcBorders>
            <w:shd w:val="clear" w:color="auto" w:fill="D91E18"/>
          </w:tcPr>
          <w:p>
            <w:pPr>
              <w:jc w:val="center"/>
              <w:spacing w:after="0"/>
              <w:rPr>
                <w:sz w:val="20"/>
                <w:szCs w:val="20"/>
                <w:color w:val="auto"/>
              </w:rPr>
            </w:pPr>
            <w:r>
              <w:rPr>
                <w:rFonts w:ascii="Arial" w:cs="Arial" w:eastAsia="Arial" w:hAnsi="Arial"/>
                <w:sz w:val="18"/>
                <w:szCs w:val="18"/>
                <w:b w:val="1"/>
                <w:bCs w:val="1"/>
                <w:color w:val="FFFFFF"/>
              </w:rPr>
              <w:t>(% of Salary)</w:t>
            </w:r>
          </w:p>
        </w:tc>
        <w:tc>
          <w:tcPr>
            <w:tcW w:w="2000" w:type="dxa"/>
            <w:vAlign w:val="bottom"/>
            <w:tcBorders>
              <w:right w:val="single" w:sz="8" w:color="E5E5E5"/>
            </w:tcBorders>
            <w:shd w:val="clear" w:color="auto" w:fill="D91E18"/>
          </w:tcPr>
          <w:p>
            <w:pPr>
              <w:jc w:val="center"/>
              <w:spacing w:after="0"/>
              <w:rPr>
                <w:sz w:val="20"/>
                <w:szCs w:val="20"/>
                <w:color w:val="auto"/>
              </w:rPr>
            </w:pPr>
            <w:r>
              <w:rPr>
                <w:rFonts w:ascii="Arial" w:cs="Arial" w:eastAsia="Arial" w:hAnsi="Arial"/>
                <w:sz w:val="18"/>
                <w:szCs w:val="18"/>
                <w:b w:val="1"/>
                <w:bCs w:val="1"/>
                <w:color w:val="FFFFFF"/>
                <w:w w:val="99"/>
              </w:rPr>
              <w:t>(% of Salary)</w:t>
            </w:r>
          </w:p>
        </w:tc>
        <w:tc>
          <w:tcPr>
            <w:tcW w:w="2020" w:type="dxa"/>
            <w:vAlign w:val="bottom"/>
            <w:tcBorders>
              <w:right w:val="single" w:sz="8" w:color="E5E5E5"/>
            </w:tcBorders>
            <w:shd w:val="clear" w:color="auto" w:fill="D91E18"/>
          </w:tcPr>
          <w:p>
            <w:pPr>
              <w:jc w:val="center"/>
              <w:spacing w:after="0"/>
              <w:rPr>
                <w:sz w:val="20"/>
                <w:szCs w:val="20"/>
                <w:color w:val="auto"/>
              </w:rPr>
            </w:pPr>
            <w:r>
              <w:rPr>
                <w:rFonts w:ascii="Arial" w:cs="Arial" w:eastAsia="Arial" w:hAnsi="Arial"/>
                <w:sz w:val="18"/>
                <w:szCs w:val="18"/>
                <w:b w:val="1"/>
                <w:bCs w:val="1"/>
                <w:color w:val="FFFFFF"/>
                <w:w w:val="99"/>
              </w:rPr>
              <w:t>(% of Salary)</w:t>
            </w:r>
          </w:p>
        </w:tc>
        <w:tc>
          <w:tcPr>
            <w:tcW w:w="340" w:type="dxa"/>
            <w:vAlign w:val="bottom"/>
            <w:shd w:val="clear" w:color="auto" w:fill="D91E18"/>
          </w:tcPr>
          <w:p>
            <w:pPr>
              <w:spacing w:after="0"/>
              <w:rPr>
                <w:sz w:val="21"/>
                <w:szCs w:val="21"/>
                <w:color w:val="auto"/>
              </w:rPr>
            </w:pPr>
          </w:p>
        </w:tc>
        <w:tc>
          <w:tcPr>
            <w:tcW w:w="1700" w:type="dxa"/>
            <w:vAlign w:val="bottom"/>
            <w:tcBorders>
              <w:right w:val="single" w:sz="8" w:color="E5E5E5"/>
            </w:tcBorders>
            <w:shd w:val="clear" w:color="auto" w:fill="D91E18"/>
          </w:tcPr>
          <w:p>
            <w:pPr>
              <w:jc w:val="right"/>
              <w:ind w:right="550"/>
              <w:spacing w:after="0"/>
              <w:rPr>
                <w:sz w:val="20"/>
                <w:szCs w:val="20"/>
                <w:color w:val="auto"/>
              </w:rPr>
            </w:pPr>
            <w:r>
              <w:rPr>
                <w:rFonts w:ascii="Arial" w:cs="Arial" w:eastAsia="Arial" w:hAnsi="Arial"/>
                <w:sz w:val="18"/>
                <w:szCs w:val="18"/>
                <w:b w:val="1"/>
                <w:bCs w:val="1"/>
                <w:color w:val="FFFFFF"/>
              </w:rPr>
              <w:t>of Target)</w:t>
            </w:r>
          </w:p>
        </w:tc>
        <w:tc>
          <w:tcPr>
            <w:tcW w:w="0" w:type="dxa"/>
            <w:vAlign w:val="bottom"/>
          </w:tcPr>
          <w:p>
            <w:pPr>
              <w:spacing w:after="0"/>
              <w:rPr>
                <w:sz w:val="1"/>
                <w:szCs w:val="1"/>
                <w:color w:val="auto"/>
              </w:rPr>
            </w:pPr>
          </w:p>
        </w:tc>
      </w:tr>
      <w:tr>
        <w:trPr>
          <w:trHeight w:val="250"/>
        </w:trPr>
        <w:tc>
          <w:tcPr>
            <w:tcW w:w="3160" w:type="dxa"/>
            <w:vAlign w:val="bottom"/>
            <w:tcBorders>
              <w:left w:val="single" w:sz="8" w:color="E5E5E5"/>
              <w:right w:val="single" w:sz="8" w:color="E5E5E5"/>
            </w:tcBorders>
            <w:shd w:val="clear" w:color="auto" w:fill="DBDBDB"/>
          </w:tcPr>
          <w:p>
            <w:pPr>
              <w:ind w:left="80"/>
              <w:spacing w:after="0"/>
              <w:rPr>
                <w:sz w:val="20"/>
                <w:szCs w:val="20"/>
                <w:color w:val="auto"/>
              </w:rPr>
            </w:pPr>
            <w:r>
              <w:rPr>
                <w:rFonts w:ascii="Arial" w:cs="Arial" w:eastAsia="Arial" w:hAnsi="Arial"/>
                <w:sz w:val="18"/>
                <w:szCs w:val="18"/>
                <w:color w:val="auto"/>
              </w:rPr>
              <w:t>David W. Hult</w:t>
            </w:r>
          </w:p>
        </w:tc>
        <w:tc>
          <w:tcPr>
            <w:tcW w:w="2020" w:type="dxa"/>
            <w:vAlign w:val="bottom"/>
            <w:tcBorders>
              <w:right w:val="single" w:sz="8" w:color="E5E5E5"/>
            </w:tcBorders>
            <w:shd w:val="clear" w:color="auto" w:fill="DBDBDB"/>
          </w:tcPr>
          <w:p>
            <w:pPr>
              <w:jc w:val="center"/>
              <w:spacing w:after="0"/>
              <w:rPr>
                <w:sz w:val="20"/>
                <w:szCs w:val="20"/>
                <w:color w:val="auto"/>
              </w:rPr>
            </w:pPr>
            <w:r>
              <w:rPr>
                <w:rFonts w:ascii="Arial" w:cs="Arial" w:eastAsia="Arial" w:hAnsi="Arial"/>
                <w:sz w:val="18"/>
                <w:szCs w:val="18"/>
                <w:color w:val="auto"/>
                <w:w w:val="97"/>
              </w:rPr>
              <w:t>67.5%</w:t>
            </w:r>
          </w:p>
        </w:tc>
        <w:tc>
          <w:tcPr>
            <w:tcW w:w="2000" w:type="dxa"/>
            <w:vAlign w:val="bottom"/>
            <w:tcBorders>
              <w:right w:val="single" w:sz="8" w:color="E5E5E5"/>
            </w:tcBorders>
            <w:shd w:val="clear" w:color="auto" w:fill="DBDBDB"/>
          </w:tcPr>
          <w:p>
            <w:pPr>
              <w:jc w:val="center"/>
              <w:spacing w:after="0"/>
              <w:rPr>
                <w:sz w:val="20"/>
                <w:szCs w:val="20"/>
                <w:color w:val="auto"/>
              </w:rPr>
            </w:pPr>
            <w:r>
              <w:rPr>
                <w:rFonts w:ascii="Arial" w:cs="Arial" w:eastAsia="Arial" w:hAnsi="Arial"/>
                <w:sz w:val="18"/>
                <w:szCs w:val="18"/>
                <w:color w:val="auto"/>
                <w:w w:val="99"/>
              </w:rPr>
              <w:t>135%</w:t>
            </w:r>
          </w:p>
        </w:tc>
        <w:tc>
          <w:tcPr>
            <w:tcW w:w="2020" w:type="dxa"/>
            <w:vAlign w:val="bottom"/>
            <w:tcBorders>
              <w:right w:val="single" w:sz="8" w:color="E5E5E5"/>
            </w:tcBorders>
            <w:shd w:val="clear" w:color="auto" w:fill="DBDBDB"/>
          </w:tcPr>
          <w:p>
            <w:pPr>
              <w:jc w:val="center"/>
              <w:spacing w:after="0"/>
              <w:rPr>
                <w:sz w:val="20"/>
                <w:szCs w:val="20"/>
                <w:color w:val="auto"/>
              </w:rPr>
            </w:pPr>
            <w:r>
              <w:rPr>
                <w:rFonts w:ascii="Arial" w:cs="Arial" w:eastAsia="Arial" w:hAnsi="Arial"/>
                <w:sz w:val="18"/>
                <w:szCs w:val="18"/>
                <w:color w:val="auto"/>
                <w:w w:val="99"/>
              </w:rPr>
              <w:t>270%</w:t>
            </w:r>
          </w:p>
        </w:tc>
        <w:tc>
          <w:tcPr>
            <w:tcW w:w="34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79"/>
              </w:rPr>
              <w:t>$</w:t>
            </w:r>
          </w:p>
        </w:tc>
        <w:tc>
          <w:tcPr>
            <w:tcW w:w="1700" w:type="dxa"/>
            <w:vAlign w:val="bottom"/>
            <w:tcBorders>
              <w:right w:val="single" w:sz="8" w:color="E5E5E5"/>
            </w:tcBorders>
            <w:shd w:val="clear" w:color="auto" w:fill="DBDBDB"/>
          </w:tcPr>
          <w:p>
            <w:pPr>
              <w:jc w:val="right"/>
              <w:ind w:right="110"/>
              <w:spacing w:after="0"/>
              <w:rPr>
                <w:sz w:val="20"/>
                <w:szCs w:val="20"/>
                <w:color w:val="auto"/>
              </w:rPr>
            </w:pPr>
            <w:r>
              <w:rPr>
                <w:rFonts w:ascii="Arial" w:cs="Arial" w:eastAsia="Arial" w:hAnsi="Arial"/>
                <w:sz w:val="18"/>
                <w:szCs w:val="18"/>
                <w:color w:val="auto"/>
              </w:rPr>
              <w:t>1,667,250</w:t>
            </w:r>
          </w:p>
        </w:tc>
        <w:tc>
          <w:tcPr>
            <w:tcW w:w="0" w:type="dxa"/>
            <w:vAlign w:val="bottom"/>
          </w:tcPr>
          <w:p>
            <w:pPr>
              <w:spacing w:after="0"/>
              <w:rPr>
                <w:sz w:val="1"/>
                <w:szCs w:val="1"/>
                <w:color w:val="auto"/>
              </w:rPr>
            </w:pPr>
          </w:p>
        </w:tc>
      </w:tr>
      <w:tr>
        <w:trPr>
          <w:trHeight w:val="229"/>
        </w:trPr>
        <w:tc>
          <w:tcPr>
            <w:tcW w:w="3160" w:type="dxa"/>
            <w:vAlign w:val="bottom"/>
            <w:tcBorders>
              <w:left w:val="single" w:sz="8" w:color="E5E5E5"/>
              <w:right w:val="single" w:sz="8" w:color="E5E5E5"/>
            </w:tcBorders>
          </w:tcPr>
          <w:p>
            <w:pPr>
              <w:ind w:left="80"/>
              <w:spacing w:after="0"/>
              <w:rPr>
                <w:sz w:val="20"/>
                <w:szCs w:val="20"/>
                <w:color w:val="auto"/>
              </w:rPr>
            </w:pPr>
            <w:r>
              <w:rPr>
                <w:rFonts w:ascii="Arial" w:cs="Arial" w:eastAsia="Arial" w:hAnsi="Arial"/>
                <w:sz w:val="18"/>
                <w:szCs w:val="18"/>
                <w:color w:val="auto"/>
              </w:rPr>
              <w:t>Michael Welch</w:t>
            </w:r>
          </w:p>
        </w:tc>
        <w:tc>
          <w:tcPr>
            <w:tcW w:w="2020" w:type="dxa"/>
            <w:vAlign w:val="bottom"/>
            <w:tcBorders>
              <w:right w:val="single" w:sz="8" w:color="E5E5E5"/>
            </w:tcBorders>
          </w:tcPr>
          <w:p>
            <w:pPr>
              <w:jc w:val="center"/>
              <w:spacing w:after="0"/>
              <w:rPr>
                <w:sz w:val="20"/>
                <w:szCs w:val="20"/>
                <w:color w:val="auto"/>
              </w:rPr>
            </w:pPr>
            <w:r>
              <w:rPr>
                <w:rFonts w:ascii="Arial" w:cs="Arial" w:eastAsia="Arial" w:hAnsi="Arial"/>
                <w:sz w:val="18"/>
                <w:szCs w:val="18"/>
                <w:color w:val="auto"/>
                <w:w w:val="97"/>
              </w:rPr>
              <w:t>42.5%</w:t>
            </w:r>
          </w:p>
        </w:tc>
        <w:tc>
          <w:tcPr>
            <w:tcW w:w="2000" w:type="dxa"/>
            <w:vAlign w:val="bottom"/>
            <w:tcBorders>
              <w:right w:val="single" w:sz="8" w:color="E5E5E5"/>
            </w:tcBorders>
          </w:tcPr>
          <w:p>
            <w:pPr>
              <w:jc w:val="center"/>
              <w:spacing w:after="0"/>
              <w:rPr>
                <w:sz w:val="20"/>
                <w:szCs w:val="20"/>
                <w:color w:val="auto"/>
              </w:rPr>
            </w:pPr>
            <w:r>
              <w:rPr>
                <w:rFonts w:ascii="Arial" w:cs="Arial" w:eastAsia="Arial" w:hAnsi="Arial"/>
                <w:sz w:val="18"/>
                <w:szCs w:val="18"/>
                <w:color w:val="auto"/>
                <w:w w:val="99"/>
              </w:rPr>
              <w:t>85%</w:t>
            </w:r>
          </w:p>
        </w:tc>
        <w:tc>
          <w:tcPr>
            <w:tcW w:w="2020" w:type="dxa"/>
            <w:vAlign w:val="bottom"/>
            <w:tcBorders>
              <w:right w:val="single" w:sz="8" w:color="E5E5E5"/>
            </w:tcBorders>
          </w:tcPr>
          <w:p>
            <w:pPr>
              <w:jc w:val="center"/>
              <w:spacing w:after="0"/>
              <w:rPr>
                <w:sz w:val="20"/>
                <w:szCs w:val="20"/>
                <w:color w:val="auto"/>
              </w:rPr>
            </w:pPr>
            <w:r>
              <w:rPr>
                <w:rFonts w:ascii="Arial" w:cs="Arial" w:eastAsia="Arial" w:hAnsi="Arial"/>
                <w:sz w:val="18"/>
                <w:szCs w:val="18"/>
                <w:color w:val="auto"/>
                <w:w w:val="99"/>
              </w:rPr>
              <w:t>170%</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700" w:type="dxa"/>
            <w:vAlign w:val="bottom"/>
            <w:tcBorders>
              <w:right w:val="single" w:sz="8" w:color="E5E5E5"/>
            </w:tcBorders>
          </w:tcPr>
          <w:p>
            <w:pPr>
              <w:jc w:val="right"/>
              <w:ind w:right="110"/>
              <w:spacing w:after="0"/>
              <w:rPr>
                <w:sz w:val="20"/>
                <w:szCs w:val="20"/>
                <w:color w:val="auto"/>
              </w:rPr>
            </w:pPr>
            <w:r>
              <w:rPr>
                <w:rFonts w:ascii="Arial" w:cs="Arial" w:eastAsia="Arial" w:hAnsi="Arial"/>
                <w:sz w:val="18"/>
                <w:szCs w:val="18"/>
                <w:color w:val="auto"/>
              </w:rPr>
              <w:t>585,437</w:t>
            </w:r>
          </w:p>
        </w:tc>
        <w:tc>
          <w:tcPr>
            <w:tcW w:w="0" w:type="dxa"/>
            <w:vAlign w:val="bottom"/>
          </w:tcPr>
          <w:p>
            <w:pPr>
              <w:spacing w:after="0"/>
              <w:rPr>
                <w:sz w:val="1"/>
                <w:szCs w:val="1"/>
                <w:color w:val="auto"/>
              </w:rPr>
            </w:pPr>
          </w:p>
        </w:tc>
      </w:tr>
      <w:tr>
        <w:trPr>
          <w:trHeight w:val="257"/>
        </w:trPr>
        <w:tc>
          <w:tcPr>
            <w:tcW w:w="3160" w:type="dxa"/>
            <w:vAlign w:val="bottom"/>
            <w:tcBorders>
              <w:left w:val="single" w:sz="8" w:color="E5E5E5"/>
              <w:right w:val="single" w:sz="8" w:color="E5E5E5"/>
            </w:tcBorders>
            <w:shd w:val="clear" w:color="auto" w:fill="DBDBDB"/>
          </w:tcPr>
          <w:p>
            <w:pPr>
              <w:ind w:left="80"/>
              <w:spacing w:after="0"/>
              <w:rPr>
                <w:sz w:val="20"/>
                <w:szCs w:val="20"/>
                <w:color w:val="auto"/>
              </w:rPr>
            </w:pPr>
            <w:r>
              <w:rPr>
                <w:rFonts w:ascii="Arial" w:cs="Arial" w:eastAsia="Arial" w:hAnsi="Arial"/>
                <w:sz w:val="18"/>
                <w:szCs w:val="18"/>
                <w:color w:val="auto"/>
              </w:rPr>
              <w:t>Daniel Clara</w:t>
            </w:r>
          </w:p>
        </w:tc>
        <w:tc>
          <w:tcPr>
            <w:tcW w:w="2020" w:type="dxa"/>
            <w:vAlign w:val="bottom"/>
            <w:tcBorders>
              <w:right w:val="single" w:sz="8" w:color="E5E5E5"/>
            </w:tcBorders>
            <w:shd w:val="clear" w:color="auto" w:fill="DBDBDB"/>
          </w:tcPr>
          <w:p>
            <w:pPr>
              <w:jc w:val="center"/>
              <w:spacing w:after="0"/>
              <w:rPr>
                <w:sz w:val="20"/>
                <w:szCs w:val="20"/>
                <w:color w:val="auto"/>
              </w:rPr>
            </w:pPr>
            <w:r>
              <w:rPr>
                <w:rFonts w:ascii="Arial" w:cs="Arial" w:eastAsia="Arial" w:hAnsi="Arial"/>
                <w:sz w:val="18"/>
                <w:szCs w:val="18"/>
                <w:color w:val="auto"/>
                <w:w w:val="97"/>
              </w:rPr>
              <w:t>42.5%</w:t>
            </w:r>
          </w:p>
        </w:tc>
        <w:tc>
          <w:tcPr>
            <w:tcW w:w="2000" w:type="dxa"/>
            <w:vAlign w:val="bottom"/>
            <w:tcBorders>
              <w:right w:val="single" w:sz="8" w:color="E5E5E5"/>
            </w:tcBorders>
            <w:shd w:val="clear" w:color="auto" w:fill="DBDBDB"/>
          </w:tcPr>
          <w:p>
            <w:pPr>
              <w:jc w:val="center"/>
              <w:spacing w:after="0"/>
              <w:rPr>
                <w:sz w:val="20"/>
                <w:szCs w:val="20"/>
                <w:color w:val="auto"/>
              </w:rPr>
            </w:pPr>
            <w:r>
              <w:rPr>
                <w:rFonts w:ascii="Arial" w:cs="Arial" w:eastAsia="Arial" w:hAnsi="Arial"/>
                <w:sz w:val="18"/>
                <w:szCs w:val="18"/>
                <w:color w:val="auto"/>
                <w:w w:val="99"/>
              </w:rPr>
              <w:t>85%</w:t>
            </w:r>
          </w:p>
        </w:tc>
        <w:tc>
          <w:tcPr>
            <w:tcW w:w="2020" w:type="dxa"/>
            <w:vAlign w:val="bottom"/>
            <w:tcBorders>
              <w:right w:val="single" w:sz="8" w:color="E5E5E5"/>
            </w:tcBorders>
            <w:shd w:val="clear" w:color="auto" w:fill="DBDBDB"/>
          </w:tcPr>
          <w:p>
            <w:pPr>
              <w:jc w:val="center"/>
              <w:spacing w:after="0"/>
              <w:rPr>
                <w:sz w:val="20"/>
                <w:szCs w:val="20"/>
                <w:color w:val="auto"/>
              </w:rPr>
            </w:pPr>
            <w:r>
              <w:rPr>
                <w:rFonts w:ascii="Arial" w:cs="Arial" w:eastAsia="Arial" w:hAnsi="Arial"/>
                <w:sz w:val="18"/>
                <w:szCs w:val="18"/>
                <w:color w:val="auto"/>
                <w:w w:val="99"/>
              </w:rPr>
              <w:t>170%</w:t>
            </w:r>
          </w:p>
        </w:tc>
        <w:tc>
          <w:tcPr>
            <w:tcW w:w="34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79"/>
              </w:rPr>
              <w:t>$</w:t>
            </w:r>
          </w:p>
        </w:tc>
        <w:tc>
          <w:tcPr>
            <w:tcW w:w="1700" w:type="dxa"/>
            <w:vAlign w:val="bottom"/>
            <w:tcBorders>
              <w:right w:val="single" w:sz="8" w:color="E5E5E5"/>
            </w:tcBorders>
            <w:shd w:val="clear" w:color="auto" w:fill="DBDBDB"/>
          </w:tcPr>
          <w:p>
            <w:pPr>
              <w:jc w:val="right"/>
              <w:ind w:right="110"/>
              <w:spacing w:after="0"/>
              <w:rPr>
                <w:sz w:val="20"/>
                <w:szCs w:val="20"/>
                <w:color w:val="auto"/>
              </w:rPr>
            </w:pPr>
            <w:r>
              <w:rPr>
                <w:rFonts w:ascii="Arial" w:cs="Arial" w:eastAsia="Arial" w:hAnsi="Arial"/>
                <w:sz w:val="18"/>
                <w:szCs w:val="18"/>
                <w:color w:val="auto"/>
              </w:rPr>
              <w:t>605,625</w:t>
            </w:r>
          </w:p>
        </w:tc>
        <w:tc>
          <w:tcPr>
            <w:tcW w:w="0" w:type="dxa"/>
            <w:vAlign w:val="bottom"/>
          </w:tcPr>
          <w:p>
            <w:pPr>
              <w:spacing w:after="0"/>
              <w:rPr>
                <w:sz w:val="1"/>
                <w:szCs w:val="1"/>
                <w:color w:val="auto"/>
              </w:rPr>
            </w:pPr>
          </w:p>
        </w:tc>
      </w:tr>
      <w:tr>
        <w:trPr>
          <w:trHeight w:val="230"/>
        </w:trPr>
        <w:tc>
          <w:tcPr>
            <w:tcW w:w="3160" w:type="dxa"/>
            <w:vAlign w:val="bottom"/>
            <w:tcBorders>
              <w:left w:val="single" w:sz="8" w:color="E5E5E5"/>
              <w:right w:val="single" w:sz="8" w:color="E5E5E5"/>
            </w:tcBorders>
          </w:tcPr>
          <w:p>
            <w:pPr>
              <w:ind w:left="80"/>
              <w:spacing w:after="0"/>
              <w:rPr>
                <w:sz w:val="20"/>
                <w:szCs w:val="20"/>
                <w:color w:val="auto"/>
              </w:rPr>
            </w:pPr>
            <w:r>
              <w:rPr>
                <w:rFonts w:ascii="Arial" w:cs="Arial" w:eastAsia="Arial" w:hAnsi="Arial"/>
                <w:sz w:val="18"/>
                <w:szCs w:val="18"/>
                <w:color w:val="auto"/>
              </w:rPr>
              <w:t>Jed Milstein</w:t>
            </w:r>
          </w:p>
        </w:tc>
        <w:tc>
          <w:tcPr>
            <w:tcW w:w="2020" w:type="dxa"/>
            <w:vAlign w:val="bottom"/>
            <w:tcBorders>
              <w:right w:val="single" w:sz="8" w:color="E5E5E5"/>
            </w:tcBorders>
          </w:tcPr>
          <w:p>
            <w:pPr>
              <w:jc w:val="center"/>
              <w:spacing w:after="0"/>
              <w:rPr>
                <w:sz w:val="20"/>
                <w:szCs w:val="20"/>
                <w:color w:val="auto"/>
              </w:rPr>
            </w:pPr>
            <w:r>
              <w:rPr>
                <w:rFonts w:ascii="Arial" w:cs="Arial" w:eastAsia="Arial" w:hAnsi="Arial"/>
                <w:sz w:val="18"/>
                <w:szCs w:val="18"/>
                <w:color w:val="auto"/>
                <w:w w:val="97"/>
              </w:rPr>
              <w:t>42.5%</w:t>
            </w:r>
          </w:p>
        </w:tc>
        <w:tc>
          <w:tcPr>
            <w:tcW w:w="2000" w:type="dxa"/>
            <w:vAlign w:val="bottom"/>
            <w:tcBorders>
              <w:right w:val="single" w:sz="8" w:color="E5E5E5"/>
            </w:tcBorders>
          </w:tcPr>
          <w:p>
            <w:pPr>
              <w:jc w:val="center"/>
              <w:spacing w:after="0"/>
              <w:rPr>
                <w:sz w:val="20"/>
                <w:szCs w:val="20"/>
                <w:color w:val="auto"/>
              </w:rPr>
            </w:pPr>
            <w:r>
              <w:rPr>
                <w:rFonts w:ascii="Arial" w:cs="Arial" w:eastAsia="Arial" w:hAnsi="Arial"/>
                <w:sz w:val="18"/>
                <w:szCs w:val="18"/>
                <w:color w:val="auto"/>
                <w:w w:val="99"/>
              </w:rPr>
              <w:t>85%</w:t>
            </w:r>
          </w:p>
        </w:tc>
        <w:tc>
          <w:tcPr>
            <w:tcW w:w="2020" w:type="dxa"/>
            <w:vAlign w:val="bottom"/>
            <w:tcBorders>
              <w:right w:val="single" w:sz="8" w:color="E5E5E5"/>
            </w:tcBorders>
          </w:tcPr>
          <w:p>
            <w:pPr>
              <w:jc w:val="center"/>
              <w:spacing w:after="0"/>
              <w:rPr>
                <w:sz w:val="20"/>
                <w:szCs w:val="20"/>
                <w:color w:val="auto"/>
              </w:rPr>
            </w:pPr>
            <w:r>
              <w:rPr>
                <w:rFonts w:ascii="Arial" w:cs="Arial" w:eastAsia="Arial" w:hAnsi="Arial"/>
                <w:sz w:val="18"/>
                <w:szCs w:val="18"/>
                <w:color w:val="auto"/>
                <w:w w:val="99"/>
              </w:rPr>
              <w:t>170%</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700" w:type="dxa"/>
            <w:vAlign w:val="bottom"/>
            <w:tcBorders>
              <w:right w:val="single" w:sz="8" w:color="E5E5E5"/>
            </w:tcBorders>
          </w:tcPr>
          <w:p>
            <w:pPr>
              <w:jc w:val="right"/>
              <w:ind w:right="110"/>
              <w:spacing w:after="0"/>
              <w:rPr>
                <w:sz w:val="20"/>
                <w:szCs w:val="20"/>
                <w:color w:val="auto"/>
              </w:rPr>
            </w:pPr>
            <w:r>
              <w:rPr>
                <w:rFonts w:ascii="Arial" w:cs="Arial" w:eastAsia="Arial" w:hAnsi="Arial"/>
                <w:sz w:val="18"/>
                <w:szCs w:val="18"/>
                <w:color w:val="auto"/>
              </w:rPr>
              <w:t>504,688</w:t>
            </w:r>
          </w:p>
        </w:tc>
        <w:tc>
          <w:tcPr>
            <w:tcW w:w="0" w:type="dxa"/>
            <w:vAlign w:val="bottom"/>
          </w:tcPr>
          <w:p>
            <w:pPr>
              <w:spacing w:after="0"/>
              <w:rPr>
                <w:sz w:val="1"/>
                <w:szCs w:val="1"/>
                <w:color w:val="auto"/>
              </w:rPr>
            </w:pPr>
          </w:p>
        </w:tc>
      </w:tr>
      <w:tr>
        <w:trPr>
          <w:trHeight w:val="256"/>
        </w:trPr>
        <w:tc>
          <w:tcPr>
            <w:tcW w:w="3160" w:type="dxa"/>
            <w:vAlign w:val="bottom"/>
            <w:tcBorders>
              <w:left w:val="single" w:sz="8" w:color="E5E5E5"/>
              <w:right w:val="single" w:sz="8" w:color="E5E5E5"/>
            </w:tcBorders>
            <w:shd w:val="clear" w:color="auto" w:fill="DBDBDB"/>
          </w:tcPr>
          <w:p>
            <w:pPr>
              <w:ind w:left="80"/>
              <w:spacing w:after="0" w:line="243" w:lineRule="exact"/>
              <w:rPr>
                <w:sz w:val="20"/>
                <w:szCs w:val="20"/>
                <w:color w:val="auto"/>
              </w:rPr>
            </w:pPr>
            <w:r>
              <w:rPr>
                <w:rFonts w:ascii="Arial" w:cs="Arial" w:eastAsia="Arial" w:hAnsi="Arial"/>
                <w:sz w:val="18"/>
                <w:szCs w:val="18"/>
                <w:color w:val="auto"/>
              </w:rPr>
              <w:t>Dean Calloway</w:t>
            </w:r>
            <w:r>
              <w:rPr>
                <w:rFonts w:ascii="Arial" w:cs="Arial" w:eastAsia="Arial" w:hAnsi="Arial"/>
                <w:sz w:val="23"/>
                <w:szCs w:val="23"/>
                <w:color w:val="auto"/>
                <w:vertAlign w:val="superscript"/>
              </w:rPr>
              <w:t>(1)</w:t>
            </w:r>
          </w:p>
        </w:tc>
        <w:tc>
          <w:tcPr>
            <w:tcW w:w="2020" w:type="dxa"/>
            <w:vAlign w:val="bottom"/>
            <w:tcBorders>
              <w:right w:val="single" w:sz="8" w:color="E5E5E5"/>
            </w:tcBorders>
            <w:shd w:val="clear" w:color="auto" w:fill="DBDBDB"/>
          </w:tcPr>
          <w:p>
            <w:pPr>
              <w:jc w:val="center"/>
              <w:spacing w:after="0"/>
              <w:rPr>
                <w:sz w:val="20"/>
                <w:szCs w:val="20"/>
                <w:color w:val="auto"/>
              </w:rPr>
            </w:pPr>
            <w:r>
              <w:rPr>
                <w:rFonts w:ascii="Arial" w:cs="Arial" w:eastAsia="Arial" w:hAnsi="Arial"/>
                <w:sz w:val="18"/>
                <w:szCs w:val="18"/>
                <w:color w:val="auto"/>
                <w:w w:val="97"/>
              </w:rPr>
              <w:t>28.8%</w:t>
            </w:r>
          </w:p>
        </w:tc>
        <w:tc>
          <w:tcPr>
            <w:tcW w:w="2000" w:type="dxa"/>
            <w:vAlign w:val="bottom"/>
            <w:tcBorders>
              <w:right w:val="single" w:sz="8" w:color="E5E5E5"/>
            </w:tcBorders>
            <w:shd w:val="clear" w:color="auto" w:fill="DBDBDB"/>
          </w:tcPr>
          <w:p>
            <w:pPr>
              <w:jc w:val="center"/>
              <w:spacing w:after="0"/>
              <w:rPr>
                <w:sz w:val="20"/>
                <w:szCs w:val="20"/>
                <w:color w:val="auto"/>
              </w:rPr>
            </w:pPr>
            <w:r>
              <w:rPr>
                <w:rFonts w:ascii="Arial" w:cs="Arial" w:eastAsia="Arial" w:hAnsi="Arial"/>
                <w:sz w:val="18"/>
                <w:szCs w:val="18"/>
                <w:color w:val="auto"/>
                <w:w w:val="99"/>
              </w:rPr>
              <w:t>58%</w:t>
            </w:r>
          </w:p>
        </w:tc>
        <w:tc>
          <w:tcPr>
            <w:tcW w:w="2020" w:type="dxa"/>
            <w:vAlign w:val="bottom"/>
            <w:tcBorders>
              <w:right w:val="single" w:sz="8" w:color="E5E5E5"/>
            </w:tcBorders>
            <w:shd w:val="clear" w:color="auto" w:fill="DBDBDB"/>
          </w:tcPr>
          <w:p>
            <w:pPr>
              <w:jc w:val="center"/>
              <w:spacing w:after="0"/>
              <w:rPr>
                <w:sz w:val="20"/>
                <w:szCs w:val="20"/>
                <w:color w:val="auto"/>
              </w:rPr>
            </w:pPr>
            <w:r>
              <w:rPr>
                <w:rFonts w:ascii="Arial" w:cs="Arial" w:eastAsia="Arial" w:hAnsi="Arial"/>
                <w:sz w:val="18"/>
                <w:szCs w:val="18"/>
                <w:color w:val="auto"/>
                <w:w w:val="95"/>
              </w:rPr>
              <w:t>115%</w:t>
            </w:r>
          </w:p>
        </w:tc>
        <w:tc>
          <w:tcPr>
            <w:tcW w:w="34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79"/>
              </w:rPr>
              <w:t>$</w:t>
            </w:r>
          </w:p>
        </w:tc>
        <w:tc>
          <w:tcPr>
            <w:tcW w:w="1700" w:type="dxa"/>
            <w:vAlign w:val="bottom"/>
            <w:tcBorders>
              <w:right w:val="single" w:sz="8" w:color="E5E5E5"/>
            </w:tcBorders>
            <w:shd w:val="clear" w:color="auto" w:fill="DBDBDB"/>
          </w:tcPr>
          <w:p>
            <w:pPr>
              <w:jc w:val="right"/>
              <w:ind w:right="110"/>
              <w:spacing w:after="0"/>
              <w:rPr>
                <w:sz w:val="20"/>
                <w:szCs w:val="20"/>
                <w:color w:val="auto"/>
              </w:rPr>
            </w:pPr>
            <w:r>
              <w:rPr>
                <w:rFonts w:ascii="Arial" w:cs="Arial" w:eastAsia="Arial" w:hAnsi="Arial"/>
                <w:sz w:val="18"/>
                <w:szCs w:val="18"/>
                <w:color w:val="auto"/>
              </w:rPr>
              <w:t>281,055</w:t>
            </w:r>
          </w:p>
        </w:tc>
        <w:tc>
          <w:tcPr>
            <w:tcW w:w="0" w:type="dxa"/>
            <w:vAlign w:val="bottom"/>
          </w:tcPr>
          <w:p>
            <w:pPr>
              <w:spacing w:after="0"/>
              <w:rPr>
                <w:sz w:val="1"/>
                <w:szCs w:val="1"/>
                <w:color w:val="auto"/>
              </w:rPr>
            </w:pPr>
          </w:p>
        </w:tc>
      </w:tr>
      <w:tr>
        <w:trPr>
          <w:trHeight w:val="230"/>
        </w:trPr>
        <w:tc>
          <w:tcPr>
            <w:tcW w:w="3160" w:type="dxa"/>
            <w:vAlign w:val="bottom"/>
            <w:tcBorders>
              <w:left w:val="single" w:sz="8" w:color="E5E5E5"/>
              <w:right w:val="single" w:sz="8" w:color="E5E5E5"/>
            </w:tcBorders>
          </w:tcPr>
          <w:p>
            <w:pPr>
              <w:ind w:left="80"/>
              <w:spacing w:after="0" w:line="230" w:lineRule="exact"/>
              <w:rPr>
                <w:sz w:val="20"/>
                <w:szCs w:val="20"/>
                <w:color w:val="auto"/>
              </w:rPr>
            </w:pPr>
            <w:r>
              <w:rPr>
                <w:rFonts w:ascii="Arial" w:cs="Arial" w:eastAsia="Arial" w:hAnsi="Arial"/>
                <w:sz w:val="18"/>
                <w:szCs w:val="18"/>
                <w:color w:val="auto"/>
              </w:rPr>
              <w:t>George A. Villasana</w:t>
            </w:r>
            <w:r>
              <w:rPr>
                <w:rFonts w:ascii="Arial" w:cs="Arial" w:eastAsia="Arial" w:hAnsi="Arial"/>
                <w:sz w:val="23"/>
                <w:szCs w:val="23"/>
                <w:color w:val="auto"/>
                <w:vertAlign w:val="superscript"/>
              </w:rPr>
              <w:t>(2)</w:t>
            </w:r>
          </w:p>
        </w:tc>
        <w:tc>
          <w:tcPr>
            <w:tcW w:w="2020" w:type="dxa"/>
            <w:vAlign w:val="bottom"/>
            <w:tcBorders>
              <w:right w:val="single" w:sz="8" w:color="E5E5E5"/>
            </w:tcBorders>
          </w:tcPr>
          <w:p>
            <w:pPr>
              <w:jc w:val="center"/>
              <w:spacing w:after="0"/>
              <w:rPr>
                <w:sz w:val="20"/>
                <w:szCs w:val="20"/>
                <w:color w:val="auto"/>
              </w:rPr>
            </w:pPr>
            <w:r>
              <w:rPr>
                <w:rFonts w:ascii="Arial" w:cs="Arial" w:eastAsia="Arial" w:hAnsi="Arial"/>
                <w:sz w:val="18"/>
                <w:szCs w:val="18"/>
                <w:color w:val="auto"/>
                <w:w w:val="97"/>
              </w:rPr>
              <w:t>42.5%</w:t>
            </w:r>
          </w:p>
        </w:tc>
        <w:tc>
          <w:tcPr>
            <w:tcW w:w="2000" w:type="dxa"/>
            <w:vAlign w:val="bottom"/>
            <w:tcBorders>
              <w:right w:val="single" w:sz="8" w:color="E5E5E5"/>
            </w:tcBorders>
          </w:tcPr>
          <w:p>
            <w:pPr>
              <w:jc w:val="center"/>
              <w:spacing w:after="0"/>
              <w:rPr>
                <w:sz w:val="20"/>
                <w:szCs w:val="20"/>
                <w:color w:val="auto"/>
              </w:rPr>
            </w:pPr>
            <w:r>
              <w:rPr>
                <w:rFonts w:ascii="Arial" w:cs="Arial" w:eastAsia="Arial" w:hAnsi="Arial"/>
                <w:sz w:val="18"/>
                <w:szCs w:val="18"/>
                <w:color w:val="auto"/>
                <w:w w:val="99"/>
              </w:rPr>
              <w:t>85%</w:t>
            </w:r>
          </w:p>
        </w:tc>
        <w:tc>
          <w:tcPr>
            <w:tcW w:w="2020" w:type="dxa"/>
            <w:vAlign w:val="bottom"/>
            <w:tcBorders>
              <w:right w:val="single" w:sz="8" w:color="E5E5E5"/>
            </w:tcBorders>
          </w:tcPr>
          <w:p>
            <w:pPr>
              <w:jc w:val="center"/>
              <w:spacing w:after="0"/>
              <w:rPr>
                <w:sz w:val="20"/>
                <w:szCs w:val="20"/>
                <w:color w:val="auto"/>
              </w:rPr>
            </w:pPr>
            <w:r>
              <w:rPr>
                <w:rFonts w:ascii="Arial" w:cs="Arial" w:eastAsia="Arial" w:hAnsi="Arial"/>
                <w:sz w:val="18"/>
                <w:szCs w:val="18"/>
                <w:color w:val="auto"/>
                <w:w w:val="99"/>
              </w:rPr>
              <w:t>170%</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700" w:type="dxa"/>
            <w:vAlign w:val="bottom"/>
            <w:tcBorders>
              <w:right w:val="single" w:sz="8" w:color="E5E5E5"/>
            </w:tcBorders>
          </w:tcPr>
          <w:p>
            <w:pPr>
              <w:jc w:val="right"/>
              <w:ind w:right="110"/>
              <w:spacing w:after="0"/>
              <w:rPr>
                <w:sz w:val="20"/>
                <w:szCs w:val="20"/>
                <w:color w:val="auto"/>
              </w:rPr>
            </w:pPr>
            <w:r>
              <w:rPr>
                <w:rFonts w:ascii="Arial" w:cs="Arial" w:eastAsia="Arial" w:hAnsi="Arial"/>
                <w:sz w:val="18"/>
                <w:szCs w:val="18"/>
                <w:color w:val="auto"/>
              </w:rPr>
              <w:t>282,625</w:t>
            </w:r>
          </w:p>
        </w:tc>
        <w:tc>
          <w:tcPr>
            <w:tcW w:w="0" w:type="dxa"/>
            <w:vAlign w:val="bottom"/>
          </w:tcPr>
          <w:p>
            <w:pPr>
              <w:spacing w:after="0"/>
              <w:rPr>
                <w:sz w:val="1"/>
                <w:szCs w:val="1"/>
                <w:color w:val="auto"/>
              </w:rPr>
            </w:pPr>
          </w:p>
        </w:tc>
      </w:tr>
      <w:tr>
        <w:trPr>
          <w:trHeight w:val="256"/>
        </w:trPr>
        <w:tc>
          <w:tcPr>
            <w:tcW w:w="3160" w:type="dxa"/>
            <w:vAlign w:val="bottom"/>
            <w:tcBorders>
              <w:left w:val="single" w:sz="8" w:color="E5E5E5"/>
              <w:right w:val="single" w:sz="8" w:color="E5E5E5"/>
            </w:tcBorders>
            <w:shd w:val="clear" w:color="auto" w:fill="DBDBDB"/>
          </w:tcPr>
          <w:p>
            <w:pPr>
              <w:ind w:left="80"/>
              <w:spacing w:after="0" w:line="243" w:lineRule="exact"/>
              <w:rPr>
                <w:sz w:val="20"/>
                <w:szCs w:val="20"/>
                <w:color w:val="auto"/>
              </w:rPr>
            </w:pPr>
            <w:r>
              <w:rPr>
                <w:rFonts w:ascii="Arial" w:cs="Arial" w:eastAsia="Arial" w:hAnsi="Arial"/>
                <w:sz w:val="18"/>
                <w:szCs w:val="18"/>
                <w:color w:val="auto"/>
              </w:rPr>
              <w:t>Miran Maric</w:t>
            </w:r>
            <w:r>
              <w:rPr>
                <w:rFonts w:ascii="Arial" w:cs="Arial" w:eastAsia="Arial" w:hAnsi="Arial"/>
                <w:sz w:val="23"/>
                <w:szCs w:val="23"/>
                <w:color w:val="auto"/>
                <w:vertAlign w:val="superscript"/>
              </w:rPr>
              <w:t>(3)</w:t>
            </w:r>
          </w:p>
        </w:tc>
        <w:tc>
          <w:tcPr>
            <w:tcW w:w="2020" w:type="dxa"/>
            <w:vAlign w:val="bottom"/>
            <w:tcBorders>
              <w:right w:val="single" w:sz="8" w:color="E5E5E5"/>
            </w:tcBorders>
            <w:shd w:val="clear" w:color="auto" w:fill="DBDBDB"/>
          </w:tcPr>
          <w:p>
            <w:pPr>
              <w:jc w:val="center"/>
              <w:spacing w:after="0"/>
              <w:rPr>
                <w:sz w:val="20"/>
                <w:szCs w:val="20"/>
                <w:color w:val="auto"/>
              </w:rPr>
            </w:pPr>
            <w:r>
              <w:rPr>
                <w:rFonts w:ascii="Arial" w:cs="Arial" w:eastAsia="Arial" w:hAnsi="Arial"/>
                <w:sz w:val="18"/>
                <w:szCs w:val="18"/>
                <w:color w:val="auto"/>
                <w:w w:val="97"/>
              </w:rPr>
              <w:t>42.5%</w:t>
            </w:r>
          </w:p>
        </w:tc>
        <w:tc>
          <w:tcPr>
            <w:tcW w:w="2000" w:type="dxa"/>
            <w:vAlign w:val="bottom"/>
            <w:tcBorders>
              <w:right w:val="single" w:sz="8" w:color="E5E5E5"/>
            </w:tcBorders>
            <w:shd w:val="clear" w:color="auto" w:fill="DBDBDB"/>
          </w:tcPr>
          <w:p>
            <w:pPr>
              <w:jc w:val="center"/>
              <w:spacing w:after="0"/>
              <w:rPr>
                <w:sz w:val="20"/>
                <w:szCs w:val="20"/>
                <w:color w:val="auto"/>
              </w:rPr>
            </w:pPr>
            <w:r>
              <w:rPr>
                <w:rFonts w:ascii="Arial" w:cs="Arial" w:eastAsia="Arial" w:hAnsi="Arial"/>
                <w:sz w:val="18"/>
                <w:szCs w:val="18"/>
                <w:color w:val="auto"/>
                <w:w w:val="99"/>
              </w:rPr>
              <w:t>85%</w:t>
            </w:r>
          </w:p>
        </w:tc>
        <w:tc>
          <w:tcPr>
            <w:tcW w:w="2020" w:type="dxa"/>
            <w:vAlign w:val="bottom"/>
            <w:tcBorders>
              <w:right w:val="single" w:sz="8" w:color="E5E5E5"/>
            </w:tcBorders>
            <w:shd w:val="clear" w:color="auto" w:fill="DBDBDB"/>
          </w:tcPr>
          <w:p>
            <w:pPr>
              <w:jc w:val="center"/>
              <w:spacing w:after="0"/>
              <w:rPr>
                <w:sz w:val="20"/>
                <w:szCs w:val="20"/>
                <w:color w:val="auto"/>
              </w:rPr>
            </w:pPr>
            <w:r>
              <w:rPr>
                <w:rFonts w:ascii="Arial" w:cs="Arial" w:eastAsia="Arial" w:hAnsi="Arial"/>
                <w:sz w:val="18"/>
                <w:szCs w:val="18"/>
                <w:color w:val="auto"/>
                <w:w w:val="99"/>
              </w:rPr>
              <w:t>170%</w:t>
            </w:r>
          </w:p>
        </w:tc>
        <w:tc>
          <w:tcPr>
            <w:tcW w:w="34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79"/>
              </w:rPr>
              <w:t>$</w:t>
            </w:r>
          </w:p>
        </w:tc>
        <w:tc>
          <w:tcPr>
            <w:tcW w:w="1700" w:type="dxa"/>
            <w:vAlign w:val="bottom"/>
            <w:tcBorders>
              <w:right w:val="single" w:sz="8" w:color="E5E5E5"/>
            </w:tcBorders>
            <w:shd w:val="clear" w:color="auto" w:fill="DBDBDB"/>
          </w:tcPr>
          <w:p>
            <w:pPr>
              <w:jc w:val="right"/>
              <w:ind w:right="110"/>
              <w:spacing w:after="0"/>
              <w:rPr>
                <w:sz w:val="20"/>
                <w:szCs w:val="20"/>
                <w:color w:val="auto"/>
              </w:rPr>
            </w:pPr>
            <w:r>
              <w:rPr>
                <w:rFonts w:ascii="Arial" w:cs="Arial" w:eastAsia="Arial" w:hAnsi="Arial"/>
                <w:sz w:val="18"/>
                <w:szCs w:val="18"/>
                <w:color w:val="auto"/>
              </w:rPr>
              <w:t>422,283</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260" w:hanging="252"/>
        <w:spacing w:after="0"/>
        <w:tabs>
          <w:tab w:leader="none" w:pos="2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Prorated bonus for mid-year promotion to Senior Vice President, General Counsel &amp; Secretary.</w:t>
      </w:r>
    </w:p>
    <w:p>
      <w:pPr>
        <w:spacing w:after="0" w:line="72" w:lineRule="exact"/>
        <w:rPr>
          <w:rFonts w:ascii="Arial" w:cs="Arial" w:eastAsia="Arial" w:hAnsi="Arial"/>
          <w:sz w:val="16"/>
          <w:szCs w:val="16"/>
          <w:color w:val="auto"/>
        </w:rPr>
      </w:pPr>
    </w:p>
    <w:p>
      <w:pPr>
        <w:ind w:left="260" w:hanging="252"/>
        <w:spacing w:after="0"/>
        <w:tabs>
          <w:tab w:leader="none" w:pos="2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Prorated in accordance with executive's Transition and Retirement Agreement.</w:t>
      </w:r>
    </w:p>
    <w:p>
      <w:pPr>
        <w:spacing w:after="0" w:line="59" w:lineRule="exact"/>
        <w:rPr>
          <w:rFonts w:ascii="Arial" w:cs="Arial" w:eastAsia="Arial" w:hAnsi="Arial"/>
          <w:sz w:val="16"/>
          <w:szCs w:val="16"/>
          <w:color w:val="auto"/>
        </w:rPr>
      </w:pPr>
    </w:p>
    <w:p>
      <w:pPr>
        <w:ind w:left="260" w:hanging="252"/>
        <w:spacing w:after="0"/>
        <w:tabs>
          <w:tab w:leader="none" w:pos="2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Prorated based on executive's termination date.</w:t>
      </w:r>
    </w:p>
    <w:p>
      <w:pPr>
        <w:spacing w:after="0" w:line="8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Equity-Based Compensation Opportunities</w:t>
      </w:r>
    </w:p>
    <w:p>
      <w:pPr>
        <w:spacing w:after="0" w:line="92"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As described elsewhere in this CD&amp;A, the Committee believes it is appropriate that a significant portion of executive officer compensation opportunity be in the form of at-risk equity awards, the payment of which is dependent upon the achievement of either or both of: (i) certain predetermined financial metrics and (ii) continued employment. The Committee generally does not use a specific formula for allocating equity-based compensation opportunity as a percentage of total compensation for the named executive officers. For 2024, consistent with prior years, the Committee considered a number of factors in establishing the level of long-term equity-based compensation opportunity for each named executive officer, primarily:</w:t>
      </w:r>
    </w:p>
    <w:p>
      <w:pPr>
        <w:spacing w:after="0" w:line="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Peer Group compensation pay practices and norms for comparable executives;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general industry pay levels for comparable executives as gathered from publicly-available sources;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historical individual performance and responsibility of the executive;</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knowledge, skills, abilities, experience, tenure and how critical the individual's role is to the Company;</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expected future responsibilities of the executive;</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the impact of recent historical equity-based compensation decisions, awards and payouts to each executive; and</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internal pay equity considerations.</w:t>
      </w:r>
    </w:p>
    <w:p>
      <w:pPr>
        <w:spacing w:after="0" w:line="9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Annual Equity Awards Program</w:t>
      </w:r>
    </w:p>
    <w:p>
      <w:pPr>
        <w:spacing w:after="0" w:line="92"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 evaluating the structure of equity-based compensation awards and type of equity award opportunities, the Committee designed equity-based awards for executive officers in 2024 that are intended to address both the long-term performance and retention objectives of our equity compensation philosophy, while at the same time promoting the achievement of operational excellence. The Committee determined that the value of the annual grant for executives who were employed by the Company when the grants were approved in the first quarter of 2024, assuming target level performance, would consist of:</w:t>
      </w:r>
    </w:p>
    <w:p>
      <w:pPr>
        <w:spacing w:after="0" w:line="39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ind w:left="660" w:right="120" w:hanging="324"/>
        <w:spacing w:after="0" w:line="268" w:lineRule="auto"/>
        <w:rPr>
          <w:sz w:val="20"/>
          <w:szCs w:val="20"/>
          <w:color w:val="auto"/>
        </w:rPr>
      </w:pPr>
      <w:r>
        <w:rPr>
          <w:rFonts w:ascii="Arial" w:cs="Arial" w:eastAsia="Arial" w:hAnsi="Arial"/>
          <w:sz w:val="18"/>
          <w:szCs w:val="18"/>
          <w:color w:val="auto"/>
        </w:rPr>
        <w:t>– 60% performance share units; the vesting of which is subject to our achievement of certain financial performance metrics, as described below, as well as the passage of time, which the Committee believes provides an appropriate balance of executive officer focus on our financial success, and economic benefit for continued employment; and</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40% time-vesting restricted stock units; which the Committee believes enhances executive officer retention.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2024 Annual Restricted Stock Unit Award Terms</w:t>
      </w:r>
    </w:p>
    <w:p>
      <w:pPr>
        <w:spacing w:after="0" w:line="115" w:lineRule="exact"/>
        <w:rPr>
          <w:sz w:val="20"/>
          <w:szCs w:val="20"/>
          <w:color w:val="auto"/>
        </w:rPr>
      </w:pPr>
    </w:p>
    <w:p>
      <w:pPr>
        <w:jc w:val="both"/>
        <w:ind w:right="260"/>
        <w:spacing w:after="0" w:line="268" w:lineRule="auto"/>
        <w:rPr>
          <w:sz w:val="20"/>
          <w:szCs w:val="20"/>
          <w:color w:val="auto"/>
        </w:rPr>
      </w:pPr>
      <w:r>
        <w:rPr>
          <w:rFonts w:ascii="Arial" w:cs="Arial" w:eastAsia="Arial" w:hAnsi="Arial"/>
          <w:sz w:val="18"/>
          <w:szCs w:val="18"/>
          <w:color w:val="auto"/>
        </w:rPr>
        <w:t>The annual restricted stock unit awards granted to the named executive officers by the Committee generally vest ratably over three years beginning on the first anniversary of the grant date, as the Committee believes that this provides appropriate officer retention benefits and, assuming the continued employment of the executive, also provides for a level of consistency in future compensation.</w:t>
      </w:r>
    </w:p>
    <w:p>
      <w:pPr>
        <w:spacing w:after="0" w:line="6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In the event that dividends are paid on shares of our common stock at any time when restricted stock unit awards remain unvested, any such dividends will accrue and be payable to the grantee upon vesting of the underlying shares. In the event such shares do not vest, no such dividends will be paid.</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2024 Annual Performance Share Unit Award Terms</w:t>
      </w:r>
    </w:p>
    <w:p>
      <w:pPr>
        <w:spacing w:after="0" w:line="11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annual performance share unit awards granted to the named executive officers had a performance period based on our fiscal year 2024 performance (described below) for all metrics. Based on achievement against the applicable performance goals, the earned portion of these awards (if any) vests ratably over three-years, generally subject to continued employment through the vesting period. These performance share unit awards, if earned, will be paid in shares of our common stock. In developing the structure of the annual performance share unit award program, the Committee believed it was important to set what it considered challenging yet attainable targets for the performance period. The Committee determined that it would be appropriate to measure our performance against multiple performance metrics during 2024. The Committee believes that the blend of fiscal 2024 performance goals along with vesting restrictions over a longer time horizon appropriately recognizes the difficulty in forecasting performance results in the automotive industry, while also promoting alignment with stockholder interests, retention of executives, and the achievement of operational excellence.</w:t>
      </w:r>
    </w:p>
    <w:p>
      <w:pPr>
        <w:spacing w:after="0" w:line="73"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The annual performance share unit awards provide each executive with a target number of performance share units that may be earned based on a mix of our absolute performance and our performance relative to the “Automotive Peer Group, (generally referencing each entity's most recent publicly available financial results) with respect to performance metrics approved by the Committee in the first quarter of the year as described below.</w:t>
      </w:r>
    </w:p>
    <w:p>
      <w:pPr>
        <w:spacing w:after="0" w:line="68"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The number of performance share units awarded to each executive (other than the Chief Executive Officer) was recommended to the Committee by the Chief Executive Officer based on the factors described above in “Equity Based Compensation Opportunity,” and included but were not limited to each executive’s past performance and level of responsibility. The number of performance share units awarded to the Chief Executive Officer was determined by the Committee and awarded to the Chief Executive Officer based on these same factors.</w:t>
      </w:r>
    </w:p>
    <w:p>
      <w:pPr>
        <w:spacing w:after="0" w:line="6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Under our 2024 annual performance share unit award program, our performance, and the actual number of shares earned was determined or scored based upon the following performance elements, and weightings, which were chosen because the Committee determined them to be key drivers of growth, operational efficiency, stockholder value and long-term performance in our industry, as follows: (a) 70% of the award was based on the Company’s 2024 adjusted EPS compared with the actual EPS targets based on the actual USAAS as reported by Wards Intelligence in the target EPS matrix as set forth below (the "EPS Target") and (b) 30% of the award was based on the Company’s 2024 adjusted EPS growth relative to the 2024 adjusted EPS growth of the companies comprising the Automotive Peer Group (the "EPS Growth Relative to Peer Target"). The Committee may exercise its discretion to assign a payout percentage regarding the relative adjusted EPS performance measure.</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tbl>
      <w:tblPr>
        <w:tblLayout w:type="fixed"/>
        <w:tblInd w:w="10" w:type="dxa"/>
        <w:tblCellMar>
          <w:top w:w="0" w:type="dxa"/>
          <w:left w:w="0" w:type="dxa"/>
          <w:bottom w:w="0" w:type="dxa"/>
          <w:right w:w="0" w:type="dxa"/>
        </w:tblCellMar>
      </w:tblPr>
      <w:tr>
        <w:trPr>
          <w:trHeight w:val="207"/>
        </w:trPr>
        <w:tc>
          <w:tcPr>
            <w:tcW w:w="238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1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0" w:type="dxa"/>
            <w:vAlign w:val="bottom"/>
            <w:tcBorders>
              <w:left w:val="single" w:sz="8" w:color="0000FF"/>
            </w:tcBorders>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8"/>
        </w:trPr>
        <w:tc>
          <w:tcPr>
            <w:tcW w:w="4180" w:type="dxa"/>
            <w:vAlign w:val="bottom"/>
            <w:gridSpan w:val="4"/>
          </w:tcPr>
          <w:p>
            <w:pPr>
              <w:spacing w:after="0"/>
              <w:rPr>
                <w:sz w:val="20"/>
                <w:szCs w:val="20"/>
                <w:color w:val="auto"/>
              </w:rPr>
            </w:pPr>
            <w:r>
              <w:rPr>
                <w:rFonts w:ascii="Arial" w:cs="Arial" w:eastAsia="Arial" w:hAnsi="Arial"/>
                <w:sz w:val="18"/>
                <w:szCs w:val="18"/>
                <w:b w:val="1"/>
                <w:bCs w:val="1"/>
                <w:i w:val="1"/>
                <w:iCs w:val="1"/>
                <w:color w:val="auto"/>
              </w:rPr>
              <w:t>USAAS Compared to Target EPS Matrix</w:t>
            </w:r>
          </w:p>
        </w:tc>
        <w:tc>
          <w:tcPr>
            <w:tcW w:w="13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14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1400" w:type="dxa"/>
            <w:vAlign w:val="bottom"/>
            <w:tcBorders>
              <w:left w:val="single" w:sz="8" w:color="D91E18"/>
            </w:tcBorders>
            <w:shd w:val="clear" w:color="auto" w:fill="D91E18"/>
          </w:tcPr>
          <w:p>
            <w:pPr>
              <w:spacing w:after="0"/>
              <w:rPr>
                <w:sz w:val="22"/>
                <w:szCs w:val="22"/>
                <w:color w:val="auto"/>
              </w:rPr>
            </w:pPr>
          </w:p>
        </w:tc>
        <w:tc>
          <w:tcPr>
            <w:tcW w:w="980" w:type="dxa"/>
            <w:vAlign w:val="bottom"/>
            <w:tcBorders>
              <w:right w:val="single" w:sz="8" w:color="D91E18"/>
            </w:tcBorders>
            <w:shd w:val="clear" w:color="auto" w:fill="D91E18"/>
          </w:tcPr>
          <w:p>
            <w:pPr>
              <w:spacing w:after="0"/>
              <w:rPr>
                <w:sz w:val="22"/>
                <w:szCs w:val="22"/>
                <w:color w:val="auto"/>
              </w:rPr>
            </w:pPr>
          </w:p>
        </w:tc>
        <w:tc>
          <w:tcPr>
            <w:tcW w:w="1800" w:type="dxa"/>
            <w:vAlign w:val="bottom"/>
            <w:gridSpan w:val="2"/>
            <w:shd w:val="clear" w:color="auto" w:fill="D91E18"/>
          </w:tcPr>
          <w:p>
            <w:pPr>
              <w:ind w:left="680"/>
              <w:spacing w:after="0"/>
              <w:rPr>
                <w:sz w:val="20"/>
                <w:szCs w:val="20"/>
                <w:color w:val="auto"/>
              </w:rPr>
            </w:pPr>
            <w:r>
              <w:rPr>
                <w:rFonts w:ascii="Arial" w:cs="Arial" w:eastAsia="Arial" w:hAnsi="Arial"/>
                <w:sz w:val="18"/>
                <w:szCs w:val="18"/>
                <w:b w:val="1"/>
                <w:bCs w:val="1"/>
                <w:color w:val="FFFFFF"/>
              </w:rPr>
              <w:t>70% Weight</w:t>
            </w:r>
          </w:p>
        </w:tc>
        <w:tc>
          <w:tcPr>
            <w:tcW w:w="1360" w:type="dxa"/>
            <w:vAlign w:val="bottom"/>
            <w:tcBorders>
              <w:right w:val="single" w:sz="8" w:color="D91E18"/>
            </w:tcBorders>
            <w:shd w:val="clear" w:color="auto" w:fill="D91E18"/>
          </w:tcPr>
          <w:p>
            <w:pPr>
              <w:spacing w:after="0"/>
              <w:rPr>
                <w:sz w:val="22"/>
                <w:szCs w:val="22"/>
                <w:color w:val="auto"/>
              </w:rPr>
            </w:pPr>
          </w:p>
        </w:tc>
        <w:tc>
          <w:tcPr>
            <w:tcW w:w="1600" w:type="dxa"/>
            <w:vAlign w:val="bottom"/>
            <w:tcBorders>
              <w:right w:val="single" w:sz="8" w:color="E5E5E5"/>
            </w:tcBorders>
            <w:shd w:val="clear" w:color="auto" w:fill="D91E18"/>
          </w:tcPr>
          <w:p>
            <w:pPr>
              <w:spacing w:after="0"/>
              <w:rPr>
                <w:sz w:val="22"/>
                <w:szCs w:val="22"/>
                <w:color w:val="auto"/>
              </w:rPr>
            </w:pPr>
          </w:p>
        </w:tc>
        <w:tc>
          <w:tcPr>
            <w:tcW w:w="560" w:type="dxa"/>
            <w:vAlign w:val="bottom"/>
            <w:tcBorders>
              <w:right w:val="single" w:sz="8" w:color="E5E5E5"/>
            </w:tcBorders>
          </w:tcPr>
          <w:p>
            <w:pPr>
              <w:spacing w:after="0"/>
              <w:rPr>
                <w:sz w:val="22"/>
                <w:szCs w:val="22"/>
                <w:color w:val="auto"/>
              </w:rPr>
            </w:pPr>
          </w:p>
        </w:tc>
        <w:tc>
          <w:tcPr>
            <w:tcW w:w="3560" w:type="dxa"/>
            <w:vAlign w:val="bottom"/>
            <w:tcBorders>
              <w:right w:val="single" w:sz="8" w:color="D91E18"/>
            </w:tcBorders>
            <w:gridSpan w:val="2"/>
            <w:shd w:val="clear" w:color="auto" w:fill="D91E18"/>
          </w:tcPr>
          <w:p>
            <w:pPr>
              <w:jc w:val="center"/>
              <w:spacing w:after="0"/>
              <w:rPr>
                <w:sz w:val="20"/>
                <w:szCs w:val="20"/>
                <w:color w:val="auto"/>
              </w:rPr>
            </w:pPr>
            <w:r>
              <w:rPr>
                <w:rFonts w:ascii="Arial" w:cs="Arial" w:eastAsia="Arial" w:hAnsi="Arial"/>
                <w:sz w:val="18"/>
                <w:szCs w:val="18"/>
                <w:b w:val="1"/>
                <w:bCs w:val="1"/>
                <w:color w:val="FFFFFF"/>
              </w:rPr>
              <w:t>30% Weight</w:t>
            </w:r>
          </w:p>
        </w:tc>
        <w:tc>
          <w:tcPr>
            <w:tcW w:w="0" w:type="dxa"/>
            <w:vAlign w:val="bottom"/>
          </w:tcPr>
          <w:p>
            <w:pPr>
              <w:spacing w:after="0"/>
              <w:rPr>
                <w:sz w:val="1"/>
                <w:szCs w:val="1"/>
                <w:color w:val="auto"/>
              </w:rPr>
            </w:pPr>
          </w:p>
        </w:tc>
      </w:tr>
      <w:tr>
        <w:trPr>
          <w:trHeight w:val="81"/>
        </w:trPr>
        <w:tc>
          <w:tcPr>
            <w:tcW w:w="14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6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500" w:type="dxa"/>
            <w:vAlign w:val="bottom"/>
          </w:tcPr>
          <w:p>
            <w:pPr>
              <w:spacing w:after="0"/>
              <w:rPr>
                <w:sz w:val="7"/>
                <w:szCs w:val="7"/>
                <w:color w:val="auto"/>
              </w:rPr>
            </w:pPr>
          </w:p>
        </w:tc>
        <w:tc>
          <w:tcPr>
            <w:tcW w:w="20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7"/>
        </w:trPr>
        <w:tc>
          <w:tcPr>
            <w:tcW w:w="1400" w:type="dxa"/>
            <w:vAlign w:val="bottom"/>
            <w:tcBorders>
              <w:left w:val="single" w:sz="8" w:color="E5E5E5"/>
            </w:tcBorders>
            <w:shd w:val="clear" w:color="auto" w:fill="D91E18"/>
          </w:tcPr>
          <w:p>
            <w:pPr>
              <w:spacing w:after="0"/>
              <w:rPr>
                <w:sz w:val="24"/>
                <w:szCs w:val="24"/>
                <w:color w:val="auto"/>
              </w:rPr>
            </w:pPr>
          </w:p>
        </w:tc>
        <w:tc>
          <w:tcPr>
            <w:tcW w:w="980" w:type="dxa"/>
            <w:vAlign w:val="bottom"/>
            <w:tcBorders>
              <w:right w:val="single" w:sz="8" w:color="D91E18"/>
            </w:tcBorders>
            <w:shd w:val="clear" w:color="auto" w:fill="D91E18"/>
          </w:tcPr>
          <w:p>
            <w:pPr>
              <w:spacing w:after="0"/>
              <w:rPr>
                <w:sz w:val="24"/>
                <w:szCs w:val="24"/>
                <w:color w:val="auto"/>
              </w:rPr>
            </w:pPr>
          </w:p>
        </w:tc>
        <w:tc>
          <w:tcPr>
            <w:tcW w:w="1580" w:type="dxa"/>
            <w:vAlign w:val="bottom"/>
            <w:tcBorders>
              <w:right w:val="single" w:sz="8" w:color="D91E18"/>
            </w:tcBorders>
            <w:shd w:val="clear" w:color="auto" w:fill="D91E18"/>
          </w:tcPr>
          <w:p>
            <w:pPr>
              <w:spacing w:after="0"/>
              <w:rPr>
                <w:sz w:val="24"/>
                <w:szCs w:val="24"/>
                <w:color w:val="auto"/>
              </w:rPr>
            </w:pPr>
          </w:p>
        </w:tc>
        <w:tc>
          <w:tcPr>
            <w:tcW w:w="220" w:type="dxa"/>
            <w:vAlign w:val="bottom"/>
            <w:shd w:val="clear" w:color="auto" w:fill="D91E18"/>
          </w:tcPr>
          <w:p>
            <w:pPr>
              <w:spacing w:after="0"/>
              <w:rPr>
                <w:sz w:val="24"/>
                <w:szCs w:val="24"/>
                <w:color w:val="auto"/>
              </w:rPr>
            </w:pPr>
          </w:p>
        </w:tc>
        <w:tc>
          <w:tcPr>
            <w:tcW w:w="1360" w:type="dxa"/>
            <w:vAlign w:val="bottom"/>
            <w:tcBorders>
              <w:right w:val="single" w:sz="8" w:color="D91E18"/>
            </w:tcBorders>
            <w:shd w:val="clear" w:color="auto" w:fill="D91E18"/>
          </w:tcPr>
          <w:p>
            <w:pPr>
              <w:jc w:val="center"/>
              <w:ind w:right="150"/>
              <w:spacing w:after="0"/>
              <w:rPr>
                <w:sz w:val="20"/>
                <w:szCs w:val="20"/>
                <w:color w:val="auto"/>
              </w:rPr>
            </w:pPr>
            <w:r>
              <w:rPr>
                <w:rFonts w:ascii="Arial" w:cs="Arial" w:eastAsia="Arial" w:hAnsi="Arial"/>
                <w:sz w:val="18"/>
                <w:szCs w:val="18"/>
                <w:b w:val="1"/>
                <w:bCs w:val="1"/>
                <w:color w:val="FFFFFF"/>
                <w:w w:val="99"/>
              </w:rPr>
              <w:t>1-Year EPS</w:t>
            </w:r>
          </w:p>
        </w:tc>
        <w:tc>
          <w:tcPr>
            <w:tcW w:w="1600" w:type="dxa"/>
            <w:vAlign w:val="bottom"/>
            <w:tcBorders>
              <w:right w:val="single" w:sz="8" w:color="E5E5E5"/>
            </w:tcBorders>
            <w:shd w:val="clear" w:color="auto" w:fill="D91E18"/>
          </w:tcPr>
          <w:p>
            <w:pPr>
              <w:spacing w:after="0"/>
              <w:rPr>
                <w:sz w:val="24"/>
                <w:szCs w:val="24"/>
                <w:color w:val="auto"/>
              </w:rPr>
            </w:pPr>
          </w:p>
        </w:tc>
        <w:tc>
          <w:tcPr>
            <w:tcW w:w="560" w:type="dxa"/>
            <w:vAlign w:val="bottom"/>
            <w:tcBorders>
              <w:right w:val="single" w:sz="8" w:color="E5E5E5"/>
            </w:tcBorders>
          </w:tcPr>
          <w:p>
            <w:pPr>
              <w:spacing w:after="0"/>
              <w:rPr>
                <w:sz w:val="24"/>
                <w:szCs w:val="24"/>
                <w:color w:val="auto"/>
              </w:rPr>
            </w:pPr>
          </w:p>
        </w:tc>
        <w:tc>
          <w:tcPr>
            <w:tcW w:w="1500" w:type="dxa"/>
            <w:vAlign w:val="bottom"/>
            <w:tcBorders>
              <w:right w:val="single" w:sz="8" w:color="D91E18"/>
            </w:tcBorders>
            <w:shd w:val="clear" w:color="auto" w:fill="D91E18"/>
          </w:tcPr>
          <w:p>
            <w:pPr>
              <w:spacing w:after="0"/>
              <w:rPr>
                <w:sz w:val="24"/>
                <w:szCs w:val="24"/>
                <w:color w:val="auto"/>
              </w:rPr>
            </w:pPr>
          </w:p>
        </w:tc>
        <w:tc>
          <w:tcPr>
            <w:tcW w:w="2060" w:type="dxa"/>
            <w:vAlign w:val="bottom"/>
            <w:tcBorders>
              <w:right w:val="single" w:sz="8" w:color="E5E5E5"/>
            </w:tcBorders>
            <w:shd w:val="clear" w:color="auto" w:fill="D91E18"/>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E5E5E5"/>
            </w:tcBorders>
            <w:shd w:val="clear" w:color="auto" w:fill="D91E18"/>
          </w:tcPr>
          <w:p>
            <w:pPr>
              <w:spacing w:after="0"/>
              <w:rPr>
                <w:sz w:val="23"/>
                <w:szCs w:val="23"/>
                <w:color w:val="auto"/>
              </w:rPr>
            </w:pPr>
          </w:p>
        </w:tc>
        <w:tc>
          <w:tcPr>
            <w:tcW w:w="980" w:type="dxa"/>
            <w:vAlign w:val="bottom"/>
            <w:tcBorders>
              <w:right w:val="single" w:sz="8" w:color="D91E18"/>
            </w:tcBorders>
            <w:shd w:val="clear" w:color="auto" w:fill="D91E18"/>
          </w:tcPr>
          <w:p>
            <w:pPr>
              <w:spacing w:after="0"/>
              <w:rPr>
                <w:sz w:val="23"/>
                <w:szCs w:val="23"/>
                <w:color w:val="auto"/>
              </w:rPr>
            </w:pPr>
          </w:p>
        </w:tc>
        <w:tc>
          <w:tcPr>
            <w:tcW w:w="1580" w:type="dxa"/>
            <w:vAlign w:val="bottom"/>
            <w:tcBorders>
              <w:right w:val="single" w:sz="8" w:color="E5E5E5"/>
            </w:tcBorders>
            <w:shd w:val="clear" w:color="auto" w:fill="D91E18"/>
          </w:tcPr>
          <w:p>
            <w:pPr>
              <w:ind w:left="340"/>
              <w:spacing w:after="0"/>
              <w:rPr>
                <w:sz w:val="20"/>
                <w:szCs w:val="20"/>
                <w:color w:val="auto"/>
              </w:rPr>
            </w:pPr>
            <w:r>
              <w:rPr>
                <w:rFonts w:ascii="Arial" w:cs="Arial" w:eastAsia="Arial" w:hAnsi="Arial"/>
                <w:sz w:val="18"/>
                <w:szCs w:val="18"/>
                <w:b w:val="1"/>
                <w:bCs w:val="1"/>
                <w:color w:val="FFFFFF"/>
              </w:rPr>
              <w:t>Threshold</w:t>
            </w:r>
          </w:p>
        </w:tc>
        <w:tc>
          <w:tcPr>
            <w:tcW w:w="220" w:type="dxa"/>
            <w:vAlign w:val="bottom"/>
            <w:shd w:val="clear" w:color="auto" w:fill="D91E18"/>
          </w:tcPr>
          <w:p>
            <w:pPr>
              <w:spacing w:after="0"/>
              <w:rPr>
                <w:sz w:val="23"/>
                <w:szCs w:val="23"/>
                <w:color w:val="auto"/>
              </w:rPr>
            </w:pPr>
          </w:p>
        </w:tc>
        <w:tc>
          <w:tcPr>
            <w:tcW w:w="1360" w:type="dxa"/>
            <w:vAlign w:val="bottom"/>
            <w:tcBorders>
              <w:right w:val="single" w:sz="8" w:color="E5E5E5"/>
            </w:tcBorders>
            <w:shd w:val="clear" w:color="auto" w:fill="D91E18"/>
          </w:tcPr>
          <w:p>
            <w:pPr>
              <w:jc w:val="center"/>
              <w:ind w:right="150"/>
              <w:spacing w:after="0"/>
              <w:rPr>
                <w:sz w:val="20"/>
                <w:szCs w:val="20"/>
                <w:color w:val="auto"/>
              </w:rPr>
            </w:pPr>
            <w:r>
              <w:rPr>
                <w:rFonts w:ascii="Arial" w:cs="Arial" w:eastAsia="Arial" w:hAnsi="Arial"/>
                <w:sz w:val="18"/>
                <w:szCs w:val="18"/>
                <w:b w:val="1"/>
                <w:bCs w:val="1"/>
                <w:color w:val="FFFFFF"/>
                <w:w w:val="94"/>
              </w:rPr>
              <w:t>Target</w:t>
            </w:r>
          </w:p>
        </w:tc>
        <w:tc>
          <w:tcPr>
            <w:tcW w:w="1600" w:type="dxa"/>
            <w:vAlign w:val="bottom"/>
            <w:tcBorders>
              <w:right w:val="single" w:sz="8" w:color="E5E5E5"/>
            </w:tcBorders>
            <w:shd w:val="clear" w:color="auto" w:fill="D91E18"/>
          </w:tcPr>
          <w:p>
            <w:pPr>
              <w:ind w:left="380"/>
              <w:spacing w:after="0"/>
              <w:rPr>
                <w:sz w:val="20"/>
                <w:szCs w:val="20"/>
                <w:color w:val="auto"/>
              </w:rPr>
            </w:pPr>
            <w:r>
              <w:rPr>
                <w:rFonts w:ascii="Arial" w:cs="Arial" w:eastAsia="Arial" w:hAnsi="Arial"/>
                <w:sz w:val="18"/>
                <w:szCs w:val="18"/>
                <w:b w:val="1"/>
                <w:bCs w:val="1"/>
                <w:color w:val="FFFFFF"/>
              </w:rPr>
              <w:t>Maximum</w:t>
            </w:r>
          </w:p>
        </w:tc>
        <w:tc>
          <w:tcPr>
            <w:tcW w:w="560" w:type="dxa"/>
            <w:vAlign w:val="bottom"/>
            <w:tcBorders>
              <w:right w:val="single" w:sz="8" w:color="E5E5E5"/>
            </w:tcBorders>
          </w:tcPr>
          <w:p>
            <w:pPr>
              <w:spacing w:after="0"/>
              <w:rPr>
                <w:sz w:val="23"/>
                <w:szCs w:val="23"/>
                <w:color w:val="auto"/>
              </w:rPr>
            </w:pPr>
          </w:p>
        </w:tc>
        <w:tc>
          <w:tcPr>
            <w:tcW w:w="3560" w:type="dxa"/>
            <w:vAlign w:val="bottom"/>
            <w:tcBorders>
              <w:right w:val="single" w:sz="8" w:color="E5E5E5"/>
            </w:tcBorders>
            <w:gridSpan w:val="2"/>
            <w:shd w:val="clear" w:color="auto" w:fill="D91E18"/>
          </w:tcPr>
          <w:p>
            <w:pPr>
              <w:jc w:val="center"/>
              <w:spacing w:after="0"/>
              <w:rPr>
                <w:sz w:val="20"/>
                <w:szCs w:val="20"/>
                <w:color w:val="auto"/>
              </w:rPr>
            </w:pPr>
            <w:r>
              <w:rPr>
                <w:rFonts w:ascii="Arial" w:cs="Arial" w:eastAsia="Arial" w:hAnsi="Arial"/>
                <w:sz w:val="18"/>
                <w:szCs w:val="18"/>
                <w:b w:val="1"/>
                <w:bCs w:val="1"/>
                <w:color w:val="FFFFFF"/>
                <w:w w:val="99"/>
              </w:rPr>
              <w:t>Adjusted EPS Growth Relative to Peers</w:t>
            </w:r>
          </w:p>
        </w:tc>
        <w:tc>
          <w:tcPr>
            <w:tcW w:w="0" w:type="dxa"/>
            <w:vAlign w:val="bottom"/>
          </w:tcPr>
          <w:p>
            <w:pPr>
              <w:spacing w:after="0"/>
              <w:rPr>
                <w:sz w:val="1"/>
                <w:szCs w:val="1"/>
                <w:color w:val="auto"/>
              </w:rPr>
            </w:pPr>
          </w:p>
        </w:tc>
      </w:tr>
      <w:tr>
        <w:trPr>
          <w:trHeight w:val="277"/>
        </w:trPr>
        <w:tc>
          <w:tcPr>
            <w:tcW w:w="2380" w:type="dxa"/>
            <w:vAlign w:val="bottom"/>
            <w:tcBorders>
              <w:left w:val="single" w:sz="8" w:color="E5E5E5"/>
              <w:right w:val="single" w:sz="8" w:color="D91E18"/>
            </w:tcBorders>
            <w:gridSpan w:val="2"/>
            <w:shd w:val="clear" w:color="auto" w:fill="D91E18"/>
          </w:tcPr>
          <w:p>
            <w:pPr>
              <w:jc w:val="center"/>
              <w:ind w:right="20"/>
              <w:spacing w:after="0"/>
              <w:rPr>
                <w:sz w:val="20"/>
                <w:szCs w:val="20"/>
                <w:color w:val="auto"/>
              </w:rPr>
            </w:pPr>
            <w:r>
              <w:rPr>
                <w:rFonts w:ascii="Arial" w:cs="Arial" w:eastAsia="Arial" w:hAnsi="Arial"/>
                <w:sz w:val="18"/>
                <w:szCs w:val="18"/>
                <w:b w:val="1"/>
                <w:bCs w:val="1"/>
                <w:color w:val="FFFFFF"/>
                <w:w w:val="99"/>
              </w:rPr>
              <w:t>2024 USAAS</w:t>
            </w:r>
          </w:p>
        </w:tc>
        <w:tc>
          <w:tcPr>
            <w:tcW w:w="1580" w:type="dxa"/>
            <w:vAlign w:val="bottom"/>
            <w:tcBorders>
              <w:right w:val="single" w:sz="8" w:color="E5E5E5"/>
            </w:tcBorders>
            <w:shd w:val="clear" w:color="auto" w:fill="D91E18"/>
          </w:tcPr>
          <w:p>
            <w:pPr>
              <w:jc w:val="center"/>
              <w:spacing w:after="0"/>
              <w:rPr>
                <w:sz w:val="20"/>
                <w:szCs w:val="20"/>
                <w:color w:val="auto"/>
              </w:rPr>
            </w:pPr>
            <w:r>
              <w:rPr>
                <w:rFonts w:ascii="Arial" w:cs="Arial" w:eastAsia="Arial" w:hAnsi="Arial"/>
                <w:sz w:val="18"/>
                <w:szCs w:val="18"/>
                <w:b w:val="1"/>
                <w:bCs w:val="1"/>
                <w:color w:val="FFFFFF"/>
                <w:w w:val="99"/>
              </w:rPr>
              <w:t>(85)%</w:t>
            </w:r>
          </w:p>
        </w:tc>
        <w:tc>
          <w:tcPr>
            <w:tcW w:w="220" w:type="dxa"/>
            <w:vAlign w:val="bottom"/>
            <w:shd w:val="clear" w:color="auto" w:fill="D91E18"/>
          </w:tcPr>
          <w:p>
            <w:pPr>
              <w:spacing w:after="0"/>
              <w:rPr>
                <w:sz w:val="24"/>
                <w:szCs w:val="24"/>
                <w:color w:val="auto"/>
              </w:rPr>
            </w:pPr>
          </w:p>
        </w:tc>
        <w:tc>
          <w:tcPr>
            <w:tcW w:w="1360" w:type="dxa"/>
            <w:vAlign w:val="bottom"/>
            <w:tcBorders>
              <w:right w:val="single" w:sz="8" w:color="E5E5E5"/>
            </w:tcBorders>
            <w:shd w:val="clear" w:color="auto" w:fill="D91E18"/>
          </w:tcPr>
          <w:p>
            <w:pPr>
              <w:jc w:val="center"/>
              <w:ind w:right="170"/>
              <w:spacing w:after="0"/>
              <w:rPr>
                <w:sz w:val="20"/>
                <w:szCs w:val="20"/>
                <w:color w:val="auto"/>
              </w:rPr>
            </w:pPr>
            <w:r>
              <w:rPr>
                <w:rFonts w:ascii="Arial" w:cs="Arial" w:eastAsia="Arial" w:hAnsi="Arial"/>
                <w:sz w:val="18"/>
                <w:szCs w:val="18"/>
                <w:b w:val="1"/>
                <w:bCs w:val="1"/>
                <w:color w:val="FFFFFF"/>
                <w:w w:val="99"/>
              </w:rPr>
              <w:t>(100)%</w:t>
            </w:r>
          </w:p>
        </w:tc>
        <w:tc>
          <w:tcPr>
            <w:tcW w:w="1600" w:type="dxa"/>
            <w:vAlign w:val="bottom"/>
            <w:tcBorders>
              <w:right w:val="single" w:sz="8" w:color="E5E5E5"/>
            </w:tcBorders>
            <w:shd w:val="clear" w:color="auto" w:fill="D91E18"/>
          </w:tcPr>
          <w:p>
            <w:pPr>
              <w:jc w:val="center"/>
              <w:spacing w:after="0"/>
              <w:rPr>
                <w:sz w:val="20"/>
                <w:szCs w:val="20"/>
                <w:color w:val="auto"/>
              </w:rPr>
            </w:pPr>
            <w:r>
              <w:rPr>
                <w:rFonts w:ascii="Arial" w:cs="Arial" w:eastAsia="Arial" w:hAnsi="Arial"/>
                <w:sz w:val="18"/>
                <w:szCs w:val="18"/>
                <w:b w:val="1"/>
                <w:bCs w:val="1"/>
                <w:color w:val="FFFFFF"/>
                <w:w w:val="99"/>
              </w:rPr>
              <w:t>(115)%</w:t>
            </w:r>
          </w:p>
        </w:tc>
        <w:tc>
          <w:tcPr>
            <w:tcW w:w="560" w:type="dxa"/>
            <w:vAlign w:val="bottom"/>
            <w:tcBorders>
              <w:right w:val="single" w:sz="8" w:color="E5E5E5"/>
            </w:tcBorders>
          </w:tcPr>
          <w:p>
            <w:pPr>
              <w:spacing w:after="0"/>
              <w:rPr>
                <w:sz w:val="24"/>
                <w:szCs w:val="24"/>
                <w:color w:val="auto"/>
              </w:rPr>
            </w:pPr>
          </w:p>
        </w:tc>
        <w:tc>
          <w:tcPr>
            <w:tcW w:w="1500" w:type="dxa"/>
            <w:vAlign w:val="bottom"/>
            <w:tcBorders>
              <w:right w:val="single" w:sz="8" w:color="E5E5E5"/>
            </w:tcBorders>
            <w:shd w:val="clear" w:color="auto" w:fill="D91E18"/>
          </w:tcPr>
          <w:p>
            <w:pPr>
              <w:jc w:val="center"/>
              <w:spacing w:after="0"/>
              <w:rPr>
                <w:sz w:val="20"/>
                <w:szCs w:val="20"/>
                <w:color w:val="auto"/>
              </w:rPr>
            </w:pPr>
            <w:r>
              <w:rPr>
                <w:rFonts w:ascii="Arial" w:cs="Arial" w:eastAsia="Arial" w:hAnsi="Arial"/>
                <w:sz w:val="18"/>
                <w:szCs w:val="18"/>
                <w:b w:val="1"/>
                <w:bCs w:val="1"/>
                <w:color w:val="FFFFFF"/>
                <w:w w:val="99"/>
              </w:rPr>
              <w:t>Performance</w:t>
            </w:r>
          </w:p>
        </w:tc>
        <w:tc>
          <w:tcPr>
            <w:tcW w:w="2060" w:type="dxa"/>
            <w:vAlign w:val="bottom"/>
            <w:tcBorders>
              <w:right w:val="single" w:sz="8" w:color="E5E5E5"/>
            </w:tcBorders>
            <w:shd w:val="clear" w:color="auto" w:fill="D91E18"/>
          </w:tcPr>
          <w:p>
            <w:pPr>
              <w:ind w:left="200"/>
              <w:spacing w:after="0"/>
              <w:rPr>
                <w:sz w:val="20"/>
                <w:szCs w:val="20"/>
                <w:color w:val="auto"/>
              </w:rPr>
            </w:pPr>
            <w:r>
              <w:rPr>
                <w:rFonts w:ascii="Arial" w:cs="Arial" w:eastAsia="Arial" w:hAnsi="Arial"/>
                <w:sz w:val="18"/>
                <w:szCs w:val="18"/>
                <w:b w:val="1"/>
                <w:bCs w:val="1"/>
                <w:color w:val="FFFFFF"/>
              </w:rPr>
              <w:t>Payout % of Target</w:t>
            </w:r>
          </w:p>
        </w:tc>
        <w:tc>
          <w:tcPr>
            <w:tcW w:w="0" w:type="dxa"/>
            <w:vAlign w:val="bottom"/>
          </w:tcPr>
          <w:p>
            <w:pPr>
              <w:spacing w:after="0"/>
              <w:rPr>
                <w:sz w:val="1"/>
                <w:szCs w:val="1"/>
                <w:color w:val="auto"/>
              </w:rPr>
            </w:pPr>
          </w:p>
        </w:tc>
      </w:tr>
      <w:tr>
        <w:trPr>
          <w:trHeight w:val="256"/>
        </w:trPr>
        <w:tc>
          <w:tcPr>
            <w:tcW w:w="2380" w:type="dxa"/>
            <w:vAlign w:val="bottom"/>
            <w:tcBorders>
              <w:left w:val="single" w:sz="8" w:color="E5E5E5"/>
              <w:bottom w:val="single" w:sz="8" w:color="E5E5E5"/>
              <w:right w:val="single" w:sz="8" w:color="E5E5E5"/>
            </w:tcBorders>
            <w:gridSpan w:val="2"/>
            <w:shd w:val="clear" w:color="auto" w:fill="E5E5E5"/>
          </w:tcPr>
          <w:p>
            <w:pPr>
              <w:jc w:val="center"/>
              <w:spacing w:after="0"/>
              <w:rPr>
                <w:sz w:val="20"/>
                <w:szCs w:val="20"/>
                <w:color w:val="auto"/>
              </w:rPr>
            </w:pPr>
            <w:r>
              <w:rPr>
                <w:rFonts w:ascii="Arial" w:cs="Arial" w:eastAsia="Arial" w:hAnsi="Arial"/>
                <w:sz w:val="18"/>
                <w:szCs w:val="18"/>
                <w:color w:val="auto"/>
                <w:w w:val="99"/>
              </w:rPr>
              <w:t>14.2 &amp; Lower</w:t>
            </w:r>
          </w:p>
        </w:tc>
        <w:tc>
          <w:tcPr>
            <w:tcW w:w="1580" w:type="dxa"/>
            <w:vAlign w:val="bottom"/>
            <w:tcBorders>
              <w:bottom w:val="single" w:sz="8" w:color="E5E5E5"/>
              <w:right w:val="single" w:sz="8" w:color="E5E5E5"/>
            </w:tcBorders>
            <w:shd w:val="clear" w:color="auto" w:fill="E5E5E5"/>
          </w:tcPr>
          <w:p>
            <w:pPr>
              <w:jc w:val="center"/>
              <w:spacing w:after="0"/>
              <w:rPr>
                <w:sz w:val="20"/>
                <w:szCs w:val="20"/>
                <w:color w:val="auto"/>
              </w:rPr>
            </w:pPr>
            <w:r>
              <w:rPr>
                <w:rFonts w:ascii="Arial" w:cs="Arial" w:eastAsia="Arial" w:hAnsi="Arial"/>
                <w:sz w:val="18"/>
                <w:szCs w:val="18"/>
                <w:color w:val="auto"/>
                <w:w w:val="98"/>
              </w:rPr>
              <w:t>$25.26</w:t>
            </w:r>
          </w:p>
        </w:tc>
        <w:tc>
          <w:tcPr>
            <w:tcW w:w="220" w:type="dxa"/>
            <w:vAlign w:val="bottom"/>
            <w:tcBorders>
              <w:bottom w:val="single" w:sz="8" w:color="E5E5E5"/>
            </w:tcBorders>
            <w:shd w:val="clear" w:color="auto" w:fill="E5E5E5"/>
          </w:tcPr>
          <w:p>
            <w:pPr>
              <w:spacing w:after="0"/>
              <w:rPr>
                <w:sz w:val="22"/>
                <w:szCs w:val="22"/>
                <w:color w:val="auto"/>
              </w:rPr>
            </w:pPr>
          </w:p>
        </w:tc>
        <w:tc>
          <w:tcPr>
            <w:tcW w:w="1360" w:type="dxa"/>
            <w:vAlign w:val="bottom"/>
            <w:tcBorders>
              <w:bottom w:val="single" w:sz="8" w:color="E5E5E5"/>
              <w:right w:val="single" w:sz="8" w:color="E5E5E5"/>
            </w:tcBorders>
            <w:shd w:val="clear" w:color="auto" w:fill="E5E5E5"/>
          </w:tcPr>
          <w:p>
            <w:pPr>
              <w:jc w:val="center"/>
              <w:ind w:right="150"/>
              <w:spacing w:after="0"/>
              <w:rPr>
                <w:sz w:val="20"/>
                <w:szCs w:val="20"/>
                <w:color w:val="auto"/>
              </w:rPr>
            </w:pPr>
            <w:r>
              <w:rPr>
                <w:rFonts w:ascii="Arial" w:cs="Arial" w:eastAsia="Arial" w:hAnsi="Arial"/>
                <w:sz w:val="18"/>
                <w:szCs w:val="18"/>
                <w:color w:val="auto"/>
              </w:rPr>
              <w:t>$29.72</w:t>
            </w:r>
          </w:p>
        </w:tc>
        <w:tc>
          <w:tcPr>
            <w:tcW w:w="1600" w:type="dxa"/>
            <w:vAlign w:val="bottom"/>
            <w:tcBorders>
              <w:bottom w:val="single" w:sz="8" w:color="E5E5E5"/>
              <w:right w:val="single" w:sz="8" w:color="E5E5E5"/>
            </w:tcBorders>
            <w:shd w:val="clear" w:color="auto" w:fill="E5E5E5"/>
          </w:tcPr>
          <w:p>
            <w:pPr>
              <w:jc w:val="center"/>
              <w:spacing w:after="0"/>
              <w:rPr>
                <w:sz w:val="20"/>
                <w:szCs w:val="20"/>
                <w:color w:val="auto"/>
              </w:rPr>
            </w:pPr>
            <w:r>
              <w:rPr>
                <w:rFonts w:ascii="Arial" w:cs="Arial" w:eastAsia="Arial" w:hAnsi="Arial"/>
                <w:sz w:val="18"/>
                <w:szCs w:val="18"/>
                <w:color w:val="auto"/>
                <w:w w:val="98"/>
              </w:rPr>
              <w:t>$34.18</w:t>
            </w:r>
          </w:p>
        </w:tc>
        <w:tc>
          <w:tcPr>
            <w:tcW w:w="560" w:type="dxa"/>
            <w:vAlign w:val="bottom"/>
            <w:tcBorders>
              <w:right w:val="single" w:sz="8" w:color="E5E5E5"/>
            </w:tcBorders>
          </w:tcPr>
          <w:p>
            <w:pPr>
              <w:spacing w:after="0"/>
              <w:rPr>
                <w:sz w:val="22"/>
                <w:szCs w:val="22"/>
                <w:color w:val="auto"/>
              </w:rPr>
            </w:pPr>
          </w:p>
        </w:tc>
        <w:tc>
          <w:tcPr>
            <w:tcW w:w="1500" w:type="dxa"/>
            <w:vAlign w:val="bottom"/>
            <w:tcBorders>
              <w:right w:val="single" w:sz="8" w:color="E5E5E5"/>
            </w:tcBorders>
          </w:tcPr>
          <w:p>
            <w:pPr>
              <w:spacing w:after="0"/>
              <w:rPr>
                <w:sz w:val="22"/>
                <w:szCs w:val="22"/>
                <w:color w:val="auto"/>
              </w:rPr>
            </w:pPr>
          </w:p>
        </w:tc>
        <w:tc>
          <w:tcPr>
            <w:tcW w:w="2060" w:type="dxa"/>
            <w:vAlign w:val="bottom"/>
            <w:tcBorders>
              <w:bottom w:val="single" w:sz="8" w:color="E5E5E5"/>
              <w:right w:val="single" w:sz="8" w:color="E5E5E5"/>
            </w:tcBorders>
          </w:tcPr>
          <w:p>
            <w:pPr>
              <w:jc w:val="center"/>
              <w:spacing w:after="0"/>
              <w:rPr>
                <w:sz w:val="20"/>
                <w:szCs w:val="20"/>
                <w:color w:val="auto"/>
              </w:rPr>
            </w:pPr>
            <w:r>
              <w:rPr>
                <w:rFonts w:ascii="Arial" w:cs="Arial" w:eastAsia="Arial" w:hAnsi="Arial"/>
                <w:sz w:val="18"/>
                <w:szCs w:val="18"/>
                <w:color w:val="auto"/>
                <w:w w:val="99"/>
              </w:rPr>
              <w:t>150%</w:t>
            </w:r>
          </w:p>
        </w:tc>
        <w:tc>
          <w:tcPr>
            <w:tcW w:w="0" w:type="dxa"/>
            <w:vAlign w:val="bottom"/>
          </w:tcPr>
          <w:p>
            <w:pPr>
              <w:spacing w:after="0"/>
              <w:rPr>
                <w:sz w:val="1"/>
                <w:szCs w:val="1"/>
                <w:color w:val="auto"/>
              </w:rPr>
            </w:pPr>
          </w:p>
        </w:tc>
      </w:tr>
      <w:tr>
        <w:trPr>
          <w:trHeight w:val="284"/>
        </w:trPr>
        <w:tc>
          <w:tcPr>
            <w:tcW w:w="1400" w:type="dxa"/>
            <w:vAlign w:val="bottom"/>
            <w:tcBorders>
              <w:left w:val="single" w:sz="8" w:color="E5E5E5"/>
              <w:bottom w:val="single" w:sz="8" w:color="E5E5E5"/>
            </w:tcBorders>
          </w:tcPr>
          <w:p>
            <w:pPr>
              <w:jc w:val="center"/>
              <w:ind w:left="870"/>
              <w:spacing w:after="0"/>
              <w:rPr>
                <w:sz w:val="20"/>
                <w:szCs w:val="20"/>
                <w:color w:val="auto"/>
              </w:rPr>
            </w:pPr>
            <w:r>
              <w:rPr>
                <w:rFonts w:ascii="Arial" w:cs="Arial" w:eastAsia="Arial" w:hAnsi="Arial"/>
                <w:sz w:val="18"/>
                <w:szCs w:val="18"/>
                <w:color w:val="auto"/>
              </w:rPr>
              <w:t>14.7</w:t>
            </w:r>
          </w:p>
        </w:tc>
        <w:tc>
          <w:tcPr>
            <w:tcW w:w="980" w:type="dxa"/>
            <w:vAlign w:val="bottom"/>
            <w:tcBorders>
              <w:bottom w:val="single" w:sz="8" w:color="E5E5E5"/>
              <w:right w:val="single" w:sz="8" w:color="E5E5E5"/>
            </w:tcBorders>
          </w:tcPr>
          <w:p>
            <w:pPr>
              <w:spacing w:after="0"/>
              <w:rPr>
                <w:sz w:val="24"/>
                <w:szCs w:val="24"/>
                <w:color w:val="auto"/>
              </w:rPr>
            </w:pPr>
          </w:p>
        </w:tc>
        <w:tc>
          <w:tcPr>
            <w:tcW w:w="1580" w:type="dxa"/>
            <w:vAlign w:val="bottom"/>
            <w:tcBorders>
              <w:bottom w:val="single" w:sz="8" w:color="E5E5E5"/>
              <w:right w:val="single" w:sz="8" w:color="E5E5E5"/>
            </w:tcBorders>
          </w:tcPr>
          <w:p>
            <w:pPr>
              <w:jc w:val="center"/>
              <w:spacing w:after="0"/>
              <w:rPr>
                <w:sz w:val="20"/>
                <w:szCs w:val="20"/>
                <w:color w:val="auto"/>
              </w:rPr>
            </w:pPr>
            <w:r>
              <w:rPr>
                <w:rFonts w:ascii="Arial" w:cs="Arial" w:eastAsia="Arial" w:hAnsi="Arial"/>
                <w:sz w:val="18"/>
                <w:szCs w:val="18"/>
                <w:color w:val="auto"/>
                <w:w w:val="98"/>
              </w:rPr>
              <w:t>$25.82</w:t>
            </w:r>
          </w:p>
        </w:tc>
        <w:tc>
          <w:tcPr>
            <w:tcW w:w="220" w:type="dxa"/>
            <w:vAlign w:val="bottom"/>
            <w:tcBorders>
              <w:bottom w:val="single" w:sz="8" w:color="E5E5E5"/>
            </w:tcBorders>
          </w:tcPr>
          <w:p>
            <w:pPr>
              <w:spacing w:after="0"/>
              <w:rPr>
                <w:sz w:val="24"/>
                <w:szCs w:val="24"/>
                <w:color w:val="auto"/>
              </w:rPr>
            </w:pPr>
          </w:p>
        </w:tc>
        <w:tc>
          <w:tcPr>
            <w:tcW w:w="1360" w:type="dxa"/>
            <w:vAlign w:val="bottom"/>
            <w:tcBorders>
              <w:bottom w:val="single" w:sz="8" w:color="E5E5E5"/>
              <w:right w:val="single" w:sz="8" w:color="E5E5E5"/>
            </w:tcBorders>
          </w:tcPr>
          <w:p>
            <w:pPr>
              <w:jc w:val="center"/>
              <w:ind w:right="150"/>
              <w:spacing w:after="0"/>
              <w:rPr>
                <w:sz w:val="20"/>
                <w:szCs w:val="20"/>
                <w:color w:val="auto"/>
              </w:rPr>
            </w:pPr>
            <w:r>
              <w:rPr>
                <w:rFonts w:ascii="Arial" w:cs="Arial" w:eastAsia="Arial" w:hAnsi="Arial"/>
                <w:sz w:val="18"/>
                <w:szCs w:val="18"/>
                <w:color w:val="auto"/>
              </w:rPr>
              <w:t>$30.38</w:t>
            </w:r>
          </w:p>
        </w:tc>
        <w:tc>
          <w:tcPr>
            <w:tcW w:w="1600" w:type="dxa"/>
            <w:vAlign w:val="bottom"/>
            <w:tcBorders>
              <w:bottom w:val="single" w:sz="8" w:color="E5E5E5"/>
              <w:right w:val="single" w:sz="8" w:color="E5E5E5"/>
            </w:tcBorders>
          </w:tcPr>
          <w:p>
            <w:pPr>
              <w:jc w:val="center"/>
              <w:spacing w:after="0"/>
              <w:rPr>
                <w:sz w:val="20"/>
                <w:szCs w:val="20"/>
                <w:color w:val="auto"/>
              </w:rPr>
            </w:pPr>
            <w:r>
              <w:rPr>
                <w:rFonts w:ascii="Arial" w:cs="Arial" w:eastAsia="Arial" w:hAnsi="Arial"/>
                <w:sz w:val="18"/>
                <w:szCs w:val="18"/>
                <w:color w:val="auto"/>
                <w:w w:val="98"/>
              </w:rPr>
              <w:t>$34.94</w:t>
            </w:r>
          </w:p>
        </w:tc>
        <w:tc>
          <w:tcPr>
            <w:tcW w:w="560" w:type="dxa"/>
            <w:vAlign w:val="bottom"/>
            <w:tcBorders>
              <w:right w:val="single" w:sz="8" w:color="E5E5E5"/>
            </w:tcBorders>
            <w:vMerge w:val="restart"/>
          </w:tcPr>
          <w:p>
            <w:pPr>
              <w:jc w:val="right"/>
              <w:ind w:right="56"/>
              <w:spacing w:after="0"/>
              <w:rPr>
                <w:sz w:val="20"/>
                <w:szCs w:val="20"/>
                <w:color w:val="auto"/>
              </w:rPr>
            </w:pPr>
            <w:r>
              <w:rPr>
                <w:rFonts w:ascii="Arial" w:cs="Arial" w:eastAsia="Arial" w:hAnsi="Arial"/>
                <w:sz w:val="29"/>
                <w:szCs w:val="29"/>
                <w:b w:val="1"/>
                <w:bCs w:val="1"/>
                <w:color w:val="auto"/>
              </w:rPr>
              <w:t>+</w:t>
            </w:r>
          </w:p>
        </w:tc>
        <w:tc>
          <w:tcPr>
            <w:tcW w:w="1500" w:type="dxa"/>
            <w:vAlign w:val="bottom"/>
            <w:tcBorders>
              <w:right w:val="single" w:sz="8" w:color="E5E5E5"/>
            </w:tcBorders>
          </w:tcPr>
          <w:p>
            <w:pPr>
              <w:jc w:val="center"/>
              <w:spacing w:after="0"/>
              <w:rPr>
                <w:sz w:val="20"/>
                <w:szCs w:val="20"/>
                <w:color w:val="auto"/>
              </w:rPr>
            </w:pPr>
            <w:r>
              <w:rPr>
                <w:rFonts w:ascii="Arial" w:cs="Arial" w:eastAsia="Arial" w:hAnsi="Arial"/>
                <w:sz w:val="18"/>
                <w:szCs w:val="18"/>
                <w:color w:val="auto"/>
                <w:w w:val="99"/>
              </w:rPr>
              <w:t>Based on</w:t>
            </w:r>
          </w:p>
        </w:tc>
        <w:tc>
          <w:tcPr>
            <w:tcW w:w="2060" w:type="dxa"/>
            <w:vAlign w:val="bottom"/>
            <w:tcBorders>
              <w:bottom w:val="single" w:sz="8" w:color="E5E5E5"/>
              <w:right w:val="single" w:sz="8" w:color="E5E5E5"/>
            </w:tcBorders>
          </w:tcPr>
          <w:p>
            <w:pPr>
              <w:jc w:val="center"/>
              <w:spacing w:after="0"/>
              <w:rPr>
                <w:sz w:val="20"/>
                <w:szCs w:val="20"/>
                <w:color w:val="auto"/>
              </w:rPr>
            </w:pPr>
            <w:r>
              <w:rPr>
                <w:rFonts w:ascii="Arial" w:cs="Arial" w:eastAsia="Arial" w:hAnsi="Arial"/>
                <w:sz w:val="18"/>
                <w:szCs w:val="18"/>
                <w:color w:val="auto"/>
                <w:w w:val="99"/>
              </w:rPr>
              <w:t>125%</w:t>
            </w:r>
          </w:p>
        </w:tc>
        <w:tc>
          <w:tcPr>
            <w:tcW w:w="0" w:type="dxa"/>
            <w:vAlign w:val="bottom"/>
          </w:tcPr>
          <w:p>
            <w:pPr>
              <w:spacing w:after="0"/>
              <w:rPr>
                <w:sz w:val="1"/>
                <w:szCs w:val="1"/>
                <w:color w:val="auto"/>
              </w:rPr>
            </w:pPr>
          </w:p>
        </w:tc>
      </w:tr>
      <w:tr>
        <w:trPr>
          <w:trHeight w:val="230"/>
        </w:trPr>
        <w:tc>
          <w:tcPr>
            <w:tcW w:w="1400" w:type="dxa"/>
            <w:vAlign w:val="bottom"/>
            <w:tcBorders>
              <w:left w:val="single" w:sz="8" w:color="E5E5E5"/>
            </w:tcBorders>
            <w:shd w:val="clear" w:color="auto" w:fill="E5E5E5"/>
          </w:tcPr>
          <w:p>
            <w:pPr>
              <w:jc w:val="center"/>
              <w:ind w:left="870"/>
              <w:spacing w:after="0"/>
              <w:rPr>
                <w:sz w:val="20"/>
                <w:szCs w:val="20"/>
                <w:color w:val="auto"/>
              </w:rPr>
            </w:pPr>
            <w:r>
              <w:rPr>
                <w:rFonts w:ascii="Arial" w:cs="Arial" w:eastAsia="Arial" w:hAnsi="Arial"/>
                <w:sz w:val="18"/>
                <w:szCs w:val="18"/>
                <w:color w:val="auto"/>
              </w:rPr>
              <w:t>15.2</w:t>
            </w:r>
          </w:p>
        </w:tc>
        <w:tc>
          <w:tcPr>
            <w:tcW w:w="980" w:type="dxa"/>
            <w:vAlign w:val="bottom"/>
            <w:tcBorders>
              <w:right w:val="single" w:sz="8" w:color="E5E5E5"/>
            </w:tcBorders>
            <w:shd w:val="clear" w:color="auto" w:fill="E5E5E5"/>
          </w:tcPr>
          <w:p>
            <w:pPr>
              <w:spacing w:after="0"/>
              <w:rPr>
                <w:sz w:val="19"/>
                <w:szCs w:val="19"/>
                <w:color w:val="auto"/>
              </w:rPr>
            </w:pPr>
          </w:p>
        </w:tc>
        <w:tc>
          <w:tcPr>
            <w:tcW w:w="1580" w:type="dxa"/>
            <w:vAlign w:val="bottom"/>
            <w:tcBorders>
              <w:right w:val="single" w:sz="8" w:color="E5E5E5"/>
            </w:tcBorders>
            <w:shd w:val="clear" w:color="auto" w:fill="E5E5E5"/>
          </w:tcPr>
          <w:p>
            <w:pPr>
              <w:jc w:val="center"/>
              <w:spacing w:after="0"/>
              <w:rPr>
                <w:sz w:val="20"/>
                <w:szCs w:val="20"/>
                <w:color w:val="auto"/>
              </w:rPr>
            </w:pPr>
            <w:r>
              <w:rPr>
                <w:rFonts w:ascii="Arial" w:cs="Arial" w:eastAsia="Arial" w:hAnsi="Arial"/>
                <w:sz w:val="18"/>
                <w:szCs w:val="18"/>
                <w:color w:val="auto"/>
                <w:w w:val="98"/>
              </w:rPr>
              <w:t>$26.38</w:t>
            </w:r>
          </w:p>
        </w:tc>
        <w:tc>
          <w:tcPr>
            <w:tcW w:w="220" w:type="dxa"/>
            <w:vAlign w:val="bottom"/>
            <w:shd w:val="clear" w:color="auto" w:fill="E5E5E5"/>
          </w:tcPr>
          <w:p>
            <w:pPr>
              <w:spacing w:after="0"/>
              <w:rPr>
                <w:sz w:val="19"/>
                <w:szCs w:val="19"/>
                <w:color w:val="auto"/>
              </w:rPr>
            </w:pPr>
          </w:p>
        </w:tc>
        <w:tc>
          <w:tcPr>
            <w:tcW w:w="1360" w:type="dxa"/>
            <w:vAlign w:val="bottom"/>
            <w:tcBorders>
              <w:right w:val="single" w:sz="8" w:color="E5E5E5"/>
            </w:tcBorders>
            <w:shd w:val="clear" w:color="auto" w:fill="E5E5E5"/>
          </w:tcPr>
          <w:p>
            <w:pPr>
              <w:jc w:val="center"/>
              <w:ind w:right="150"/>
              <w:spacing w:after="0"/>
              <w:rPr>
                <w:sz w:val="20"/>
                <w:szCs w:val="20"/>
                <w:color w:val="auto"/>
              </w:rPr>
            </w:pPr>
            <w:r>
              <w:rPr>
                <w:rFonts w:ascii="Arial" w:cs="Arial" w:eastAsia="Arial" w:hAnsi="Arial"/>
                <w:sz w:val="18"/>
                <w:szCs w:val="18"/>
                <w:color w:val="auto"/>
              </w:rPr>
              <w:t>$31.04</w:t>
            </w:r>
          </w:p>
        </w:tc>
        <w:tc>
          <w:tcPr>
            <w:tcW w:w="1600" w:type="dxa"/>
            <w:vAlign w:val="bottom"/>
            <w:tcBorders>
              <w:right w:val="single" w:sz="8" w:color="E5E5E5"/>
            </w:tcBorders>
            <w:shd w:val="clear" w:color="auto" w:fill="E5E5E5"/>
          </w:tcPr>
          <w:p>
            <w:pPr>
              <w:jc w:val="center"/>
              <w:spacing w:after="0"/>
              <w:rPr>
                <w:sz w:val="20"/>
                <w:szCs w:val="20"/>
                <w:color w:val="auto"/>
              </w:rPr>
            </w:pPr>
            <w:r>
              <w:rPr>
                <w:rFonts w:ascii="Arial" w:cs="Arial" w:eastAsia="Arial" w:hAnsi="Arial"/>
                <w:sz w:val="18"/>
                <w:szCs w:val="18"/>
                <w:color w:val="auto"/>
                <w:w w:val="98"/>
              </w:rPr>
              <w:t>$35.70</w:t>
            </w:r>
          </w:p>
        </w:tc>
        <w:tc>
          <w:tcPr>
            <w:tcW w:w="560" w:type="dxa"/>
            <w:vAlign w:val="bottom"/>
            <w:tcBorders>
              <w:right w:val="single" w:sz="8" w:color="E5E5E5"/>
            </w:tcBorders>
            <w:vMerge w:val="continue"/>
          </w:tcPr>
          <w:p>
            <w:pPr>
              <w:spacing w:after="0"/>
              <w:rPr>
                <w:sz w:val="19"/>
                <w:szCs w:val="19"/>
                <w:color w:val="auto"/>
              </w:rPr>
            </w:pPr>
          </w:p>
        </w:tc>
        <w:tc>
          <w:tcPr>
            <w:tcW w:w="1500" w:type="dxa"/>
            <w:vAlign w:val="bottom"/>
            <w:tcBorders>
              <w:right w:val="single" w:sz="8" w:color="E5E5E5"/>
            </w:tcBorders>
          </w:tcPr>
          <w:p>
            <w:pPr>
              <w:jc w:val="center"/>
              <w:spacing w:after="0"/>
              <w:rPr>
                <w:sz w:val="20"/>
                <w:szCs w:val="20"/>
                <w:color w:val="auto"/>
              </w:rPr>
            </w:pPr>
            <w:r>
              <w:rPr>
                <w:rFonts w:ascii="Arial" w:cs="Arial" w:eastAsia="Arial" w:hAnsi="Arial"/>
                <w:sz w:val="18"/>
                <w:szCs w:val="18"/>
                <w:color w:val="auto"/>
              </w:rPr>
              <w:t>Committee</w:t>
            </w:r>
          </w:p>
        </w:tc>
        <w:tc>
          <w:tcPr>
            <w:tcW w:w="2060" w:type="dxa"/>
            <w:vAlign w:val="bottom"/>
            <w:tcBorders>
              <w:right w:val="single" w:sz="8" w:color="E5E5E5"/>
            </w:tcBorders>
          </w:tcPr>
          <w:p>
            <w:pPr>
              <w:jc w:val="center"/>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54"/>
        </w:trPr>
        <w:tc>
          <w:tcPr>
            <w:tcW w:w="1400" w:type="dxa"/>
            <w:vAlign w:val="bottom"/>
            <w:tcBorders>
              <w:left w:val="single" w:sz="8" w:color="E5E5E5"/>
              <w:bottom w:val="single" w:sz="8" w:color="E5E5E5"/>
            </w:tcBorders>
            <w:shd w:val="clear" w:color="auto" w:fill="E5E5E5"/>
          </w:tcPr>
          <w:p>
            <w:pPr>
              <w:spacing w:after="0"/>
              <w:rPr>
                <w:sz w:val="4"/>
                <w:szCs w:val="4"/>
                <w:color w:val="auto"/>
              </w:rPr>
            </w:pPr>
          </w:p>
        </w:tc>
        <w:tc>
          <w:tcPr>
            <w:tcW w:w="980" w:type="dxa"/>
            <w:vAlign w:val="bottom"/>
            <w:tcBorders>
              <w:bottom w:val="single" w:sz="8" w:color="E5E5E5"/>
              <w:right w:val="single" w:sz="8" w:color="E5E5E5"/>
            </w:tcBorders>
            <w:shd w:val="clear" w:color="auto" w:fill="E5E5E5"/>
          </w:tcPr>
          <w:p>
            <w:pPr>
              <w:spacing w:after="0"/>
              <w:rPr>
                <w:sz w:val="4"/>
                <w:szCs w:val="4"/>
                <w:color w:val="auto"/>
              </w:rPr>
            </w:pPr>
          </w:p>
        </w:tc>
        <w:tc>
          <w:tcPr>
            <w:tcW w:w="1580" w:type="dxa"/>
            <w:vAlign w:val="bottom"/>
            <w:tcBorders>
              <w:bottom w:val="single" w:sz="8" w:color="E5E5E5"/>
              <w:right w:val="single" w:sz="8" w:color="E5E5E5"/>
            </w:tcBorders>
            <w:shd w:val="clear" w:color="auto" w:fill="E5E5E5"/>
          </w:tcPr>
          <w:p>
            <w:pPr>
              <w:spacing w:after="0"/>
              <w:rPr>
                <w:sz w:val="4"/>
                <w:szCs w:val="4"/>
                <w:color w:val="auto"/>
              </w:rPr>
            </w:pPr>
          </w:p>
        </w:tc>
        <w:tc>
          <w:tcPr>
            <w:tcW w:w="220" w:type="dxa"/>
            <w:vAlign w:val="bottom"/>
            <w:tcBorders>
              <w:bottom w:val="single" w:sz="8" w:color="E5E5E5"/>
            </w:tcBorders>
            <w:shd w:val="clear" w:color="auto" w:fill="E5E5E5"/>
          </w:tcPr>
          <w:p>
            <w:pPr>
              <w:spacing w:after="0"/>
              <w:rPr>
                <w:sz w:val="4"/>
                <w:szCs w:val="4"/>
                <w:color w:val="auto"/>
              </w:rPr>
            </w:pPr>
          </w:p>
        </w:tc>
        <w:tc>
          <w:tcPr>
            <w:tcW w:w="1360" w:type="dxa"/>
            <w:vAlign w:val="bottom"/>
            <w:tcBorders>
              <w:bottom w:val="single" w:sz="8" w:color="E5E5E5"/>
              <w:right w:val="single" w:sz="8" w:color="E5E5E5"/>
            </w:tcBorders>
            <w:shd w:val="clear" w:color="auto" w:fill="E5E5E5"/>
          </w:tcPr>
          <w:p>
            <w:pPr>
              <w:spacing w:after="0"/>
              <w:rPr>
                <w:sz w:val="4"/>
                <w:szCs w:val="4"/>
                <w:color w:val="auto"/>
              </w:rPr>
            </w:pPr>
          </w:p>
        </w:tc>
        <w:tc>
          <w:tcPr>
            <w:tcW w:w="1600" w:type="dxa"/>
            <w:vAlign w:val="bottom"/>
            <w:tcBorders>
              <w:bottom w:val="single" w:sz="8" w:color="E5E5E5"/>
              <w:right w:val="single" w:sz="8" w:color="E5E5E5"/>
            </w:tcBorders>
            <w:shd w:val="clear" w:color="auto" w:fill="E5E5E5"/>
          </w:tcPr>
          <w:p>
            <w:pPr>
              <w:spacing w:after="0"/>
              <w:rPr>
                <w:sz w:val="4"/>
                <w:szCs w:val="4"/>
                <w:color w:val="auto"/>
              </w:rPr>
            </w:pPr>
          </w:p>
        </w:tc>
        <w:tc>
          <w:tcPr>
            <w:tcW w:w="560" w:type="dxa"/>
            <w:vAlign w:val="bottom"/>
            <w:tcBorders>
              <w:right w:val="single" w:sz="8" w:color="E5E5E5"/>
            </w:tcBorders>
          </w:tcPr>
          <w:p>
            <w:pPr>
              <w:spacing w:after="0"/>
              <w:rPr>
                <w:sz w:val="4"/>
                <w:szCs w:val="4"/>
                <w:color w:val="auto"/>
              </w:rPr>
            </w:pPr>
          </w:p>
        </w:tc>
        <w:tc>
          <w:tcPr>
            <w:tcW w:w="1500" w:type="dxa"/>
            <w:vAlign w:val="bottom"/>
            <w:tcBorders>
              <w:right w:val="single" w:sz="8" w:color="E5E5E5"/>
            </w:tcBorders>
            <w:vMerge w:val="restart"/>
          </w:tcPr>
          <w:p>
            <w:pPr>
              <w:jc w:val="center"/>
              <w:spacing w:after="0"/>
              <w:rPr>
                <w:sz w:val="20"/>
                <w:szCs w:val="20"/>
                <w:color w:val="auto"/>
              </w:rPr>
            </w:pPr>
            <w:r>
              <w:rPr>
                <w:rFonts w:ascii="Arial" w:cs="Arial" w:eastAsia="Arial" w:hAnsi="Arial"/>
                <w:sz w:val="18"/>
                <w:szCs w:val="18"/>
                <w:color w:val="auto"/>
              </w:rPr>
              <w:t>Review</w:t>
            </w:r>
          </w:p>
        </w:tc>
        <w:tc>
          <w:tcPr>
            <w:tcW w:w="2060" w:type="dxa"/>
            <w:vAlign w:val="bottom"/>
            <w:tcBorders>
              <w:bottom w:val="single" w:sz="8" w:color="E5E5E5"/>
              <w:right w:val="single" w:sz="8" w:color="E5E5E5"/>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1400" w:type="dxa"/>
            <w:vAlign w:val="bottom"/>
            <w:tcBorders>
              <w:left w:val="single" w:sz="8" w:color="E5E5E5"/>
            </w:tcBorders>
            <w:vMerge w:val="restart"/>
          </w:tcPr>
          <w:p>
            <w:pPr>
              <w:jc w:val="center"/>
              <w:ind w:left="870"/>
              <w:spacing w:after="0"/>
              <w:rPr>
                <w:sz w:val="20"/>
                <w:szCs w:val="20"/>
                <w:color w:val="auto"/>
              </w:rPr>
            </w:pPr>
            <w:r>
              <w:rPr>
                <w:rFonts w:ascii="Arial" w:cs="Arial" w:eastAsia="Arial" w:hAnsi="Arial"/>
                <w:sz w:val="18"/>
                <w:szCs w:val="18"/>
                <w:color w:val="auto"/>
              </w:rPr>
              <w:t>15.7</w:t>
            </w:r>
          </w:p>
        </w:tc>
        <w:tc>
          <w:tcPr>
            <w:tcW w:w="980" w:type="dxa"/>
            <w:vAlign w:val="bottom"/>
            <w:tcBorders>
              <w:right w:val="single" w:sz="8" w:color="E5E5E5"/>
            </w:tcBorders>
          </w:tcPr>
          <w:p>
            <w:pPr>
              <w:spacing w:after="0"/>
              <w:rPr>
                <w:sz w:val="14"/>
                <w:szCs w:val="14"/>
                <w:color w:val="auto"/>
              </w:rPr>
            </w:pPr>
          </w:p>
        </w:tc>
        <w:tc>
          <w:tcPr>
            <w:tcW w:w="1580" w:type="dxa"/>
            <w:vAlign w:val="bottom"/>
            <w:tcBorders>
              <w:right w:val="single" w:sz="8" w:color="E5E5E5"/>
            </w:tcBorders>
            <w:vMerge w:val="restart"/>
          </w:tcPr>
          <w:p>
            <w:pPr>
              <w:jc w:val="center"/>
              <w:spacing w:after="0"/>
              <w:rPr>
                <w:sz w:val="20"/>
                <w:szCs w:val="20"/>
                <w:color w:val="auto"/>
              </w:rPr>
            </w:pPr>
            <w:r>
              <w:rPr>
                <w:rFonts w:ascii="Arial" w:cs="Arial" w:eastAsia="Arial" w:hAnsi="Arial"/>
                <w:sz w:val="18"/>
                <w:szCs w:val="18"/>
                <w:color w:val="auto"/>
                <w:w w:val="98"/>
              </w:rPr>
              <w:t>$26.99</w:t>
            </w:r>
          </w:p>
        </w:tc>
        <w:tc>
          <w:tcPr>
            <w:tcW w:w="220" w:type="dxa"/>
            <w:vAlign w:val="bottom"/>
          </w:tcPr>
          <w:p>
            <w:pPr>
              <w:spacing w:after="0"/>
              <w:rPr>
                <w:sz w:val="14"/>
                <w:szCs w:val="14"/>
                <w:color w:val="auto"/>
              </w:rPr>
            </w:pPr>
          </w:p>
        </w:tc>
        <w:tc>
          <w:tcPr>
            <w:tcW w:w="1360" w:type="dxa"/>
            <w:vAlign w:val="bottom"/>
            <w:tcBorders>
              <w:right w:val="single" w:sz="8" w:color="E5E5E5"/>
            </w:tcBorders>
            <w:vMerge w:val="restart"/>
          </w:tcPr>
          <w:p>
            <w:pPr>
              <w:jc w:val="center"/>
              <w:ind w:right="150"/>
              <w:spacing w:after="0"/>
              <w:rPr>
                <w:sz w:val="20"/>
                <w:szCs w:val="20"/>
                <w:color w:val="auto"/>
              </w:rPr>
            </w:pPr>
            <w:r>
              <w:rPr>
                <w:rFonts w:ascii="Arial" w:cs="Arial" w:eastAsia="Arial" w:hAnsi="Arial"/>
                <w:sz w:val="18"/>
                <w:szCs w:val="18"/>
                <w:color w:val="auto"/>
              </w:rPr>
              <w:t>$31.75</w:t>
            </w:r>
          </w:p>
        </w:tc>
        <w:tc>
          <w:tcPr>
            <w:tcW w:w="1600" w:type="dxa"/>
            <w:vAlign w:val="bottom"/>
            <w:tcBorders>
              <w:right w:val="single" w:sz="8" w:color="E5E5E5"/>
            </w:tcBorders>
            <w:vMerge w:val="restart"/>
          </w:tcPr>
          <w:p>
            <w:pPr>
              <w:jc w:val="center"/>
              <w:spacing w:after="0"/>
              <w:rPr>
                <w:sz w:val="20"/>
                <w:szCs w:val="20"/>
                <w:color w:val="auto"/>
              </w:rPr>
            </w:pPr>
            <w:r>
              <w:rPr>
                <w:rFonts w:ascii="Arial" w:cs="Arial" w:eastAsia="Arial" w:hAnsi="Arial"/>
                <w:sz w:val="18"/>
                <w:szCs w:val="18"/>
                <w:color w:val="auto"/>
                <w:w w:val="98"/>
              </w:rPr>
              <w:t>$36.51</w:t>
            </w:r>
          </w:p>
        </w:tc>
        <w:tc>
          <w:tcPr>
            <w:tcW w:w="560" w:type="dxa"/>
            <w:vAlign w:val="bottom"/>
            <w:tcBorders>
              <w:right w:val="single" w:sz="8" w:color="E5E5E5"/>
            </w:tcBorders>
          </w:tcPr>
          <w:p>
            <w:pPr>
              <w:spacing w:after="0"/>
              <w:rPr>
                <w:sz w:val="14"/>
                <w:szCs w:val="14"/>
                <w:color w:val="auto"/>
              </w:rPr>
            </w:pPr>
          </w:p>
        </w:tc>
        <w:tc>
          <w:tcPr>
            <w:tcW w:w="1500" w:type="dxa"/>
            <w:vAlign w:val="bottom"/>
            <w:tcBorders>
              <w:right w:val="single" w:sz="8" w:color="E5E5E5"/>
            </w:tcBorders>
            <w:vMerge w:val="continue"/>
          </w:tcPr>
          <w:p>
            <w:pPr>
              <w:spacing w:after="0"/>
              <w:rPr>
                <w:sz w:val="14"/>
                <w:szCs w:val="14"/>
                <w:color w:val="auto"/>
              </w:rPr>
            </w:pPr>
          </w:p>
        </w:tc>
        <w:tc>
          <w:tcPr>
            <w:tcW w:w="2060" w:type="dxa"/>
            <w:vAlign w:val="bottom"/>
            <w:tcBorders>
              <w:right w:val="single" w:sz="8" w:color="E5E5E5"/>
            </w:tcBorders>
            <w:vMerge w:val="restart"/>
          </w:tcPr>
          <w:p>
            <w:pPr>
              <w:jc w:val="center"/>
              <w:spacing w:after="0"/>
              <w:rPr>
                <w:sz w:val="20"/>
                <w:szCs w:val="20"/>
                <w:color w:val="auto"/>
              </w:rPr>
            </w:pPr>
            <w:r>
              <w:rPr>
                <w:rFonts w:ascii="Arial" w:cs="Arial" w:eastAsia="Arial" w:hAnsi="Arial"/>
                <w:sz w:val="18"/>
                <w:szCs w:val="18"/>
                <w:color w:val="auto"/>
                <w:w w:val="99"/>
              </w:rPr>
              <w:t>50%</w:t>
            </w:r>
          </w:p>
        </w:tc>
        <w:tc>
          <w:tcPr>
            <w:tcW w:w="0" w:type="dxa"/>
            <w:vAlign w:val="bottom"/>
          </w:tcPr>
          <w:p>
            <w:pPr>
              <w:spacing w:after="0"/>
              <w:rPr>
                <w:sz w:val="1"/>
                <w:szCs w:val="1"/>
                <w:color w:val="auto"/>
              </w:rPr>
            </w:pPr>
          </w:p>
        </w:tc>
      </w:tr>
      <w:tr>
        <w:trPr>
          <w:trHeight w:val="85"/>
        </w:trPr>
        <w:tc>
          <w:tcPr>
            <w:tcW w:w="1400" w:type="dxa"/>
            <w:vAlign w:val="bottom"/>
            <w:tcBorders>
              <w:left w:val="single" w:sz="8" w:color="E5E5E5"/>
              <w:bottom w:val="single" w:sz="8" w:color="E5E5E5"/>
            </w:tcBorders>
            <w:vMerge w:val="continue"/>
          </w:tcPr>
          <w:p>
            <w:pPr>
              <w:spacing w:after="0"/>
              <w:rPr>
                <w:sz w:val="7"/>
                <w:szCs w:val="7"/>
                <w:color w:val="auto"/>
              </w:rPr>
            </w:pPr>
          </w:p>
        </w:tc>
        <w:tc>
          <w:tcPr>
            <w:tcW w:w="980" w:type="dxa"/>
            <w:vAlign w:val="bottom"/>
            <w:tcBorders>
              <w:bottom w:val="single" w:sz="8" w:color="E5E5E5"/>
              <w:right w:val="single" w:sz="8" w:color="E5E5E5"/>
            </w:tcBorders>
          </w:tcPr>
          <w:p>
            <w:pPr>
              <w:spacing w:after="0"/>
              <w:rPr>
                <w:sz w:val="7"/>
                <w:szCs w:val="7"/>
                <w:color w:val="auto"/>
              </w:rPr>
            </w:pPr>
          </w:p>
        </w:tc>
        <w:tc>
          <w:tcPr>
            <w:tcW w:w="1580" w:type="dxa"/>
            <w:vAlign w:val="bottom"/>
            <w:tcBorders>
              <w:bottom w:val="single" w:sz="8" w:color="E5E5E5"/>
              <w:right w:val="single" w:sz="8" w:color="E5E5E5"/>
            </w:tcBorders>
            <w:vMerge w:val="continue"/>
          </w:tcPr>
          <w:p>
            <w:pPr>
              <w:spacing w:after="0"/>
              <w:rPr>
                <w:sz w:val="7"/>
                <w:szCs w:val="7"/>
                <w:color w:val="auto"/>
              </w:rPr>
            </w:pPr>
          </w:p>
        </w:tc>
        <w:tc>
          <w:tcPr>
            <w:tcW w:w="220" w:type="dxa"/>
            <w:vAlign w:val="bottom"/>
            <w:tcBorders>
              <w:bottom w:val="single" w:sz="8" w:color="E5E5E5"/>
            </w:tcBorders>
          </w:tcPr>
          <w:p>
            <w:pPr>
              <w:spacing w:after="0"/>
              <w:rPr>
                <w:sz w:val="7"/>
                <w:szCs w:val="7"/>
                <w:color w:val="auto"/>
              </w:rPr>
            </w:pPr>
          </w:p>
        </w:tc>
        <w:tc>
          <w:tcPr>
            <w:tcW w:w="1360" w:type="dxa"/>
            <w:vAlign w:val="bottom"/>
            <w:tcBorders>
              <w:bottom w:val="single" w:sz="8" w:color="E5E5E5"/>
              <w:right w:val="single" w:sz="8" w:color="E5E5E5"/>
            </w:tcBorders>
            <w:vMerge w:val="continue"/>
          </w:tcPr>
          <w:p>
            <w:pPr>
              <w:spacing w:after="0"/>
              <w:rPr>
                <w:sz w:val="7"/>
                <w:szCs w:val="7"/>
                <w:color w:val="auto"/>
              </w:rPr>
            </w:pPr>
          </w:p>
        </w:tc>
        <w:tc>
          <w:tcPr>
            <w:tcW w:w="1600" w:type="dxa"/>
            <w:vAlign w:val="bottom"/>
            <w:tcBorders>
              <w:bottom w:val="single" w:sz="8" w:color="E5E5E5"/>
              <w:right w:val="single" w:sz="8" w:color="E5E5E5"/>
            </w:tcBorders>
            <w:vMerge w:val="continue"/>
          </w:tcPr>
          <w:p>
            <w:pPr>
              <w:spacing w:after="0"/>
              <w:rPr>
                <w:sz w:val="7"/>
                <w:szCs w:val="7"/>
                <w:color w:val="auto"/>
              </w:rPr>
            </w:pPr>
          </w:p>
        </w:tc>
        <w:tc>
          <w:tcPr>
            <w:tcW w:w="560" w:type="dxa"/>
            <w:vAlign w:val="bottom"/>
            <w:tcBorders>
              <w:right w:val="single" w:sz="8" w:color="E5E5E5"/>
            </w:tcBorders>
          </w:tcPr>
          <w:p>
            <w:pPr>
              <w:spacing w:after="0"/>
              <w:rPr>
                <w:sz w:val="7"/>
                <w:szCs w:val="7"/>
                <w:color w:val="auto"/>
              </w:rPr>
            </w:pPr>
          </w:p>
        </w:tc>
        <w:tc>
          <w:tcPr>
            <w:tcW w:w="1500" w:type="dxa"/>
            <w:vAlign w:val="bottom"/>
            <w:tcBorders>
              <w:right w:val="single" w:sz="8" w:color="E5E5E5"/>
            </w:tcBorders>
          </w:tcPr>
          <w:p>
            <w:pPr>
              <w:spacing w:after="0"/>
              <w:rPr>
                <w:sz w:val="7"/>
                <w:szCs w:val="7"/>
                <w:color w:val="auto"/>
              </w:rPr>
            </w:pPr>
          </w:p>
        </w:tc>
        <w:tc>
          <w:tcPr>
            <w:tcW w:w="2060" w:type="dxa"/>
            <w:vAlign w:val="bottom"/>
            <w:tcBorders>
              <w:bottom w:val="single" w:sz="8" w:color="E5E5E5"/>
              <w:right w:val="single" w:sz="8" w:color="E5E5E5"/>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1400" w:type="dxa"/>
            <w:vAlign w:val="bottom"/>
            <w:tcBorders>
              <w:left w:val="single" w:sz="8" w:color="E5E5E5"/>
              <w:bottom w:val="single" w:sz="8" w:color="E5E5E5"/>
            </w:tcBorders>
            <w:shd w:val="clear" w:color="auto" w:fill="E5E5E5"/>
          </w:tcPr>
          <w:p>
            <w:pPr>
              <w:jc w:val="center"/>
              <w:ind w:left="870"/>
              <w:spacing w:after="0"/>
              <w:rPr>
                <w:sz w:val="20"/>
                <w:szCs w:val="20"/>
                <w:color w:val="auto"/>
              </w:rPr>
            </w:pPr>
            <w:r>
              <w:rPr>
                <w:rFonts w:ascii="Arial" w:cs="Arial" w:eastAsia="Arial" w:hAnsi="Arial"/>
                <w:sz w:val="18"/>
                <w:szCs w:val="18"/>
                <w:color w:val="auto"/>
              </w:rPr>
              <w:t>16.2</w:t>
            </w:r>
          </w:p>
        </w:tc>
        <w:tc>
          <w:tcPr>
            <w:tcW w:w="980" w:type="dxa"/>
            <w:vAlign w:val="bottom"/>
            <w:tcBorders>
              <w:bottom w:val="single" w:sz="8" w:color="E5E5E5"/>
              <w:right w:val="single" w:sz="8" w:color="E5E5E5"/>
            </w:tcBorders>
            <w:shd w:val="clear" w:color="auto" w:fill="E5E5E5"/>
          </w:tcPr>
          <w:p>
            <w:pPr>
              <w:spacing w:after="0"/>
              <w:rPr>
                <w:sz w:val="21"/>
                <w:szCs w:val="21"/>
                <w:color w:val="auto"/>
              </w:rPr>
            </w:pPr>
          </w:p>
        </w:tc>
        <w:tc>
          <w:tcPr>
            <w:tcW w:w="1580" w:type="dxa"/>
            <w:vAlign w:val="bottom"/>
            <w:tcBorders>
              <w:bottom w:val="single" w:sz="8" w:color="E5E5E5"/>
              <w:right w:val="single" w:sz="8" w:color="E5E5E5"/>
            </w:tcBorders>
            <w:shd w:val="clear" w:color="auto" w:fill="E5E5E5"/>
          </w:tcPr>
          <w:p>
            <w:pPr>
              <w:jc w:val="center"/>
              <w:spacing w:after="0"/>
              <w:rPr>
                <w:sz w:val="20"/>
                <w:szCs w:val="20"/>
                <w:color w:val="auto"/>
              </w:rPr>
            </w:pPr>
            <w:r>
              <w:rPr>
                <w:rFonts w:ascii="Arial" w:cs="Arial" w:eastAsia="Arial" w:hAnsi="Arial"/>
                <w:sz w:val="18"/>
                <w:szCs w:val="18"/>
                <w:color w:val="auto"/>
                <w:w w:val="98"/>
              </w:rPr>
              <w:t>$26.34</w:t>
            </w:r>
          </w:p>
        </w:tc>
        <w:tc>
          <w:tcPr>
            <w:tcW w:w="220" w:type="dxa"/>
            <w:vAlign w:val="bottom"/>
            <w:tcBorders>
              <w:bottom w:val="single" w:sz="8" w:color="E5E5E5"/>
            </w:tcBorders>
            <w:shd w:val="clear" w:color="auto" w:fill="E5E5E5"/>
          </w:tcPr>
          <w:p>
            <w:pPr>
              <w:spacing w:after="0"/>
              <w:rPr>
                <w:sz w:val="21"/>
                <w:szCs w:val="21"/>
                <w:color w:val="auto"/>
              </w:rPr>
            </w:pPr>
          </w:p>
        </w:tc>
        <w:tc>
          <w:tcPr>
            <w:tcW w:w="1360" w:type="dxa"/>
            <w:vAlign w:val="bottom"/>
            <w:tcBorders>
              <w:bottom w:val="single" w:sz="8" w:color="E5E5E5"/>
              <w:right w:val="single" w:sz="8" w:color="E5E5E5"/>
            </w:tcBorders>
            <w:shd w:val="clear" w:color="auto" w:fill="E5E5E5"/>
          </w:tcPr>
          <w:p>
            <w:pPr>
              <w:jc w:val="center"/>
              <w:ind w:right="150"/>
              <w:spacing w:after="0"/>
              <w:rPr>
                <w:sz w:val="20"/>
                <w:szCs w:val="20"/>
                <w:color w:val="auto"/>
              </w:rPr>
            </w:pPr>
            <w:r>
              <w:rPr>
                <w:rFonts w:ascii="Arial" w:cs="Arial" w:eastAsia="Arial" w:hAnsi="Arial"/>
                <w:sz w:val="18"/>
                <w:szCs w:val="18"/>
                <w:color w:val="auto"/>
              </w:rPr>
              <w:t>$30.99</w:t>
            </w:r>
          </w:p>
        </w:tc>
        <w:tc>
          <w:tcPr>
            <w:tcW w:w="1600" w:type="dxa"/>
            <w:vAlign w:val="bottom"/>
            <w:tcBorders>
              <w:bottom w:val="single" w:sz="8" w:color="E5E5E5"/>
              <w:right w:val="single" w:sz="8" w:color="E5E5E5"/>
            </w:tcBorders>
            <w:shd w:val="clear" w:color="auto" w:fill="E5E5E5"/>
          </w:tcPr>
          <w:p>
            <w:pPr>
              <w:jc w:val="center"/>
              <w:spacing w:after="0"/>
              <w:rPr>
                <w:sz w:val="20"/>
                <w:szCs w:val="20"/>
                <w:color w:val="auto"/>
              </w:rPr>
            </w:pPr>
            <w:r>
              <w:rPr>
                <w:rFonts w:ascii="Arial" w:cs="Arial" w:eastAsia="Arial" w:hAnsi="Arial"/>
                <w:sz w:val="18"/>
                <w:szCs w:val="18"/>
                <w:color w:val="auto"/>
                <w:w w:val="98"/>
              </w:rPr>
              <w:t>$35.64</w:t>
            </w:r>
          </w:p>
        </w:tc>
        <w:tc>
          <w:tcPr>
            <w:tcW w:w="560" w:type="dxa"/>
            <w:vAlign w:val="bottom"/>
            <w:tcBorders>
              <w:right w:val="single" w:sz="8" w:color="E5E5E5"/>
            </w:tcBorders>
          </w:tcPr>
          <w:p>
            <w:pPr>
              <w:spacing w:after="0"/>
              <w:rPr>
                <w:sz w:val="21"/>
                <w:szCs w:val="21"/>
                <w:color w:val="auto"/>
              </w:rPr>
            </w:pPr>
          </w:p>
        </w:tc>
        <w:tc>
          <w:tcPr>
            <w:tcW w:w="1500" w:type="dxa"/>
            <w:vAlign w:val="bottom"/>
            <w:tcBorders>
              <w:bottom w:val="single" w:sz="8" w:color="E5E5E5"/>
              <w:right w:val="single" w:sz="8" w:color="E5E5E5"/>
            </w:tcBorders>
          </w:tcPr>
          <w:p>
            <w:pPr>
              <w:spacing w:after="0"/>
              <w:rPr>
                <w:sz w:val="21"/>
                <w:szCs w:val="21"/>
                <w:color w:val="auto"/>
              </w:rPr>
            </w:pPr>
          </w:p>
        </w:tc>
        <w:tc>
          <w:tcPr>
            <w:tcW w:w="2060" w:type="dxa"/>
            <w:vAlign w:val="bottom"/>
            <w:tcBorders>
              <w:bottom w:val="single" w:sz="8" w:color="E5E5E5"/>
              <w:right w:val="single" w:sz="8" w:color="E5E5E5"/>
            </w:tcBorders>
          </w:tcPr>
          <w:p>
            <w:pPr>
              <w:jc w:val="center"/>
              <w:spacing w:after="0"/>
              <w:rPr>
                <w:sz w:val="20"/>
                <w:szCs w:val="20"/>
                <w:color w:val="auto"/>
              </w:rPr>
            </w:pPr>
            <w:r>
              <w:rPr>
                <w:rFonts w:ascii="Arial" w:cs="Arial" w:eastAsia="Arial" w:hAnsi="Arial"/>
                <w:sz w:val="18"/>
                <w:szCs w:val="18"/>
                <w:color w:val="auto"/>
                <w:w w:val="99"/>
              </w:rPr>
              <w:t>0%</w:t>
            </w:r>
          </w:p>
        </w:tc>
        <w:tc>
          <w:tcPr>
            <w:tcW w:w="0" w:type="dxa"/>
            <w:vAlign w:val="bottom"/>
          </w:tcPr>
          <w:p>
            <w:pPr>
              <w:spacing w:after="0"/>
              <w:rPr>
                <w:sz w:val="1"/>
                <w:szCs w:val="1"/>
                <w:color w:val="auto"/>
              </w:rPr>
            </w:pPr>
          </w:p>
        </w:tc>
      </w:tr>
      <w:tr>
        <w:trPr>
          <w:trHeight w:val="223"/>
        </w:trPr>
        <w:tc>
          <w:tcPr>
            <w:tcW w:w="1400" w:type="dxa"/>
            <w:vAlign w:val="bottom"/>
            <w:tcBorders>
              <w:left w:val="single" w:sz="8" w:color="E5E5E5"/>
            </w:tcBorders>
          </w:tcPr>
          <w:p>
            <w:pPr>
              <w:jc w:val="center"/>
              <w:ind w:left="870"/>
              <w:spacing w:after="0"/>
              <w:rPr>
                <w:sz w:val="20"/>
                <w:szCs w:val="20"/>
                <w:color w:val="auto"/>
              </w:rPr>
            </w:pPr>
            <w:r>
              <w:rPr>
                <w:rFonts w:ascii="Arial" w:cs="Arial" w:eastAsia="Arial" w:hAnsi="Arial"/>
                <w:sz w:val="18"/>
                <w:szCs w:val="18"/>
                <w:color w:val="auto"/>
              </w:rPr>
              <w:t>16.7</w:t>
            </w:r>
          </w:p>
        </w:tc>
        <w:tc>
          <w:tcPr>
            <w:tcW w:w="980" w:type="dxa"/>
            <w:vAlign w:val="bottom"/>
            <w:tcBorders>
              <w:right w:val="single" w:sz="8" w:color="E5E5E5"/>
            </w:tcBorders>
          </w:tcPr>
          <w:p>
            <w:pPr>
              <w:spacing w:after="0"/>
              <w:rPr>
                <w:sz w:val="19"/>
                <w:szCs w:val="19"/>
                <w:color w:val="auto"/>
              </w:rPr>
            </w:pPr>
          </w:p>
        </w:tc>
        <w:tc>
          <w:tcPr>
            <w:tcW w:w="1580" w:type="dxa"/>
            <w:vAlign w:val="bottom"/>
            <w:tcBorders>
              <w:right w:val="single" w:sz="8" w:color="E5E5E5"/>
            </w:tcBorders>
          </w:tcPr>
          <w:p>
            <w:pPr>
              <w:jc w:val="center"/>
              <w:spacing w:after="0"/>
              <w:rPr>
                <w:sz w:val="20"/>
                <w:szCs w:val="20"/>
                <w:color w:val="auto"/>
              </w:rPr>
            </w:pPr>
            <w:r>
              <w:rPr>
                <w:rFonts w:ascii="Arial" w:cs="Arial" w:eastAsia="Arial" w:hAnsi="Arial"/>
                <w:sz w:val="18"/>
                <w:szCs w:val="18"/>
                <w:color w:val="auto"/>
                <w:w w:val="98"/>
              </w:rPr>
              <w:t>$26.42</w:t>
            </w:r>
          </w:p>
        </w:tc>
        <w:tc>
          <w:tcPr>
            <w:tcW w:w="220" w:type="dxa"/>
            <w:vAlign w:val="bottom"/>
          </w:tcPr>
          <w:p>
            <w:pPr>
              <w:spacing w:after="0"/>
              <w:rPr>
                <w:sz w:val="19"/>
                <w:szCs w:val="19"/>
                <w:color w:val="auto"/>
              </w:rPr>
            </w:pPr>
          </w:p>
        </w:tc>
        <w:tc>
          <w:tcPr>
            <w:tcW w:w="1360" w:type="dxa"/>
            <w:vAlign w:val="bottom"/>
            <w:tcBorders>
              <w:right w:val="single" w:sz="8" w:color="E5E5E5"/>
            </w:tcBorders>
          </w:tcPr>
          <w:p>
            <w:pPr>
              <w:jc w:val="center"/>
              <w:ind w:right="150"/>
              <w:spacing w:after="0"/>
              <w:rPr>
                <w:sz w:val="20"/>
                <w:szCs w:val="20"/>
                <w:color w:val="auto"/>
              </w:rPr>
            </w:pPr>
            <w:r>
              <w:rPr>
                <w:rFonts w:ascii="Arial" w:cs="Arial" w:eastAsia="Arial" w:hAnsi="Arial"/>
                <w:sz w:val="18"/>
                <w:szCs w:val="18"/>
                <w:color w:val="auto"/>
              </w:rPr>
              <w:t>$31.08</w:t>
            </w:r>
          </w:p>
        </w:tc>
        <w:tc>
          <w:tcPr>
            <w:tcW w:w="1600" w:type="dxa"/>
            <w:vAlign w:val="bottom"/>
            <w:tcBorders>
              <w:right w:val="single" w:sz="8" w:color="E5E5E5"/>
            </w:tcBorders>
          </w:tcPr>
          <w:p>
            <w:pPr>
              <w:jc w:val="center"/>
              <w:spacing w:after="0"/>
              <w:rPr>
                <w:sz w:val="20"/>
                <w:szCs w:val="20"/>
                <w:color w:val="auto"/>
              </w:rPr>
            </w:pPr>
            <w:r>
              <w:rPr>
                <w:rFonts w:ascii="Arial" w:cs="Arial" w:eastAsia="Arial" w:hAnsi="Arial"/>
                <w:sz w:val="18"/>
                <w:szCs w:val="18"/>
                <w:color w:val="auto"/>
                <w:w w:val="98"/>
              </w:rPr>
              <w:t>$35.74</w:t>
            </w:r>
          </w:p>
        </w:tc>
        <w:tc>
          <w:tcPr>
            <w:tcW w:w="5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380" w:type="dxa"/>
            <w:vAlign w:val="bottom"/>
            <w:tcBorders>
              <w:left w:val="single" w:sz="8" w:color="E5E5E5"/>
              <w:right w:val="single" w:sz="8" w:color="E5E5E5"/>
            </w:tcBorders>
            <w:gridSpan w:val="2"/>
            <w:shd w:val="clear" w:color="auto" w:fill="E5E5E5"/>
          </w:tcPr>
          <w:p>
            <w:pPr>
              <w:jc w:val="center"/>
              <w:spacing w:after="0"/>
              <w:rPr>
                <w:sz w:val="20"/>
                <w:szCs w:val="20"/>
                <w:color w:val="auto"/>
              </w:rPr>
            </w:pPr>
            <w:r>
              <w:rPr>
                <w:rFonts w:ascii="Arial" w:cs="Arial" w:eastAsia="Arial" w:hAnsi="Arial"/>
                <w:sz w:val="18"/>
                <w:szCs w:val="18"/>
                <w:color w:val="auto"/>
                <w:w w:val="99"/>
              </w:rPr>
              <w:t>17.2 &amp; Higher</w:t>
            </w:r>
          </w:p>
        </w:tc>
        <w:tc>
          <w:tcPr>
            <w:tcW w:w="1580" w:type="dxa"/>
            <w:vAlign w:val="bottom"/>
            <w:tcBorders>
              <w:right w:val="single" w:sz="8" w:color="E5E5E5"/>
            </w:tcBorders>
            <w:shd w:val="clear" w:color="auto" w:fill="E5E5E5"/>
          </w:tcPr>
          <w:p>
            <w:pPr>
              <w:jc w:val="center"/>
              <w:spacing w:after="0"/>
              <w:rPr>
                <w:sz w:val="20"/>
                <w:szCs w:val="20"/>
                <w:color w:val="auto"/>
              </w:rPr>
            </w:pPr>
            <w:r>
              <w:rPr>
                <w:rFonts w:ascii="Arial" w:cs="Arial" w:eastAsia="Arial" w:hAnsi="Arial"/>
                <w:sz w:val="18"/>
                <w:szCs w:val="18"/>
                <w:color w:val="auto"/>
                <w:w w:val="98"/>
              </w:rPr>
              <w:t>$27.52</w:t>
            </w:r>
          </w:p>
        </w:tc>
        <w:tc>
          <w:tcPr>
            <w:tcW w:w="220" w:type="dxa"/>
            <w:vAlign w:val="bottom"/>
            <w:shd w:val="clear" w:color="auto" w:fill="E5E5E5"/>
          </w:tcPr>
          <w:p>
            <w:pPr>
              <w:spacing w:after="0"/>
              <w:rPr>
                <w:sz w:val="22"/>
                <w:szCs w:val="22"/>
                <w:color w:val="auto"/>
              </w:rPr>
            </w:pPr>
          </w:p>
        </w:tc>
        <w:tc>
          <w:tcPr>
            <w:tcW w:w="1360" w:type="dxa"/>
            <w:vAlign w:val="bottom"/>
            <w:tcBorders>
              <w:right w:val="single" w:sz="8" w:color="E5E5E5"/>
            </w:tcBorders>
            <w:shd w:val="clear" w:color="auto" w:fill="E5E5E5"/>
          </w:tcPr>
          <w:p>
            <w:pPr>
              <w:jc w:val="center"/>
              <w:ind w:right="150"/>
              <w:spacing w:after="0"/>
              <w:rPr>
                <w:sz w:val="20"/>
                <w:szCs w:val="20"/>
                <w:color w:val="auto"/>
              </w:rPr>
            </w:pPr>
            <w:r>
              <w:rPr>
                <w:rFonts w:ascii="Arial" w:cs="Arial" w:eastAsia="Arial" w:hAnsi="Arial"/>
                <w:sz w:val="18"/>
                <w:szCs w:val="18"/>
                <w:color w:val="auto"/>
              </w:rPr>
              <w:t>$32.38</w:t>
            </w:r>
          </w:p>
        </w:tc>
        <w:tc>
          <w:tcPr>
            <w:tcW w:w="1600" w:type="dxa"/>
            <w:vAlign w:val="bottom"/>
            <w:tcBorders>
              <w:right w:val="single" w:sz="8" w:color="E5E5E5"/>
            </w:tcBorders>
            <w:shd w:val="clear" w:color="auto" w:fill="E5E5E5"/>
          </w:tcPr>
          <w:p>
            <w:pPr>
              <w:jc w:val="center"/>
              <w:spacing w:after="0"/>
              <w:rPr>
                <w:sz w:val="20"/>
                <w:szCs w:val="20"/>
                <w:color w:val="auto"/>
              </w:rPr>
            </w:pPr>
            <w:r>
              <w:rPr>
                <w:rFonts w:ascii="Arial" w:cs="Arial" w:eastAsia="Arial" w:hAnsi="Arial"/>
                <w:sz w:val="18"/>
                <w:szCs w:val="18"/>
                <w:color w:val="auto"/>
                <w:w w:val="98"/>
              </w:rPr>
              <w:t>$37.24</w:t>
            </w:r>
          </w:p>
        </w:tc>
        <w:tc>
          <w:tcPr>
            <w:tcW w:w="56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1"/>
        </w:trPr>
        <w:tc>
          <w:tcPr>
            <w:tcW w:w="1400" w:type="dxa"/>
            <w:vAlign w:val="bottom"/>
            <w:tcBorders>
              <w:bottom w:val="single" w:sz="8" w:color="E5E5E5"/>
            </w:tcBorders>
          </w:tcPr>
          <w:p>
            <w:pPr>
              <w:spacing w:after="0"/>
              <w:rPr>
                <w:sz w:val="7"/>
                <w:szCs w:val="7"/>
                <w:color w:val="auto"/>
              </w:rPr>
            </w:pPr>
          </w:p>
        </w:tc>
        <w:tc>
          <w:tcPr>
            <w:tcW w:w="980" w:type="dxa"/>
            <w:vAlign w:val="bottom"/>
            <w:tcBorders>
              <w:bottom w:val="single" w:sz="8" w:color="E5E5E5"/>
            </w:tcBorders>
          </w:tcPr>
          <w:p>
            <w:pPr>
              <w:spacing w:after="0"/>
              <w:rPr>
                <w:sz w:val="7"/>
                <w:szCs w:val="7"/>
                <w:color w:val="auto"/>
              </w:rPr>
            </w:pPr>
          </w:p>
        </w:tc>
        <w:tc>
          <w:tcPr>
            <w:tcW w:w="1580" w:type="dxa"/>
            <w:vAlign w:val="bottom"/>
            <w:tcBorders>
              <w:bottom w:val="single" w:sz="8" w:color="E5E5E5"/>
            </w:tcBorders>
          </w:tcPr>
          <w:p>
            <w:pPr>
              <w:spacing w:after="0"/>
              <w:rPr>
                <w:sz w:val="7"/>
                <w:szCs w:val="7"/>
                <w:color w:val="auto"/>
              </w:rPr>
            </w:pPr>
          </w:p>
        </w:tc>
        <w:tc>
          <w:tcPr>
            <w:tcW w:w="220" w:type="dxa"/>
            <w:vAlign w:val="bottom"/>
            <w:tcBorders>
              <w:bottom w:val="single" w:sz="8" w:color="E5E5E5"/>
            </w:tcBorders>
          </w:tcPr>
          <w:p>
            <w:pPr>
              <w:spacing w:after="0"/>
              <w:rPr>
                <w:sz w:val="7"/>
                <w:szCs w:val="7"/>
                <w:color w:val="auto"/>
              </w:rPr>
            </w:pPr>
          </w:p>
        </w:tc>
        <w:tc>
          <w:tcPr>
            <w:tcW w:w="1360" w:type="dxa"/>
            <w:vAlign w:val="bottom"/>
            <w:tcBorders>
              <w:bottom w:val="single" w:sz="8" w:color="E5E5E5"/>
            </w:tcBorders>
          </w:tcPr>
          <w:p>
            <w:pPr>
              <w:spacing w:after="0"/>
              <w:rPr>
                <w:sz w:val="7"/>
                <w:szCs w:val="7"/>
                <w:color w:val="auto"/>
              </w:rPr>
            </w:pPr>
          </w:p>
        </w:tc>
        <w:tc>
          <w:tcPr>
            <w:tcW w:w="1600" w:type="dxa"/>
            <w:vAlign w:val="bottom"/>
            <w:tcBorders>
              <w:bottom w:val="single" w:sz="8" w:color="E5E5E5"/>
            </w:tcBorders>
          </w:tcPr>
          <w:p>
            <w:pPr>
              <w:spacing w:after="0"/>
              <w:rPr>
                <w:sz w:val="7"/>
                <w:szCs w:val="7"/>
                <w:color w:val="auto"/>
              </w:rPr>
            </w:pPr>
          </w:p>
        </w:tc>
        <w:tc>
          <w:tcPr>
            <w:tcW w:w="560" w:type="dxa"/>
            <w:vAlign w:val="bottom"/>
          </w:tcPr>
          <w:p>
            <w:pPr>
              <w:spacing w:after="0"/>
              <w:rPr>
                <w:sz w:val="7"/>
                <w:szCs w:val="7"/>
                <w:color w:val="auto"/>
              </w:rPr>
            </w:pPr>
          </w:p>
        </w:tc>
        <w:tc>
          <w:tcPr>
            <w:tcW w:w="1500" w:type="dxa"/>
            <w:vAlign w:val="bottom"/>
          </w:tcPr>
          <w:p>
            <w:pPr>
              <w:spacing w:after="0"/>
              <w:rPr>
                <w:sz w:val="7"/>
                <w:szCs w:val="7"/>
                <w:color w:val="auto"/>
              </w:rPr>
            </w:pPr>
          </w:p>
        </w:tc>
        <w:tc>
          <w:tcPr>
            <w:tcW w:w="20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380" w:type="dxa"/>
            <w:vAlign w:val="bottom"/>
            <w:tcBorders>
              <w:left w:val="single" w:sz="8" w:color="E5E5E5"/>
              <w:bottom w:val="single" w:sz="8" w:color="E5E5E5"/>
              <w:right w:val="single" w:sz="8" w:color="E5E5E5"/>
            </w:tcBorders>
            <w:gridSpan w:val="2"/>
          </w:tcPr>
          <w:p>
            <w:pPr>
              <w:jc w:val="center"/>
              <w:ind w:right="20"/>
              <w:spacing w:after="0"/>
              <w:rPr>
                <w:sz w:val="20"/>
                <w:szCs w:val="20"/>
                <w:color w:val="auto"/>
              </w:rPr>
            </w:pPr>
            <w:r>
              <w:rPr>
                <w:rFonts w:ascii="Arial" w:cs="Arial" w:eastAsia="Arial" w:hAnsi="Arial"/>
                <w:sz w:val="18"/>
                <w:szCs w:val="18"/>
                <w:color w:val="auto"/>
                <w:w w:val="98"/>
              </w:rPr>
              <w:t>Payout % of Target</w:t>
            </w:r>
          </w:p>
        </w:tc>
        <w:tc>
          <w:tcPr>
            <w:tcW w:w="1580" w:type="dxa"/>
            <w:vAlign w:val="bottom"/>
            <w:tcBorders>
              <w:bottom w:val="single" w:sz="8" w:color="E5E5E5"/>
              <w:right w:val="single" w:sz="8" w:color="E5E5E5"/>
            </w:tcBorders>
          </w:tcPr>
          <w:p>
            <w:pPr>
              <w:jc w:val="center"/>
              <w:spacing w:after="0"/>
              <w:rPr>
                <w:sz w:val="20"/>
                <w:szCs w:val="20"/>
                <w:color w:val="auto"/>
              </w:rPr>
            </w:pPr>
            <w:r>
              <w:rPr>
                <w:rFonts w:ascii="Arial" w:cs="Arial" w:eastAsia="Arial" w:hAnsi="Arial"/>
                <w:sz w:val="18"/>
                <w:szCs w:val="18"/>
                <w:color w:val="auto"/>
                <w:w w:val="99"/>
              </w:rPr>
              <w:t>50%</w:t>
            </w:r>
          </w:p>
        </w:tc>
        <w:tc>
          <w:tcPr>
            <w:tcW w:w="220" w:type="dxa"/>
            <w:vAlign w:val="bottom"/>
            <w:tcBorders>
              <w:bottom w:val="single" w:sz="8" w:color="E5E5E5"/>
            </w:tcBorders>
          </w:tcPr>
          <w:p>
            <w:pPr>
              <w:spacing w:after="0"/>
              <w:rPr>
                <w:sz w:val="19"/>
                <w:szCs w:val="19"/>
                <w:color w:val="auto"/>
              </w:rPr>
            </w:pPr>
          </w:p>
        </w:tc>
        <w:tc>
          <w:tcPr>
            <w:tcW w:w="1360" w:type="dxa"/>
            <w:vAlign w:val="bottom"/>
            <w:tcBorders>
              <w:bottom w:val="single" w:sz="8" w:color="E5E5E5"/>
              <w:right w:val="single" w:sz="8" w:color="E5E5E5"/>
            </w:tcBorders>
          </w:tcPr>
          <w:p>
            <w:pPr>
              <w:jc w:val="center"/>
              <w:ind w:right="170"/>
              <w:spacing w:after="0"/>
              <w:rPr>
                <w:sz w:val="20"/>
                <w:szCs w:val="20"/>
                <w:color w:val="auto"/>
              </w:rPr>
            </w:pPr>
            <w:r>
              <w:rPr>
                <w:rFonts w:ascii="Arial" w:cs="Arial" w:eastAsia="Arial" w:hAnsi="Arial"/>
                <w:sz w:val="18"/>
                <w:szCs w:val="18"/>
                <w:color w:val="auto"/>
                <w:w w:val="99"/>
              </w:rPr>
              <w:t>100%</w:t>
            </w:r>
          </w:p>
        </w:tc>
        <w:tc>
          <w:tcPr>
            <w:tcW w:w="1600" w:type="dxa"/>
            <w:vAlign w:val="bottom"/>
            <w:tcBorders>
              <w:bottom w:val="single" w:sz="8" w:color="E5E5E5"/>
              <w:right w:val="single" w:sz="8" w:color="E5E5E5"/>
            </w:tcBorders>
          </w:tcPr>
          <w:p>
            <w:pPr>
              <w:jc w:val="center"/>
              <w:spacing w:after="0"/>
              <w:rPr>
                <w:sz w:val="20"/>
                <w:szCs w:val="20"/>
                <w:color w:val="auto"/>
              </w:rPr>
            </w:pPr>
            <w:r>
              <w:rPr>
                <w:rFonts w:ascii="Arial" w:cs="Arial" w:eastAsia="Arial" w:hAnsi="Arial"/>
                <w:sz w:val="18"/>
                <w:szCs w:val="18"/>
                <w:color w:val="auto"/>
                <w:w w:val="99"/>
              </w:rPr>
              <w:t>150%</w:t>
            </w:r>
          </w:p>
        </w:tc>
        <w:tc>
          <w:tcPr>
            <w:tcW w:w="5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Notwithstanding our performance relative to the Automotive Peer Group, the Committee determined that, if our EPS growth was negative for the performance year, payout under the annual performance share unit awards would be limited to 100% of target. In addition, payout under the annual performance share unit awards is subject to the following total stockholder return (“TSR”) modifiers: (i) if the Company’s TSR increases by more than ten percent (10%), then payout will increase by ten percentage points (10%); (ii) if the Company’s TSR decreases by more than ten percent (10%), then payout will decrease by ten percentage points (10%); and (iii) if the Company’s TSR decreases by more than twenty percent (20%), then payout would be limited to 100%. Regardless of the amount of the increase in the Company’s TSR, the maximum payout is limited to 150% of target. The metrics used in the 2024 performance share unit award program were selected because of their relative importance to our financial success.</w:t>
      </w:r>
    </w:p>
    <w:p>
      <w:pPr>
        <w:spacing w:after="0" w:line="77"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The Committee reserved the right to adjust performance results under the 2024 performance share unit awards for the Company and each member of the Automotive Peer Group for material, publicly disclosed non-core items.</w:t>
      </w:r>
    </w:p>
    <w:p>
      <w:pPr>
        <w:spacing w:after="0" w:line="45"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color w:val="auto"/>
        </w:rPr>
        <w:t>The scores for each performance element are accumulated, such that the highest achievable score would result in a payout at 150% of target, the lowest achievable score would result in a payout at 0% of target and a score in between would be interpolated.</w:t>
      </w:r>
    </w:p>
    <w:p>
      <w:pPr>
        <w:spacing w:after="0" w:line="45" w:lineRule="exact"/>
        <w:rPr>
          <w:sz w:val="20"/>
          <w:szCs w:val="20"/>
          <w:color w:val="auto"/>
        </w:rPr>
      </w:pPr>
    </w:p>
    <w:p>
      <w:pPr>
        <w:ind w:right="620"/>
        <w:spacing w:after="0" w:line="287" w:lineRule="auto"/>
        <w:rPr>
          <w:sz w:val="20"/>
          <w:szCs w:val="20"/>
          <w:color w:val="auto"/>
        </w:rPr>
      </w:pPr>
      <w:r>
        <w:rPr>
          <w:rFonts w:ascii="Arial" w:cs="Arial" w:eastAsia="Arial" w:hAnsi="Arial"/>
          <w:sz w:val="18"/>
          <w:szCs w:val="18"/>
          <w:color w:val="auto"/>
        </w:rPr>
        <w:t>The actual number of performance share units earned was determined after the end of the 2024 fiscal year based on the Committee’s evaluation of our performance against the applicable metrics.</w:t>
      </w:r>
    </w:p>
    <w:p>
      <w:pPr>
        <w:spacing w:after="0" w:line="4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Based on the guidelines of the annual performance share unit program, the Company achieved adjusted EPS for 2024 of $27.08, resulting in a payout of 36% under the absolute EPS metric. In the Committee's discretion, the payout under the EPS Growth Relative to Peers metric could range between 0 and 45%. Based on the Company’s adjusted EPS growth rate ranked third relative to the growth rate of the 2024 adjusted EPS of the companies comprising the Automotive Peer Group, the Committee determined a payout of 34% under the EPS Growth Relative to Peers metric. As a result, after evaluating our performance on a cumulative basis, under each of the two performance metrics discussed above, the Committee determined the actual payout based on performance and established a payout of a number of performance share units at 70% of target.</w:t>
      </w:r>
    </w:p>
    <w:p>
      <w:pPr>
        <w:spacing w:after="0" w:line="75"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 Committee determined that the Company's 2024 total stockholder return was 13.5%, which, according to the TSR modifier (described above), resulted in an increase of up to 10% to the payout. The Committee after considering the impact of a cyber event including related legal fees, the impact of hurricane activity, and the impact of manufacturer stop sales, determined that a total payout of 80% of the target was appropriate as set forth in the table below.</w:t>
      </w:r>
    </w:p>
    <w:p>
      <w:pPr>
        <w:spacing w:after="0" w:line="96"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3960" w:type="dxa"/>
            <w:vAlign w:val="bottom"/>
            <w:tcBorders>
              <w:left w:val="single" w:sz="8" w:color="E5E5E5"/>
              <w:right w:val="single" w:sz="8" w:color="E5E5E5"/>
            </w:tcBorders>
            <w:vMerge w:val="restart"/>
            <w:shd w:val="clear" w:color="auto" w:fill="D91E18"/>
          </w:tcPr>
          <w:p>
            <w:pPr>
              <w:ind w:left="40"/>
              <w:spacing w:after="0"/>
              <w:rPr>
                <w:sz w:val="20"/>
                <w:szCs w:val="20"/>
                <w:color w:val="auto"/>
              </w:rPr>
            </w:pPr>
            <w:r>
              <w:rPr>
                <w:rFonts w:ascii="Arial" w:cs="Arial" w:eastAsia="Arial" w:hAnsi="Arial"/>
                <w:sz w:val="18"/>
                <w:szCs w:val="18"/>
                <w:b w:val="1"/>
                <w:bCs w:val="1"/>
                <w:color w:val="FFFFFF"/>
              </w:rPr>
              <w:t>Performance Component</w:t>
            </w:r>
          </w:p>
        </w:tc>
        <w:tc>
          <w:tcPr>
            <w:tcW w:w="2460" w:type="dxa"/>
            <w:vAlign w:val="bottom"/>
            <w:tcBorders>
              <w:right w:val="single" w:sz="8" w:color="E5E5E5"/>
            </w:tcBorders>
            <w:shd w:val="clear" w:color="auto" w:fill="D91E18"/>
          </w:tcPr>
          <w:p>
            <w:pPr>
              <w:jc w:val="center"/>
              <w:spacing w:after="0"/>
              <w:rPr>
                <w:sz w:val="20"/>
                <w:szCs w:val="20"/>
                <w:color w:val="auto"/>
              </w:rPr>
            </w:pPr>
            <w:r>
              <w:rPr>
                <w:rFonts w:ascii="Arial" w:cs="Arial" w:eastAsia="Arial" w:hAnsi="Arial"/>
                <w:sz w:val="18"/>
                <w:szCs w:val="18"/>
                <w:b w:val="1"/>
                <w:bCs w:val="1"/>
                <w:color w:val="FFFFFF"/>
                <w:w w:val="99"/>
              </w:rPr>
              <w:t>Actual Achievement</w:t>
            </w:r>
          </w:p>
        </w:tc>
        <w:tc>
          <w:tcPr>
            <w:tcW w:w="420" w:type="dxa"/>
            <w:vAlign w:val="bottom"/>
            <w:shd w:val="clear" w:color="auto" w:fill="D91E18"/>
          </w:tcPr>
          <w:p>
            <w:pPr>
              <w:spacing w:after="0"/>
              <w:rPr>
                <w:sz w:val="18"/>
                <w:szCs w:val="18"/>
                <w:color w:val="auto"/>
              </w:rPr>
            </w:pPr>
          </w:p>
        </w:tc>
        <w:tc>
          <w:tcPr>
            <w:tcW w:w="1660" w:type="dxa"/>
            <w:vAlign w:val="bottom"/>
            <w:vMerge w:val="restart"/>
            <w:shd w:val="clear" w:color="auto" w:fill="D91E18"/>
          </w:tcPr>
          <w:p>
            <w:pPr>
              <w:jc w:val="center"/>
              <w:spacing w:after="0"/>
              <w:rPr>
                <w:sz w:val="20"/>
                <w:szCs w:val="20"/>
                <w:color w:val="auto"/>
              </w:rPr>
            </w:pPr>
            <w:r>
              <w:rPr>
                <w:rFonts w:ascii="Arial" w:cs="Arial" w:eastAsia="Arial" w:hAnsi="Arial"/>
                <w:sz w:val="18"/>
                <w:szCs w:val="18"/>
                <w:b w:val="1"/>
                <w:bCs w:val="1"/>
                <w:color w:val="FFFFFF"/>
                <w:w w:val="98"/>
              </w:rPr>
              <w:t>Weighting</w:t>
            </w:r>
          </w:p>
        </w:tc>
        <w:tc>
          <w:tcPr>
            <w:tcW w:w="460" w:type="dxa"/>
            <w:vAlign w:val="bottom"/>
            <w:tcBorders>
              <w:right w:val="single" w:sz="8" w:color="E5E5E5"/>
            </w:tcBorders>
            <w:shd w:val="clear" w:color="auto" w:fill="D91E18"/>
          </w:tcPr>
          <w:p>
            <w:pPr>
              <w:spacing w:after="0"/>
              <w:rPr>
                <w:sz w:val="18"/>
                <w:szCs w:val="18"/>
                <w:color w:val="auto"/>
              </w:rPr>
            </w:pPr>
          </w:p>
        </w:tc>
        <w:tc>
          <w:tcPr>
            <w:tcW w:w="2300" w:type="dxa"/>
            <w:vAlign w:val="bottom"/>
            <w:tcBorders>
              <w:right w:val="single" w:sz="8" w:color="E5E5E5"/>
            </w:tcBorders>
            <w:shd w:val="clear" w:color="auto" w:fill="D91E18"/>
          </w:tcPr>
          <w:p>
            <w:pPr>
              <w:jc w:val="center"/>
              <w:spacing w:after="0"/>
              <w:rPr>
                <w:sz w:val="20"/>
                <w:szCs w:val="20"/>
                <w:color w:val="auto"/>
              </w:rPr>
            </w:pPr>
            <w:r>
              <w:rPr>
                <w:rFonts w:ascii="Arial" w:cs="Arial" w:eastAsia="Arial" w:hAnsi="Arial"/>
                <w:sz w:val="18"/>
                <w:szCs w:val="18"/>
                <w:b w:val="1"/>
                <w:bCs w:val="1"/>
                <w:color w:val="FFFFFF"/>
                <w:w w:val="99"/>
              </w:rPr>
              <w:t>Payout</w:t>
            </w:r>
          </w:p>
        </w:tc>
        <w:tc>
          <w:tcPr>
            <w:tcW w:w="0" w:type="dxa"/>
            <w:vAlign w:val="bottom"/>
          </w:tcPr>
          <w:p>
            <w:pPr>
              <w:spacing w:after="0"/>
              <w:rPr>
                <w:sz w:val="1"/>
                <w:szCs w:val="1"/>
                <w:color w:val="auto"/>
              </w:rPr>
            </w:pPr>
          </w:p>
        </w:tc>
      </w:tr>
      <w:tr>
        <w:trPr>
          <w:trHeight w:val="250"/>
        </w:trPr>
        <w:tc>
          <w:tcPr>
            <w:tcW w:w="3960" w:type="dxa"/>
            <w:vAlign w:val="bottom"/>
            <w:tcBorders>
              <w:left w:val="single" w:sz="8" w:color="E5E5E5"/>
              <w:right w:val="single" w:sz="8" w:color="E5E5E5"/>
            </w:tcBorders>
            <w:vMerge w:val="continue"/>
            <w:shd w:val="clear" w:color="auto" w:fill="D91E18"/>
          </w:tcPr>
          <w:p>
            <w:pPr>
              <w:spacing w:after="0"/>
              <w:rPr>
                <w:sz w:val="21"/>
                <w:szCs w:val="21"/>
                <w:color w:val="auto"/>
              </w:rPr>
            </w:pPr>
          </w:p>
        </w:tc>
        <w:tc>
          <w:tcPr>
            <w:tcW w:w="2460" w:type="dxa"/>
            <w:vAlign w:val="bottom"/>
            <w:tcBorders>
              <w:right w:val="single" w:sz="8" w:color="E5E5E5"/>
            </w:tcBorders>
            <w:shd w:val="clear" w:color="auto" w:fill="D91E18"/>
          </w:tcPr>
          <w:p>
            <w:pPr>
              <w:jc w:val="center"/>
              <w:spacing w:after="0"/>
              <w:rPr>
                <w:sz w:val="20"/>
                <w:szCs w:val="20"/>
                <w:color w:val="auto"/>
              </w:rPr>
            </w:pPr>
            <w:r>
              <w:rPr>
                <w:rFonts w:ascii="Arial" w:cs="Arial" w:eastAsia="Arial" w:hAnsi="Arial"/>
                <w:sz w:val="18"/>
                <w:szCs w:val="18"/>
                <w:b w:val="1"/>
                <w:bCs w:val="1"/>
                <w:color w:val="FFFFFF"/>
                <w:w w:val="99"/>
              </w:rPr>
              <w:t>(% of Target)</w:t>
            </w:r>
          </w:p>
        </w:tc>
        <w:tc>
          <w:tcPr>
            <w:tcW w:w="420" w:type="dxa"/>
            <w:vAlign w:val="bottom"/>
            <w:shd w:val="clear" w:color="auto" w:fill="D91E18"/>
          </w:tcPr>
          <w:p>
            <w:pPr>
              <w:spacing w:after="0"/>
              <w:rPr>
                <w:sz w:val="21"/>
                <w:szCs w:val="21"/>
                <w:color w:val="auto"/>
              </w:rPr>
            </w:pPr>
          </w:p>
        </w:tc>
        <w:tc>
          <w:tcPr>
            <w:tcW w:w="1660" w:type="dxa"/>
            <w:vAlign w:val="bottom"/>
            <w:vMerge w:val="continue"/>
            <w:shd w:val="clear" w:color="auto" w:fill="D91E18"/>
          </w:tcPr>
          <w:p>
            <w:pPr>
              <w:spacing w:after="0"/>
              <w:rPr>
                <w:sz w:val="21"/>
                <w:szCs w:val="21"/>
                <w:color w:val="auto"/>
              </w:rPr>
            </w:pPr>
          </w:p>
        </w:tc>
        <w:tc>
          <w:tcPr>
            <w:tcW w:w="460" w:type="dxa"/>
            <w:vAlign w:val="bottom"/>
            <w:tcBorders>
              <w:right w:val="single" w:sz="8" w:color="E5E5E5"/>
            </w:tcBorders>
            <w:shd w:val="clear" w:color="auto" w:fill="D91E18"/>
          </w:tcPr>
          <w:p>
            <w:pPr>
              <w:spacing w:after="0"/>
              <w:rPr>
                <w:sz w:val="21"/>
                <w:szCs w:val="21"/>
                <w:color w:val="auto"/>
              </w:rPr>
            </w:pPr>
          </w:p>
        </w:tc>
        <w:tc>
          <w:tcPr>
            <w:tcW w:w="2300" w:type="dxa"/>
            <w:vAlign w:val="bottom"/>
            <w:tcBorders>
              <w:right w:val="single" w:sz="8" w:color="E5E5E5"/>
            </w:tcBorders>
            <w:shd w:val="clear" w:color="auto" w:fill="D91E18"/>
          </w:tcPr>
          <w:p>
            <w:pPr>
              <w:jc w:val="center"/>
              <w:spacing w:after="0"/>
              <w:rPr>
                <w:sz w:val="20"/>
                <w:szCs w:val="20"/>
                <w:color w:val="auto"/>
              </w:rPr>
            </w:pPr>
            <w:r>
              <w:rPr>
                <w:rFonts w:ascii="Arial" w:cs="Arial" w:eastAsia="Arial" w:hAnsi="Arial"/>
                <w:sz w:val="18"/>
                <w:szCs w:val="18"/>
                <w:b w:val="1"/>
                <w:bCs w:val="1"/>
                <w:color w:val="FFFFFF"/>
                <w:w w:val="99"/>
              </w:rPr>
              <w:t>(% of Target)</w:t>
            </w:r>
          </w:p>
        </w:tc>
        <w:tc>
          <w:tcPr>
            <w:tcW w:w="0" w:type="dxa"/>
            <w:vAlign w:val="bottom"/>
          </w:tcPr>
          <w:p>
            <w:pPr>
              <w:spacing w:after="0"/>
              <w:rPr>
                <w:sz w:val="1"/>
                <w:szCs w:val="1"/>
                <w:color w:val="auto"/>
              </w:rPr>
            </w:pPr>
          </w:p>
        </w:tc>
      </w:tr>
      <w:tr>
        <w:trPr>
          <w:trHeight w:val="250"/>
        </w:trPr>
        <w:tc>
          <w:tcPr>
            <w:tcW w:w="3960" w:type="dxa"/>
            <w:vAlign w:val="bottom"/>
            <w:tcBorders>
              <w:left w:val="single" w:sz="8" w:color="E5E5E5"/>
              <w:right w:val="single" w:sz="8" w:color="E5E5E5"/>
            </w:tcBorders>
            <w:shd w:val="clear" w:color="auto" w:fill="D9D9D9"/>
          </w:tcPr>
          <w:p>
            <w:pPr>
              <w:ind w:left="40"/>
              <w:spacing w:after="0"/>
              <w:rPr>
                <w:sz w:val="20"/>
                <w:szCs w:val="20"/>
                <w:color w:val="auto"/>
              </w:rPr>
            </w:pPr>
            <w:r>
              <w:rPr>
                <w:rFonts w:ascii="Arial" w:cs="Arial" w:eastAsia="Arial" w:hAnsi="Arial"/>
                <w:sz w:val="18"/>
                <w:szCs w:val="18"/>
                <w:color w:val="auto"/>
              </w:rPr>
              <w:t>Absolute EPS</w:t>
            </w:r>
          </w:p>
        </w:tc>
        <w:tc>
          <w:tcPr>
            <w:tcW w:w="2460" w:type="dxa"/>
            <w:vAlign w:val="bottom"/>
            <w:tcBorders>
              <w:right w:val="single" w:sz="8" w:color="E5E5E5"/>
            </w:tcBorders>
            <w:shd w:val="clear" w:color="auto" w:fill="D9D9D9"/>
          </w:tcPr>
          <w:p>
            <w:pPr>
              <w:jc w:val="center"/>
              <w:spacing w:after="0"/>
              <w:rPr>
                <w:sz w:val="20"/>
                <w:szCs w:val="20"/>
                <w:color w:val="auto"/>
              </w:rPr>
            </w:pPr>
            <w:r>
              <w:rPr>
                <w:rFonts w:ascii="Arial" w:cs="Arial" w:eastAsia="Arial" w:hAnsi="Arial"/>
                <w:sz w:val="18"/>
                <w:szCs w:val="18"/>
                <w:color w:val="auto"/>
                <w:w w:val="99"/>
              </w:rPr>
              <w:t>52%</w:t>
            </w:r>
          </w:p>
        </w:tc>
        <w:tc>
          <w:tcPr>
            <w:tcW w:w="420" w:type="dxa"/>
            <w:vAlign w:val="bottom"/>
            <w:shd w:val="clear" w:color="auto" w:fill="D9D9D9"/>
          </w:tcPr>
          <w:p>
            <w:pPr>
              <w:ind w:left="160"/>
              <w:spacing w:after="0"/>
              <w:rPr>
                <w:sz w:val="20"/>
                <w:szCs w:val="20"/>
                <w:color w:val="auto"/>
              </w:rPr>
            </w:pPr>
            <w:r>
              <w:rPr>
                <w:rFonts w:ascii="Arial" w:cs="Arial" w:eastAsia="Arial" w:hAnsi="Arial"/>
                <w:sz w:val="18"/>
                <w:szCs w:val="18"/>
                <w:color w:val="auto"/>
              </w:rPr>
              <w:t>x</w:t>
            </w:r>
          </w:p>
        </w:tc>
        <w:tc>
          <w:tcPr>
            <w:tcW w:w="1660" w:type="dxa"/>
            <w:vAlign w:val="bottom"/>
            <w:shd w:val="clear" w:color="auto" w:fill="D9D9D9"/>
          </w:tcPr>
          <w:p>
            <w:pPr>
              <w:jc w:val="center"/>
              <w:spacing w:after="0"/>
              <w:rPr>
                <w:sz w:val="20"/>
                <w:szCs w:val="20"/>
                <w:color w:val="auto"/>
              </w:rPr>
            </w:pPr>
            <w:r>
              <w:rPr>
                <w:rFonts w:ascii="Arial" w:cs="Arial" w:eastAsia="Arial" w:hAnsi="Arial"/>
                <w:sz w:val="18"/>
                <w:szCs w:val="18"/>
                <w:color w:val="auto"/>
                <w:w w:val="99"/>
              </w:rPr>
              <w:t>70%</w:t>
            </w:r>
          </w:p>
        </w:tc>
        <w:tc>
          <w:tcPr>
            <w:tcW w:w="460" w:type="dxa"/>
            <w:vAlign w:val="bottom"/>
            <w:tcBorders>
              <w:right w:val="single" w:sz="8" w:color="E5E5E5"/>
            </w:tcBorders>
            <w:shd w:val="clear" w:color="auto" w:fill="D9D9D9"/>
          </w:tcPr>
          <w:p>
            <w:pPr>
              <w:jc w:val="right"/>
              <w:ind w:right="110"/>
              <w:spacing w:after="0"/>
              <w:rPr>
                <w:sz w:val="20"/>
                <w:szCs w:val="20"/>
                <w:color w:val="auto"/>
              </w:rPr>
            </w:pPr>
            <w:r>
              <w:rPr>
                <w:rFonts w:ascii="Arial" w:cs="Arial" w:eastAsia="Arial" w:hAnsi="Arial"/>
                <w:sz w:val="18"/>
                <w:szCs w:val="18"/>
                <w:color w:val="auto"/>
              </w:rPr>
              <w:t>=</w:t>
            </w:r>
          </w:p>
        </w:tc>
        <w:tc>
          <w:tcPr>
            <w:tcW w:w="2300" w:type="dxa"/>
            <w:vAlign w:val="bottom"/>
            <w:tcBorders>
              <w:right w:val="single" w:sz="8" w:color="E5E5E5"/>
            </w:tcBorders>
            <w:shd w:val="clear" w:color="auto" w:fill="D9D9D9"/>
          </w:tcPr>
          <w:p>
            <w:pPr>
              <w:jc w:val="center"/>
              <w:spacing w:after="0"/>
              <w:rPr>
                <w:sz w:val="20"/>
                <w:szCs w:val="20"/>
                <w:color w:val="auto"/>
              </w:rPr>
            </w:pPr>
            <w:r>
              <w:rPr>
                <w:rFonts w:ascii="Arial" w:cs="Arial" w:eastAsia="Arial" w:hAnsi="Arial"/>
                <w:sz w:val="18"/>
                <w:szCs w:val="18"/>
                <w:color w:val="auto"/>
                <w:w w:val="99"/>
              </w:rPr>
              <w:t>36%</w:t>
            </w:r>
          </w:p>
        </w:tc>
        <w:tc>
          <w:tcPr>
            <w:tcW w:w="0" w:type="dxa"/>
            <w:vAlign w:val="bottom"/>
          </w:tcPr>
          <w:p>
            <w:pPr>
              <w:spacing w:after="0"/>
              <w:rPr>
                <w:sz w:val="1"/>
                <w:szCs w:val="1"/>
                <w:color w:val="auto"/>
              </w:rPr>
            </w:pPr>
          </w:p>
        </w:tc>
      </w:tr>
      <w:tr>
        <w:trPr>
          <w:trHeight w:val="243"/>
        </w:trPr>
        <w:tc>
          <w:tcPr>
            <w:tcW w:w="3960" w:type="dxa"/>
            <w:vAlign w:val="bottom"/>
            <w:tcBorders>
              <w:left w:val="single" w:sz="8" w:color="E5E5E5"/>
              <w:right w:val="single" w:sz="8" w:color="E5E5E5"/>
            </w:tcBorders>
          </w:tcPr>
          <w:p>
            <w:pPr>
              <w:ind w:left="40"/>
              <w:spacing w:after="0"/>
              <w:rPr>
                <w:sz w:val="20"/>
                <w:szCs w:val="20"/>
                <w:color w:val="auto"/>
              </w:rPr>
            </w:pPr>
            <w:r>
              <w:rPr>
                <w:rFonts w:ascii="Arial" w:cs="Arial" w:eastAsia="Arial" w:hAnsi="Arial"/>
                <w:sz w:val="18"/>
                <w:szCs w:val="18"/>
                <w:color w:val="auto"/>
              </w:rPr>
              <w:t>Adjusted EPS Growth Relative to Peers</w:t>
            </w:r>
          </w:p>
        </w:tc>
        <w:tc>
          <w:tcPr>
            <w:tcW w:w="2460" w:type="dxa"/>
            <w:vAlign w:val="bottom"/>
            <w:tcBorders>
              <w:right w:val="single" w:sz="8" w:color="E5E5E5"/>
            </w:tcBorders>
          </w:tcPr>
          <w:p>
            <w:pPr>
              <w:spacing w:after="0"/>
              <w:rPr>
                <w:sz w:val="21"/>
                <w:szCs w:val="21"/>
                <w:color w:val="auto"/>
              </w:rPr>
            </w:pPr>
          </w:p>
        </w:tc>
        <w:tc>
          <w:tcPr>
            <w:tcW w:w="420" w:type="dxa"/>
            <w:vAlign w:val="bottom"/>
          </w:tcPr>
          <w:p>
            <w:pPr>
              <w:spacing w:after="0"/>
              <w:rPr>
                <w:sz w:val="21"/>
                <w:szCs w:val="21"/>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rPr>
              <w:t>0 to 45%</w:t>
            </w:r>
          </w:p>
        </w:tc>
        <w:tc>
          <w:tcPr>
            <w:tcW w:w="460" w:type="dxa"/>
            <w:vAlign w:val="bottom"/>
            <w:tcBorders>
              <w:right w:val="single" w:sz="8" w:color="E5E5E5"/>
            </w:tcBorders>
          </w:tcPr>
          <w:p>
            <w:pPr>
              <w:jc w:val="right"/>
              <w:ind w:right="110"/>
              <w:spacing w:after="0"/>
              <w:rPr>
                <w:sz w:val="20"/>
                <w:szCs w:val="20"/>
                <w:color w:val="auto"/>
              </w:rPr>
            </w:pPr>
            <w:r>
              <w:rPr>
                <w:rFonts w:ascii="Arial" w:cs="Arial" w:eastAsia="Arial" w:hAnsi="Arial"/>
                <w:sz w:val="18"/>
                <w:szCs w:val="18"/>
                <w:color w:val="auto"/>
              </w:rPr>
              <w:t>=</w:t>
            </w:r>
          </w:p>
        </w:tc>
        <w:tc>
          <w:tcPr>
            <w:tcW w:w="2300" w:type="dxa"/>
            <w:vAlign w:val="bottom"/>
            <w:tcBorders>
              <w:right w:val="single" w:sz="8" w:color="E5E5E5"/>
            </w:tcBorders>
          </w:tcPr>
          <w:p>
            <w:pPr>
              <w:jc w:val="center"/>
              <w:spacing w:after="0"/>
              <w:rPr>
                <w:sz w:val="20"/>
                <w:szCs w:val="20"/>
                <w:color w:val="auto"/>
              </w:rPr>
            </w:pPr>
            <w:r>
              <w:rPr>
                <w:rFonts w:ascii="Arial" w:cs="Arial" w:eastAsia="Arial" w:hAnsi="Arial"/>
                <w:sz w:val="18"/>
                <w:szCs w:val="18"/>
                <w:color w:val="auto"/>
                <w:w w:val="99"/>
              </w:rPr>
              <w:t>34%</w:t>
            </w:r>
          </w:p>
        </w:tc>
        <w:tc>
          <w:tcPr>
            <w:tcW w:w="0" w:type="dxa"/>
            <w:vAlign w:val="bottom"/>
          </w:tcPr>
          <w:p>
            <w:pPr>
              <w:spacing w:after="0"/>
              <w:rPr>
                <w:sz w:val="1"/>
                <w:szCs w:val="1"/>
                <w:color w:val="auto"/>
              </w:rPr>
            </w:pPr>
          </w:p>
        </w:tc>
      </w:tr>
      <w:tr>
        <w:trPr>
          <w:trHeight w:val="257"/>
        </w:trPr>
        <w:tc>
          <w:tcPr>
            <w:tcW w:w="3960" w:type="dxa"/>
            <w:vAlign w:val="bottom"/>
            <w:tcBorders>
              <w:left w:val="single" w:sz="8" w:color="E5E5E5"/>
              <w:right w:val="single" w:sz="8" w:color="E5E5E5"/>
            </w:tcBorders>
            <w:shd w:val="clear" w:color="auto" w:fill="D9D9D9"/>
          </w:tcPr>
          <w:p>
            <w:pPr>
              <w:ind w:left="40"/>
              <w:spacing w:after="0"/>
              <w:rPr>
                <w:sz w:val="20"/>
                <w:szCs w:val="20"/>
                <w:color w:val="auto"/>
              </w:rPr>
            </w:pPr>
            <w:r>
              <w:rPr>
                <w:rFonts w:ascii="Arial" w:cs="Arial" w:eastAsia="Arial" w:hAnsi="Arial"/>
                <w:sz w:val="18"/>
                <w:szCs w:val="18"/>
                <w:color w:val="auto"/>
              </w:rPr>
              <w:t>Absolute TSR</w:t>
            </w:r>
          </w:p>
        </w:tc>
        <w:tc>
          <w:tcPr>
            <w:tcW w:w="2460" w:type="dxa"/>
            <w:vAlign w:val="bottom"/>
            <w:tcBorders>
              <w:right w:val="single" w:sz="8" w:color="E5E5E5"/>
            </w:tcBorders>
            <w:shd w:val="clear" w:color="auto" w:fill="D9D9D9"/>
          </w:tcPr>
          <w:p>
            <w:pPr>
              <w:spacing w:after="0"/>
              <w:rPr>
                <w:sz w:val="22"/>
                <w:szCs w:val="22"/>
                <w:color w:val="auto"/>
              </w:rPr>
            </w:pPr>
          </w:p>
        </w:tc>
        <w:tc>
          <w:tcPr>
            <w:tcW w:w="420" w:type="dxa"/>
            <w:vAlign w:val="bottom"/>
            <w:shd w:val="clear" w:color="auto" w:fill="D9D9D9"/>
          </w:tcPr>
          <w:p>
            <w:pPr>
              <w:spacing w:after="0"/>
              <w:rPr>
                <w:sz w:val="22"/>
                <w:szCs w:val="22"/>
                <w:color w:val="auto"/>
              </w:rPr>
            </w:pPr>
          </w:p>
        </w:tc>
        <w:tc>
          <w:tcPr>
            <w:tcW w:w="1660" w:type="dxa"/>
            <w:vAlign w:val="bottom"/>
            <w:shd w:val="clear" w:color="auto" w:fill="D9D9D9"/>
          </w:tcPr>
          <w:p>
            <w:pPr>
              <w:jc w:val="center"/>
              <w:spacing w:after="0"/>
              <w:rPr>
                <w:sz w:val="20"/>
                <w:szCs w:val="20"/>
                <w:color w:val="auto"/>
              </w:rPr>
            </w:pPr>
            <w:r>
              <w:rPr>
                <w:rFonts w:ascii="Arial" w:cs="Arial" w:eastAsia="Arial" w:hAnsi="Arial"/>
                <w:sz w:val="18"/>
                <w:szCs w:val="18"/>
                <w:color w:val="auto"/>
                <w:w w:val="98"/>
              </w:rPr>
              <w:t>+/- 10% Modifier</w:t>
            </w:r>
          </w:p>
        </w:tc>
        <w:tc>
          <w:tcPr>
            <w:tcW w:w="460" w:type="dxa"/>
            <w:vAlign w:val="bottom"/>
            <w:tcBorders>
              <w:right w:val="single" w:sz="8" w:color="E5E5E5"/>
            </w:tcBorders>
            <w:shd w:val="clear" w:color="auto" w:fill="D9D9D9"/>
          </w:tcPr>
          <w:p>
            <w:pPr>
              <w:spacing w:after="0"/>
              <w:rPr>
                <w:sz w:val="22"/>
                <w:szCs w:val="22"/>
                <w:color w:val="auto"/>
              </w:rPr>
            </w:pPr>
          </w:p>
        </w:tc>
        <w:tc>
          <w:tcPr>
            <w:tcW w:w="2300" w:type="dxa"/>
            <w:vAlign w:val="bottom"/>
            <w:tcBorders>
              <w:right w:val="single" w:sz="8" w:color="E5E5E5"/>
            </w:tcBorders>
            <w:shd w:val="clear" w:color="auto" w:fill="D9D9D9"/>
          </w:tcPr>
          <w:p>
            <w:pPr>
              <w:jc w:val="center"/>
              <w:spacing w:after="0"/>
              <w:rPr>
                <w:sz w:val="20"/>
                <w:szCs w:val="20"/>
                <w:color w:val="auto"/>
              </w:rPr>
            </w:pPr>
            <w:r>
              <w:rPr>
                <w:rFonts w:ascii="Arial" w:cs="Arial" w:eastAsia="Arial" w:hAnsi="Arial"/>
                <w:sz w:val="18"/>
                <w:szCs w:val="18"/>
                <w:color w:val="auto"/>
                <w:w w:val="99"/>
              </w:rPr>
              <w:t>10%</w:t>
            </w:r>
          </w:p>
        </w:tc>
        <w:tc>
          <w:tcPr>
            <w:tcW w:w="0" w:type="dxa"/>
            <w:vAlign w:val="bottom"/>
          </w:tcPr>
          <w:p>
            <w:pPr>
              <w:spacing w:after="0"/>
              <w:rPr>
                <w:sz w:val="1"/>
                <w:szCs w:val="1"/>
                <w:color w:val="auto"/>
              </w:rPr>
            </w:pPr>
          </w:p>
        </w:tc>
      </w:tr>
      <w:tr>
        <w:trPr>
          <w:trHeight w:val="256"/>
        </w:trPr>
        <w:tc>
          <w:tcPr>
            <w:tcW w:w="3960" w:type="dxa"/>
            <w:vAlign w:val="bottom"/>
            <w:tcBorders>
              <w:left w:val="single" w:sz="8" w:color="E5E5E5"/>
              <w:right w:val="single" w:sz="8" w:color="E5E5E5"/>
            </w:tcBorders>
          </w:tcPr>
          <w:p>
            <w:pPr>
              <w:spacing w:after="0"/>
              <w:rPr>
                <w:sz w:val="22"/>
                <w:szCs w:val="22"/>
                <w:color w:val="auto"/>
              </w:rPr>
            </w:pPr>
          </w:p>
        </w:tc>
        <w:tc>
          <w:tcPr>
            <w:tcW w:w="2460" w:type="dxa"/>
            <w:vAlign w:val="bottom"/>
            <w:tcBorders>
              <w:right w:val="single" w:sz="8" w:color="E5E5E5"/>
            </w:tcBorders>
          </w:tcPr>
          <w:p>
            <w:pPr>
              <w:spacing w:after="0"/>
              <w:rPr>
                <w:sz w:val="22"/>
                <w:szCs w:val="22"/>
                <w:color w:val="auto"/>
              </w:rPr>
            </w:pPr>
          </w:p>
        </w:tc>
        <w:tc>
          <w:tcPr>
            <w:tcW w:w="4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460" w:type="dxa"/>
            <w:vAlign w:val="bottom"/>
            <w:tcBorders>
              <w:right w:val="single" w:sz="8" w:color="E5E5E5"/>
            </w:tcBorders>
          </w:tcPr>
          <w:p>
            <w:pPr>
              <w:spacing w:after="0"/>
              <w:rPr>
                <w:sz w:val="22"/>
                <w:szCs w:val="22"/>
                <w:color w:val="auto"/>
              </w:rPr>
            </w:pPr>
          </w:p>
        </w:tc>
        <w:tc>
          <w:tcPr>
            <w:tcW w:w="2300" w:type="dxa"/>
            <w:vAlign w:val="bottom"/>
            <w:tcBorders>
              <w:right w:val="single" w:sz="8" w:color="E5E5E5"/>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960" w:type="dxa"/>
            <w:vAlign w:val="bottom"/>
            <w:tcBorders>
              <w:left w:val="single" w:sz="8" w:color="E5E5E5"/>
              <w:right w:val="single" w:sz="8" w:color="D9D9D9"/>
            </w:tcBorders>
            <w:shd w:val="clear" w:color="auto" w:fill="D9D9D9"/>
          </w:tcPr>
          <w:p>
            <w:pPr>
              <w:ind w:left="40"/>
              <w:spacing w:after="0"/>
              <w:rPr>
                <w:sz w:val="20"/>
                <w:szCs w:val="20"/>
                <w:color w:val="auto"/>
              </w:rPr>
            </w:pPr>
            <w:r>
              <w:rPr>
                <w:rFonts w:ascii="Arial" w:cs="Arial" w:eastAsia="Arial" w:hAnsi="Arial"/>
                <w:sz w:val="18"/>
                <w:szCs w:val="18"/>
                <w:b w:val="1"/>
                <w:bCs w:val="1"/>
                <w:color w:val="auto"/>
              </w:rPr>
              <w:t>Final Payout</w:t>
            </w:r>
          </w:p>
        </w:tc>
        <w:tc>
          <w:tcPr>
            <w:tcW w:w="2460" w:type="dxa"/>
            <w:vAlign w:val="bottom"/>
            <w:tcBorders>
              <w:right w:val="single" w:sz="8" w:color="D9D9D9"/>
            </w:tcBorders>
            <w:shd w:val="clear" w:color="auto" w:fill="D9D9D9"/>
          </w:tcPr>
          <w:p>
            <w:pPr>
              <w:spacing w:after="0"/>
              <w:rPr>
                <w:sz w:val="22"/>
                <w:szCs w:val="22"/>
                <w:color w:val="auto"/>
              </w:rPr>
            </w:pPr>
          </w:p>
        </w:tc>
        <w:tc>
          <w:tcPr>
            <w:tcW w:w="420" w:type="dxa"/>
            <w:vAlign w:val="bottom"/>
            <w:shd w:val="clear" w:color="auto" w:fill="D9D9D9"/>
          </w:tcPr>
          <w:p>
            <w:pPr>
              <w:spacing w:after="0"/>
              <w:rPr>
                <w:sz w:val="22"/>
                <w:szCs w:val="22"/>
                <w:color w:val="auto"/>
              </w:rPr>
            </w:pPr>
          </w:p>
        </w:tc>
        <w:tc>
          <w:tcPr>
            <w:tcW w:w="1660" w:type="dxa"/>
            <w:vAlign w:val="bottom"/>
            <w:shd w:val="clear" w:color="auto" w:fill="D9D9D9"/>
          </w:tcPr>
          <w:p>
            <w:pPr>
              <w:spacing w:after="0"/>
              <w:rPr>
                <w:sz w:val="22"/>
                <w:szCs w:val="22"/>
                <w:color w:val="auto"/>
              </w:rPr>
            </w:pPr>
          </w:p>
        </w:tc>
        <w:tc>
          <w:tcPr>
            <w:tcW w:w="460" w:type="dxa"/>
            <w:vAlign w:val="bottom"/>
            <w:tcBorders>
              <w:right w:val="single" w:sz="8" w:color="D9D9D9"/>
            </w:tcBorders>
            <w:shd w:val="clear" w:color="auto" w:fill="D9D9D9"/>
          </w:tcPr>
          <w:p>
            <w:pPr>
              <w:spacing w:after="0"/>
              <w:rPr>
                <w:sz w:val="22"/>
                <w:szCs w:val="22"/>
                <w:color w:val="auto"/>
              </w:rPr>
            </w:pPr>
          </w:p>
        </w:tc>
        <w:tc>
          <w:tcPr>
            <w:tcW w:w="2300" w:type="dxa"/>
            <w:vAlign w:val="bottom"/>
            <w:tcBorders>
              <w:right w:val="single" w:sz="8" w:color="E5E5E5"/>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9"/>
              </w:rPr>
              <w:t>80%</w:t>
            </w:r>
          </w:p>
        </w:tc>
        <w:tc>
          <w:tcPr>
            <w:tcW w:w="0" w:type="dxa"/>
            <w:vAlign w:val="bottom"/>
          </w:tcPr>
          <w:p>
            <w:pPr>
              <w:spacing w:after="0"/>
              <w:rPr>
                <w:sz w:val="1"/>
                <w:szCs w:val="1"/>
                <w:color w:val="auto"/>
              </w:rPr>
            </w:pPr>
          </w:p>
        </w:tc>
      </w:tr>
      <w:tr>
        <w:trPr>
          <w:trHeight w:val="733"/>
        </w:trPr>
        <w:tc>
          <w:tcPr>
            <w:tcW w:w="3960" w:type="dxa"/>
            <w:vAlign w:val="bottom"/>
          </w:tcPr>
          <w:p>
            <w:pPr>
              <w:spacing w:after="0"/>
              <w:rPr>
                <w:sz w:val="24"/>
                <w:szCs w:val="24"/>
                <w:color w:val="auto"/>
              </w:rPr>
            </w:pPr>
          </w:p>
        </w:tc>
        <w:tc>
          <w:tcPr>
            <w:tcW w:w="2460" w:type="dxa"/>
            <w:vAlign w:val="bottom"/>
          </w:tcPr>
          <w:p>
            <w:pPr>
              <w:jc w:val="right"/>
              <w:ind w:right="610"/>
              <w:spacing w:after="0"/>
              <w:rPr>
                <w:sz w:val="20"/>
                <w:szCs w:val="20"/>
                <w:color w:val="auto"/>
              </w:rPr>
            </w:pPr>
            <w:r>
              <w:rPr>
                <w:rFonts w:ascii="Arial" w:cs="Arial" w:eastAsia="Arial" w:hAnsi="Arial"/>
                <w:sz w:val="18"/>
                <w:szCs w:val="18"/>
                <w:color w:val="auto"/>
              </w:rPr>
              <w:t>35</w:t>
            </w:r>
          </w:p>
        </w:tc>
        <w:tc>
          <w:tcPr>
            <w:tcW w:w="4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3960" w:type="dxa"/>
            <w:vAlign w:val="bottom"/>
            <w:tcBorders>
              <w:bottom w:val="single" w:sz="8" w:color="9A9A9A"/>
            </w:tcBorders>
          </w:tcPr>
          <w:p>
            <w:pPr>
              <w:spacing w:after="0"/>
              <w:rPr>
                <w:sz w:val="19"/>
                <w:szCs w:val="19"/>
                <w:color w:val="auto"/>
              </w:rPr>
            </w:pPr>
          </w:p>
        </w:tc>
        <w:tc>
          <w:tcPr>
            <w:tcW w:w="2460" w:type="dxa"/>
            <w:vAlign w:val="bottom"/>
            <w:tcBorders>
              <w:bottom w:val="single" w:sz="8" w:color="9A9A9A"/>
            </w:tcBorders>
          </w:tcPr>
          <w:p>
            <w:pPr>
              <w:spacing w:after="0"/>
              <w:rPr>
                <w:sz w:val="19"/>
                <w:szCs w:val="19"/>
                <w:color w:val="auto"/>
              </w:rPr>
            </w:pPr>
          </w:p>
        </w:tc>
        <w:tc>
          <w:tcPr>
            <w:tcW w:w="420" w:type="dxa"/>
            <w:vAlign w:val="bottom"/>
            <w:tcBorders>
              <w:bottom w:val="single" w:sz="8" w:color="9A9A9A"/>
            </w:tcBorders>
          </w:tcPr>
          <w:p>
            <w:pPr>
              <w:spacing w:after="0"/>
              <w:rPr>
                <w:sz w:val="19"/>
                <w:szCs w:val="19"/>
                <w:color w:val="auto"/>
              </w:rPr>
            </w:pPr>
          </w:p>
        </w:tc>
        <w:tc>
          <w:tcPr>
            <w:tcW w:w="1660" w:type="dxa"/>
            <w:vAlign w:val="bottom"/>
            <w:tcBorders>
              <w:bottom w:val="single" w:sz="8" w:color="9A9A9A"/>
            </w:tcBorders>
          </w:tcPr>
          <w:p>
            <w:pPr>
              <w:spacing w:after="0"/>
              <w:rPr>
                <w:sz w:val="19"/>
                <w:szCs w:val="19"/>
                <w:color w:val="auto"/>
              </w:rPr>
            </w:pPr>
          </w:p>
        </w:tc>
        <w:tc>
          <w:tcPr>
            <w:tcW w:w="460" w:type="dxa"/>
            <w:vAlign w:val="bottom"/>
            <w:tcBorders>
              <w:bottom w:val="single" w:sz="8" w:color="9A9A9A"/>
            </w:tcBorders>
          </w:tcPr>
          <w:p>
            <w:pPr>
              <w:spacing w:after="0"/>
              <w:rPr>
                <w:sz w:val="19"/>
                <w:szCs w:val="19"/>
                <w:color w:val="auto"/>
              </w:rPr>
            </w:pPr>
          </w:p>
        </w:tc>
        <w:tc>
          <w:tcPr>
            <w:tcW w:w="230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08" w:right="31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Payments of awards pursuant to the 2024 annual performance share unit award program were earned as set forth below.</w:t>
      </w:r>
    </w:p>
    <w:p>
      <w:pPr>
        <w:spacing w:after="0" w:line="145"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3160" w:type="dxa"/>
            <w:vAlign w:val="bottom"/>
            <w:tcBorders>
              <w:left w:val="single" w:sz="8" w:color="E5E5E5"/>
              <w:right w:val="single" w:sz="8" w:color="E5E5E5"/>
            </w:tcBorders>
            <w:vMerge w:val="restart"/>
            <w:shd w:val="clear" w:color="auto" w:fill="D91E18"/>
          </w:tcPr>
          <w:p>
            <w:pPr>
              <w:ind w:left="80"/>
              <w:spacing w:after="0"/>
              <w:rPr>
                <w:sz w:val="20"/>
                <w:szCs w:val="20"/>
                <w:color w:val="auto"/>
              </w:rPr>
            </w:pPr>
            <w:r>
              <w:rPr>
                <w:rFonts w:ascii="Arial" w:cs="Arial" w:eastAsia="Arial" w:hAnsi="Arial"/>
                <w:sz w:val="18"/>
                <w:szCs w:val="18"/>
                <w:b w:val="1"/>
                <w:bCs w:val="1"/>
                <w:color w:val="FFFFFF"/>
              </w:rPr>
              <w:t>Name</w:t>
            </w:r>
          </w:p>
        </w:tc>
        <w:tc>
          <w:tcPr>
            <w:tcW w:w="2300" w:type="dxa"/>
            <w:vAlign w:val="bottom"/>
            <w:tcBorders>
              <w:right w:val="single" w:sz="8" w:color="E5E5E5"/>
            </w:tcBorders>
            <w:shd w:val="clear" w:color="auto" w:fill="D91E18"/>
          </w:tcPr>
          <w:p>
            <w:pPr>
              <w:jc w:val="center"/>
              <w:spacing w:after="0"/>
              <w:rPr>
                <w:sz w:val="20"/>
                <w:szCs w:val="20"/>
                <w:color w:val="auto"/>
              </w:rPr>
            </w:pPr>
            <w:r>
              <w:rPr>
                <w:rFonts w:ascii="Arial" w:cs="Arial" w:eastAsia="Arial" w:hAnsi="Arial"/>
                <w:sz w:val="18"/>
                <w:szCs w:val="18"/>
                <w:b w:val="1"/>
                <w:bCs w:val="1"/>
                <w:color w:val="FFFFFF"/>
                <w:w w:val="98"/>
              </w:rPr>
              <w:t>Target Number of</w:t>
            </w:r>
          </w:p>
        </w:tc>
        <w:tc>
          <w:tcPr>
            <w:tcW w:w="5800" w:type="dxa"/>
            <w:vAlign w:val="bottom"/>
            <w:tcBorders>
              <w:right w:val="single" w:sz="8" w:color="E5E5E5"/>
            </w:tcBorders>
            <w:shd w:val="clear" w:color="auto" w:fill="D91E18"/>
          </w:tcPr>
          <w:p>
            <w:pPr>
              <w:jc w:val="center"/>
              <w:spacing w:after="0"/>
              <w:rPr>
                <w:sz w:val="20"/>
                <w:szCs w:val="20"/>
                <w:color w:val="auto"/>
              </w:rPr>
            </w:pPr>
            <w:r>
              <w:rPr>
                <w:rFonts w:ascii="Arial" w:cs="Arial" w:eastAsia="Arial" w:hAnsi="Arial"/>
                <w:sz w:val="18"/>
                <w:szCs w:val="18"/>
                <w:b w:val="1"/>
                <w:bCs w:val="1"/>
                <w:color w:val="FFFFFF"/>
                <w:w w:val="99"/>
              </w:rPr>
              <w:t>Number of Shares of Common Stock Awarded Under the 2024</w:t>
            </w:r>
          </w:p>
        </w:tc>
        <w:tc>
          <w:tcPr>
            <w:tcW w:w="0" w:type="dxa"/>
            <w:vAlign w:val="bottom"/>
          </w:tcPr>
          <w:p>
            <w:pPr>
              <w:spacing w:after="0"/>
              <w:rPr>
                <w:sz w:val="1"/>
                <w:szCs w:val="1"/>
                <w:color w:val="auto"/>
              </w:rPr>
            </w:pPr>
          </w:p>
        </w:tc>
      </w:tr>
      <w:tr>
        <w:trPr>
          <w:trHeight w:val="250"/>
        </w:trPr>
        <w:tc>
          <w:tcPr>
            <w:tcW w:w="3160" w:type="dxa"/>
            <w:vAlign w:val="bottom"/>
            <w:tcBorders>
              <w:left w:val="single" w:sz="8" w:color="E5E5E5"/>
              <w:right w:val="single" w:sz="8" w:color="E5E5E5"/>
            </w:tcBorders>
            <w:vMerge w:val="continue"/>
            <w:shd w:val="clear" w:color="auto" w:fill="D91E18"/>
          </w:tcPr>
          <w:p>
            <w:pPr>
              <w:spacing w:after="0"/>
              <w:rPr>
                <w:sz w:val="21"/>
                <w:szCs w:val="21"/>
                <w:color w:val="auto"/>
              </w:rPr>
            </w:pPr>
          </w:p>
        </w:tc>
        <w:tc>
          <w:tcPr>
            <w:tcW w:w="2300" w:type="dxa"/>
            <w:vAlign w:val="bottom"/>
            <w:tcBorders>
              <w:right w:val="single" w:sz="8" w:color="E5E5E5"/>
            </w:tcBorders>
            <w:shd w:val="clear" w:color="auto" w:fill="D91E18"/>
          </w:tcPr>
          <w:p>
            <w:pPr>
              <w:jc w:val="center"/>
              <w:spacing w:after="0"/>
              <w:rPr>
                <w:sz w:val="20"/>
                <w:szCs w:val="20"/>
                <w:color w:val="auto"/>
              </w:rPr>
            </w:pPr>
            <w:r>
              <w:rPr>
                <w:rFonts w:ascii="Arial" w:cs="Arial" w:eastAsia="Arial" w:hAnsi="Arial"/>
                <w:sz w:val="18"/>
                <w:szCs w:val="18"/>
                <w:b w:val="1"/>
                <w:bCs w:val="1"/>
                <w:color w:val="FFFFFF"/>
              </w:rPr>
              <w:t>PSUs Granted</w:t>
            </w:r>
          </w:p>
        </w:tc>
        <w:tc>
          <w:tcPr>
            <w:tcW w:w="5800" w:type="dxa"/>
            <w:vAlign w:val="bottom"/>
            <w:tcBorders>
              <w:right w:val="single" w:sz="8" w:color="E5E5E5"/>
            </w:tcBorders>
            <w:shd w:val="clear" w:color="auto" w:fill="D91E18"/>
          </w:tcPr>
          <w:p>
            <w:pPr>
              <w:jc w:val="center"/>
              <w:spacing w:after="0" w:line="243" w:lineRule="exact"/>
              <w:rPr>
                <w:sz w:val="20"/>
                <w:szCs w:val="20"/>
                <w:color w:val="auto"/>
              </w:rPr>
            </w:pPr>
            <w:r>
              <w:rPr>
                <w:rFonts w:ascii="Arial" w:cs="Arial" w:eastAsia="Arial" w:hAnsi="Arial"/>
                <w:sz w:val="18"/>
                <w:szCs w:val="18"/>
                <w:b w:val="1"/>
                <w:bCs w:val="1"/>
                <w:color w:val="FFFFFF"/>
                <w:w w:val="98"/>
              </w:rPr>
              <w:t>Annual Performance Share Unit Award Program</w:t>
            </w:r>
            <w:r>
              <w:rPr>
                <w:rFonts w:ascii="Arial" w:cs="Arial" w:eastAsia="Arial" w:hAnsi="Arial"/>
                <w:sz w:val="23"/>
                <w:szCs w:val="23"/>
                <w:b w:val="1"/>
                <w:bCs w:val="1"/>
                <w:color w:val="FFFFFF"/>
                <w:w w:val="98"/>
                <w:vertAlign w:val="superscript"/>
              </w:rPr>
              <w:t>(1)</w:t>
            </w:r>
          </w:p>
        </w:tc>
        <w:tc>
          <w:tcPr>
            <w:tcW w:w="0" w:type="dxa"/>
            <w:vAlign w:val="bottom"/>
          </w:tcPr>
          <w:p>
            <w:pPr>
              <w:spacing w:after="0"/>
              <w:rPr>
                <w:sz w:val="1"/>
                <w:szCs w:val="1"/>
                <w:color w:val="auto"/>
              </w:rPr>
            </w:pPr>
          </w:p>
        </w:tc>
      </w:tr>
      <w:tr>
        <w:trPr>
          <w:trHeight w:val="250"/>
        </w:trPr>
        <w:tc>
          <w:tcPr>
            <w:tcW w:w="3160" w:type="dxa"/>
            <w:vAlign w:val="bottom"/>
            <w:tcBorders>
              <w:left w:val="single" w:sz="8" w:color="E5E5E5"/>
              <w:right w:val="single" w:sz="8" w:color="E5E5E5"/>
            </w:tcBorders>
            <w:shd w:val="clear" w:color="auto" w:fill="DBDBDB"/>
          </w:tcPr>
          <w:p>
            <w:pPr>
              <w:ind w:left="80"/>
              <w:spacing w:after="0"/>
              <w:rPr>
                <w:sz w:val="20"/>
                <w:szCs w:val="20"/>
                <w:color w:val="auto"/>
              </w:rPr>
            </w:pPr>
            <w:r>
              <w:rPr>
                <w:rFonts w:ascii="Arial" w:cs="Arial" w:eastAsia="Arial" w:hAnsi="Arial"/>
                <w:sz w:val="18"/>
                <w:szCs w:val="18"/>
                <w:color w:val="auto"/>
              </w:rPr>
              <w:t>David W. Hult</w:t>
            </w:r>
          </w:p>
        </w:tc>
        <w:tc>
          <w:tcPr>
            <w:tcW w:w="2300" w:type="dxa"/>
            <w:vAlign w:val="bottom"/>
            <w:tcBorders>
              <w:right w:val="single" w:sz="8" w:color="E5E5E5"/>
            </w:tcBorders>
            <w:shd w:val="clear" w:color="auto" w:fill="DBDBDB"/>
          </w:tcPr>
          <w:p>
            <w:pPr>
              <w:jc w:val="center"/>
              <w:spacing w:after="0"/>
              <w:rPr>
                <w:sz w:val="20"/>
                <w:szCs w:val="20"/>
                <w:color w:val="auto"/>
              </w:rPr>
            </w:pPr>
            <w:r>
              <w:rPr>
                <w:rFonts w:ascii="Arial" w:cs="Arial" w:eastAsia="Arial" w:hAnsi="Arial"/>
                <w:sz w:val="18"/>
                <w:szCs w:val="18"/>
                <w:color w:val="auto"/>
                <w:w w:val="98"/>
              </w:rPr>
              <w:t>16,598</w:t>
            </w:r>
          </w:p>
        </w:tc>
        <w:tc>
          <w:tcPr>
            <w:tcW w:w="5800" w:type="dxa"/>
            <w:vAlign w:val="bottom"/>
            <w:tcBorders>
              <w:right w:val="single" w:sz="8" w:color="E5E5E5"/>
            </w:tcBorders>
            <w:shd w:val="clear" w:color="auto" w:fill="DBDBDB"/>
          </w:tcPr>
          <w:p>
            <w:pPr>
              <w:jc w:val="center"/>
              <w:spacing w:after="0"/>
              <w:rPr>
                <w:sz w:val="20"/>
                <w:szCs w:val="20"/>
                <w:color w:val="auto"/>
              </w:rPr>
            </w:pPr>
            <w:r>
              <w:rPr>
                <w:rFonts w:ascii="Arial" w:cs="Arial" w:eastAsia="Arial" w:hAnsi="Arial"/>
                <w:sz w:val="18"/>
                <w:szCs w:val="18"/>
                <w:color w:val="auto"/>
              </w:rPr>
              <w:t>13,278</w:t>
            </w:r>
          </w:p>
        </w:tc>
        <w:tc>
          <w:tcPr>
            <w:tcW w:w="0" w:type="dxa"/>
            <w:vAlign w:val="bottom"/>
          </w:tcPr>
          <w:p>
            <w:pPr>
              <w:spacing w:after="0"/>
              <w:rPr>
                <w:sz w:val="1"/>
                <w:szCs w:val="1"/>
                <w:color w:val="auto"/>
              </w:rPr>
            </w:pPr>
          </w:p>
        </w:tc>
      </w:tr>
      <w:tr>
        <w:trPr>
          <w:trHeight w:val="229"/>
        </w:trPr>
        <w:tc>
          <w:tcPr>
            <w:tcW w:w="3160" w:type="dxa"/>
            <w:vAlign w:val="bottom"/>
            <w:tcBorders>
              <w:left w:val="single" w:sz="8" w:color="E5E5E5"/>
              <w:right w:val="single" w:sz="8" w:color="E5E5E5"/>
            </w:tcBorders>
          </w:tcPr>
          <w:p>
            <w:pPr>
              <w:ind w:left="80"/>
              <w:spacing w:after="0"/>
              <w:rPr>
                <w:sz w:val="20"/>
                <w:szCs w:val="20"/>
                <w:color w:val="auto"/>
              </w:rPr>
            </w:pPr>
            <w:r>
              <w:rPr>
                <w:rFonts w:ascii="Arial" w:cs="Arial" w:eastAsia="Arial" w:hAnsi="Arial"/>
                <w:sz w:val="18"/>
                <w:szCs w:val="18"/>
                <w:color w:val="auto"/>
              </w:rPr>
              <w:t>Michael Welch</w:t>
            </w:r>
          </w:p>
        </w:tc>
        <w:tc>
          <w:tcPr>
            <w:tcW w:w="2300" w:type="dxa"/>
            <w:vAlign w:val="bottom"/>
            <w:tcBorders>
              <w:right w:val="single" w:sz="8" w:color="E5E5E5"/>
            </w:tcBorders>
          </w:tcPr>
          <w:p>
            <w:pPr>
              <w:jc w:val="center"/>
              <w:spacing w:after="0"/>
              <w:rPr>
                <w:sz w:val="20"/>
                <w:szCs w:val="20"/>
                <w:color w:val="auto"/>
              </w:rPr>
            </w:pPr>
            <w:r>
              <w:rPr>
                <w:rFonts w:ascii="Arial" w:cs="Arial" w:eastAsia="Arial" w:hAnsi="Arial"/>
                <w:sz w:val="18"/>
                <w:szCs w:val="18"/>
                <w:color w:val="auto"/>
              </w:rPr>
              <w:t>2,767</w:t>
            </w:r>
          </w:p>
        </w:tc>
        <w:tc>
          <w:tcPr>
            <w:tcW w:w="5800" w:type="dxa"/>
            <w:vAlign w:val="bottom"/>
            <w:tcBorders>
              <w:right w:val="single" w:sz="8" w:color="E5E5E5"/>
            </w:tcBorders>
          </w:tcPr>
          <w:p>
            <w:pPr>
              <w:jc w:val="center"/>
              <w:spacing w:after="0"/>
              <w:rPr>
                <w:sz w:val="20"/>
                <w:szCs w:val="20"/>
                <w:color w:val="auto"/>
              </w:rPr>
            </w:pPr>
            <w:r>
              <w:rPr>
                <w:rFonts w:ascii="Arial" w:cs="Arial" w:eastAsia="Arial" w:hAnsi="Arial"/>
                <w:sz w:val="18"/>
                <w:szCs w:val="18"/>
                <w:color w:val="auto"/>
                <w:w w:val="97"/>
              </w:rPr>
              <w:t>2,214</w:t>
            </w:r>
          </w:p>
        </w:tc>
        <w:tc>
          <w:tcPr>
            <w:tcW w:w="0" w:type="dxa"/>
            <w:vAlign w:val="bottom"/>
          </w:tcPr>
          <w:p>
            <w:pPr>
              <w:spacing w:after="0"/>
              <w:rPr>
                <w:sz w:val="1"/>
                <w:szCs w:val="1"/>
                <w:color w:val="auto"/>
              </w:rPr>
            </w:pPr>
          </w:p>
        </w:tc>
      </w:tr>
      <w:tr>
        <w:trPr>
          <w:trHeight w:val="257"/>
        </w:trPr>
        <w:tc>
          <w:tcPr>
            <w:tcW w:w="3160" w:type="dxa"/>
            <w:vAlign w:val="bottom"/>
            <w:tcBorders>
              <w:left w:val="single" w:sz="8" w:color="E5E5E5"/>
              <w:right w:val="single" w:sz="8" w:color="E5E5E5"/>
            </w:tcBorders>
            <w:shd w:val="clear" w:color="auto" w:fill="DBDBDB"/>
          </w:tcPr>
          <w:p>
            <w:pPr>
              <w:ind w:left="80"/>
              <w:spacing w:after="0"/>
              <w:rPr>
                <w:sz w:val="20"/>
                <w:szCs w:val="20"/>
                <w:color w:val="auto"/>
              </w:rPr>
            </w:pPr>
            <w:r>
              <w:rPr>
                <w:rFonts w:ascii="Arial" w:cs="Arial" w:eastAsia="Arial" w:hAnsi="Arial"/>
                <w:sz w:val="18"/>
                <w:szCs w:val="18"/>
                <w:color w:val="auto"/>
              </w:rPr>
              <w:t>Daniel Clara</w:t>
            </w:r>
          </w:p>
        </w:tc>
        <w:tc>
          <w:tcPr>
            <w:tcW w:w="2300" w:type="dxa"/>
            <w:vAlign w:val="bottom"/>
            <w:tcBorders>
              <w:right w:val="single" w:sz="8" w:color="E5E5E5"/>
            </w:tcBorders>
            <w:shd w:val="clear" w:color="auto" w:fill="DBDBDB"/>
          </w:tcPr>
          <w:p>
            <w:pPr>
              <w:jc w:val="center"/>
              <w:spacing w:after="0"/>
              <w:rPr>
                <w:sz w:val="20"/>
                <w:szCs w:val="20"/>
                <w:color w:val="auto"/>
              </w:rPr>
            </w:pPr>
            <w:r>
              <w:rPr>
                <w:rFonts w:ascii="Arial" w:cs="Arial" w:eastAsia="Arial" w:hAnsi="Arial"/>
                <w:sz w:val="18"/>
                <w:szCs w:val="18"/>
                <w:color w:val="auto"/>
              </w:rPr>
              <w:t>2,767</w:t>
            </w:r>
          </w:p>
        </w:tc>
        <w:tc>
          <w:tcPr>
            <w:tcW w:w="5800" w:type="dxa"/>
            <w:vAlign w:val="bottom"/>
            <w:tcBorders>
              <w:right w:val="single" w:sz="8" w:color="E5E5E5"/>
            </w:tcBorders>
            <w:shd w:val="clear" w:color="auto" w:fill="DBDBDB"/>
          </w:tcPr>
          <w:p>
            <w:pPr>
              <w:jc w:val="center"/>
              <w:spacing w:after="0"/>
              <w:rPr>
                <w:sz w:val="20"/>
                <w:szCs w:val="20"/>
                <w:color w:val="auto"/>
              </w:rPr>
            </w:pPr>
            <w:r>
              <w:rPr>
                <w:rFonts w:ascii="Arial" w:cs="Arial" w:eastAsia="Arial" w:hAnsi="Arial"/>
                <w:sz w:val="18"/>
                <w:szCs w:val="18"/>
                <w:color w:val="auto"/>
                <w:w w:val="97"/>
              </w:rPr>
              <w:t>2,214</w:t>
            </w:r>
          </w:p>
        </w:tc>
        <w:tc>
          <w:tcPr>
            <w:tcW w:w="0" w:type="dxa"/>
            <w:vAlign w:val="bottom"/>
          </w:tcPr>
          <w:p>
            <w:pPr>
              <w:spacing w:after="0"/>
              <w:rPr>
                <w:sz w:val="1"/>
                <w:szCs w:val="1"/>
                <w:color w:val="auto"/>
              </w:rPr>
            </w:pPr>
          </w:p>
        </w:tc>
      </w:tr>
      <w:tr>
        <w:trPr>
          <w:trHeight w:val="229"/>
        </w:trPr>
        <w:tc>
          <w:tcPr>
            <w:tcW w:w="3160" w:type="dxa"/>
            <w:vAlign w:val="bottom"/>
            <w:tcBorders>
              <w:left w:val="single" w:sz="8" w:color="E5E5E5"/>
              <w:right w:val="single" w:sz="8" w:color="E5E5E5"/>
            </w:tcBorders>
          </w:tcPr>
          <w:p>
            <w:pPr>
              <w:ind w:left="80"/>
              <w:spacing w:after="0"/>
              <w:rPr>
                <w:sz w:val="20"/>
                <w:szCs w:val="20"/>
                <w:color w:val="auto"/>
              </w:rPr>
            </w:pPr>
            <w:r>
              <w:rPr>
                <w:rFonts w:ascii="Arial" w:cs="Arial" w:eastAsia="Arial" w:hAnsi="Arial"/>
                <w:sz w:val="18"/>
                <w:szCs w:val="18"/>
                <w:color w:val="auto"/>
              </w:rPr>
              <w:t>Jed Milstein</w:t>
            </w:r>
          </w:p>
        </w:tc>
        <w:tc>
          <w:tcPr>
            <w:tcW w:w="2300" w:type="dxa"/>
            <w:vAlign w:val="bottom"/>
            <w:tcBorders>
              <w:right w:val="single" w:sz="8" w:color="E5E5E5"/>
            </w:tcBorders>
          </w:tcPr>
          <w:p>
            <w:pPr>
              <w:jc w:val="center"/>
              <w:spacing w:after="0"/>
              <w:rPr>
                <w:sz w:val="20"/>
                <w:szCs w:val="20"/>
                <w:color w:val="auto"/>
              </w:rPr>
            </w:pPr>
            <w:r>
              <w:rPr>
                <w:rFonts w:ascii="Arial" w:cs="Arial" w:eastAsia="Arial" w:hAnsi="Arial"/>
                <w:sz w:val="18"/>
                <w:szCs w:val="18"/>
                <w:color w:val="auto"/>
              </w:rPr>
              <w:t>2,490</w:t>
            </w:r>
          </w:p>
        </w:tc>
        <w:tc>
          <w:tcPr>
            <w:tcW w:w="5800" w:type="dxa"/>
            <w:vAlign w:val="bottom"/>
            <w:tcBorders>
              <w:right w:val="single" w:sz="8" w:color="E5E5E5"/>
            </w:tcBorders>
          </w:tcPr>
          <w:p>
            <w:pPr>
              <w:jc w:val="center"/>
              <w:spacing w:after="0"/>
              <w:rPr>
                <w:sz w:val="20"/>
                <w:szCs w:val="20"/>
                <w:color w:val="auto"/>
              </w:rPr>
            </w:pPr>
            <w:r>
              <w:rPr>
                <w:rFonts w:ascii="Arial" w:cs="Arial" w:eastAsia="Arial" w:hAnsi="Arial"/>
                <w:sz w:val="18"/>
                <w:szCs w:val="18"/>
                <w:color w:val="auto"/>
                <w:w w:val="97"/>
              </w:rPr>
              <w:t>1,992</w:t>
            </w:r>
          </w:p>
        </w:tc>
        <w:tc>
          <w:tcPr>
            <w:tcW w:w="0" w:type="dxa"/>
            <w:vAlign w:val="bottom"/>
          </w:tcPr>
          <w:p>
            <w:pPr>
              <w:spacing w:after="0"/>
              <w:rPr>
                <w:sz w:val="1"/>
                <w:szCs w:val="1"/>
                <w:color w:val="auto"/>
              </w:rPr>
            </w:pPr>
          </w:p>
        </w:tc>
      </w:tr>
      <w:tr>
        <w:trPr>
          <w:trHeight w:val="257"/>
        </w:trPr>
        <w:tc>
          <w:tcPr>
            <w:tcW w:w="3160" w:type="dxa"/>
            <w:vAlign w:val="bottom"/>
            <w:tcBorders>
              <w:left w:val="single" w:sz="8" w:color="E5E5E5"/>
              <w:right w:val="single" w:sz="8" w:color="E5E5E5"/>
            </w:tcBorders>
            <w:shd w:val="clear" w:color="auto" w:fill="DBDBDB"/>
          </w:tcPr>
          <w:p>
            <w:pPr>
              <w:ind w:left="80"/>
              <w:spacing w:after="0"/>
              <w:rPr>
                <w:sz w:val="20"/>
                <w:szCs w:val="20"/>
                <w:color w:val="auto"/>
              </w:rPr>
            </w:pPr>
            <w:r>
              <w:rPr>
                <w:rFonts w:ascii="Arial" w:cs="Arial" w:eastAsia="Arial" w:hAnsi="Arial"/>
                <w:sz w:val="18"/>
                <w:szCs w:val="18"/>
                <w:color w:val="auto"/>
              </w:rPr>
              <w:t>Dean Calloway</w:t>
            </w:r>
          </w:p>
        </w:tc>
        <w:tc>
          <w:tcPr>
            <w:tcW w:w="2300" w:type="dxa"/>
            <w:vAlign w:val="bottom"/>
            <w:tcBorders>
              <w:right w:val="single" w:sz="8" w:color="E5E5E5"/>
            </w:tcBorders>
            <w:shd w:val="clear" w:color="auto" w:fill="DBDBDB"/>
          </w:tcPr>
          <w:p>
            <w:pPr>
              <w:jc w:val="center"/>
              <w:spacing w:after="0"/>
              <w:rPr>
                <w:sz w:val="20"/>
                <w:szCs w:val="20"/>
                <w:color w:val="auto"/>
              </w:rPr>
            </w:pPr>
            <w:r>
              <w:rPr>
                <w:rFonts w:ascii="Arial" w:cs="Arial" w:eastAsia="Arial" w:hAnsi="Arial"/>
                <w:sz w:val="18"/>
                <w:szCs w:val="18"/>
                <w:color w:val="auto"/>
                <w:w w:val="99"/>
              </w:rPr>
              <w:t>691</w:t>
            </w:r>
          </w:p>
        </w:tc>
        <w:tc>
          <w:tcPr>
            <w:tcW w:w="5800" w:type="dxa"/>
            <w:vAlign w:val="bottom"/>
            <w:tcBorders>
              <w:right w:val="single" w:sz="8" w:color="E5E5E5"/>
            </w:tcBorders>
            <w:shd w:val="clear" w:color="auto" w:fill="DBDBDB"/>
          </w:tcPr>
          <w:p>
            <w:pPr>
              <w:jc w:val="center"/>
              <w:spacing w:after="0"/>
              <w:rPr>
                <w:sz w:val="20"/>
                <w:szCs w:val="20"/>
                <w:color w:val="auto"/>
              </w:rPr>
            </w:pPr>
            <w:r>
              <w:rPr>
                <w:rFonts w:ascii="Arial" w:cs="Arial" w:eastAsia="Arial" w:hAnsi="Arial"/>
                <w:sz w:val="18"/>
                <w:szCs w:val="18"/>
                <w:color w:val="auto"/>
                <w:w w:val="99"/>
              </w:rPr>
              <w:t>553</w:t>
            </w:r>
          </w:p>
        </w:tc>
        <w:tc>
          <w:tcPr>
            <w:tcW w:w="0" w:type="dxa"/>
            <w:vAlign w:val="bottom"/>
          </w:tcPr>
          <w:p>
            <w:pPr>
              <w:spacing w:after="0"/>
              <w:rPr>
                <w:sz w:val="1"/>
                <w:szCs w:val="1"/>
                <w:color w:val="auto"/>
              </w:rPr>
            </w:pPr>
          </w:p>
        </w:tc>
      </w:tr>
      <w:tr>
        <w:trPr>
          <w:trHeight w:val="229"/>
        </w:trPr>
        <w:tc>
          <w:tcPr>
            <w:tcW w:w="3160" w:type="dxa"/>
            <w:vAlign w:val="bottom"/>
            <w:tcBorders>
              <w:left w:val="single" w:sz="8" w:color="E5E5E5"/>
              <w:right w:val="single" w:sz="8" w:color="E5E5E5"/>
            </w:tcBorders>
          </w:tcPr>
          <w:p>
            <w:pPr>
              <w:ind w:left="80"/>
              <w:spacing w:after="0"/>
              <w:rPr>
                <w:sz w:val="20"/>
                <w:szCs w:val="20"/>
                <w:color w:val="auto"/>
              </w:rPr>
            </w:pPr>
            <w:r>
              <w:rPr>
                <w:rFonts w:ascii="Arial" w:cs="Arial" w:eastAsia="Arial" w:hAnsi="Arial"/>
                <w:sz w:val="18"/>
                <w:szCs w:val="18"/>
                <w:color w:val="auto"/>
              </w:rPr>
              <w:t>George A. Villasana</w:t>
            </w:r>
          </w:p>
        </w:tc>
        <w:tc>
          <w:tcPr>
            <w:tcW w:w="2300" w:type="dxa"/>
            <w:vAlign w:val="bottom"/>
            <w:tcBorders>
              <w:right w:val="single" w:sz="8" w:color="E5E5E5"/>
            </w:tcBorders>
          </w:tcPr>
          <w:p>
            <w:pPr>
              <w:jc w:val="center"/>
              <w:spacing w:after="0"/>
              <w:rPr>
                <w:sz w:val="20"/>
                <w:szCs w:val="20"/>
                <w:color w:val="auto"/>
              </w:rPr>
            </w:pPr>
            <w:r>
              <w:rPr>
                <w:rFonts w:ascii="Arial" w:cs="Arial" w:eastAsia="Arial" w:hAnsi="Arial"/>
                <w:sz w:val="18"/>
                <w:szCs w:val="18"/>
                <w:color w:val="auto"/>
              </w:rPr>
              <w:t>2,628</w:t>
            </w:r>
          </w:p>
        </w:tc>
        <w:tc>
          <w:tcPr>
            <w:tcW w:w="5800" w:type="dxa"/>
            <w:vAlign w:val="bottom"/>
            <w:tcBorders>
              <w:right w:val="single" w:sz="8" w:color="E5E5E5"/>
            </w:tcBorders>
          </w:tcPr>
          <w:p>
            <w:pPr>
              <w:jc w:val="center"/>
              <w:spacing w:after="0"/>
              <w:rPr>
                <w:sz w:val="20"/>
                <w:szCs w:val="20"/>
                <w:color w:val="auto"/>
              </w:rPr>
            </w:pPr>
            <w:r>
              <w:rPr>
                <w:rFonts w:ascii="Arial" w:cs="Arial" w:eastAsia="Arial" w:hAnsi="Arial"/>
                <w:sz w:val="18"/>
                <w:szCs w:val="18"/>
                <w:color w:val="auto"/>
                <w:w w:val="97"/>
              </w:rPr>
              <w:t>2,103</w:t>
            </w:r>
          </w:p>
        </w:tc>
        <w:tc>
          <w:tcPr>
            <w:tcW w:w="0" w:type="dxa"/>
            <w:vAlign w:val="bottom"/>
          </w:tcPr>
          <w:p>
            <w:pPr>
              <w:spacing w:after="0"/>
              <w:rPr>
                <w:sz w:val="1"/>
                <w:szCs w:val="1"/>
                <w:color w:val="auto"/>
              </w:rPr>
            </w:pPr>
          </w:p>
        </w:tc>
      </w:tr>
      <w:tr>
        <w:trPr>
          <w:trHeight w:val="257"/>
        </w:trPr>
        <w:tc>
          <w:tcPr>
            <w:tcW w:w="3160" w:type="dxa"/>
            <w:vAlign w:val="bottom"/>
            <w:tcBorders>
              <w:left w:val="single" w:sz="8" w:color="E5E5E5"/>
              <w:right w:val="single" w:sz="8" w:color="E5E5E5"/>
            </w:tcBorders>
            <w:shd w:val="clear" w:color="auto" w:fill="DBDBDB"/>
          </w:tcPr>
          <w:p>
            <w:pPr>
              <w:ind w:left="80"/>
              <w:spacing w:after="0" w:line="243" w:lineRule="exact"/>
              <w:rPr>
                <w:sz w:val="20"/>
                <w:szCs w:val="20"/>
                <w:color w:val="auto"/>
              </w:rPr>
            </w:pPr>
            <w:r>
              <w:rPr>
                <w:rFonts w:ascii="Arial" w:cs="Arial" w:eastAsia="Arial" w:hAnsi="Arial"/>
                <w:sz w:val="18"/>
                <w:szCs w:val="18"/>
                <w:color w:val="auto"/>
              </w:rPr>
              <w:t>Miran Maric</w:t>
            </w:r>
            <w:r>
              <w:rPr>
                <w:rFonts w:ascii="Arial" w:cs="Arial" w:eastAsia="Arial" w:hAnsi="Arial"/>
                <w:sz w:val="23"/>
                <w:szCs w:val="23"/>
                <w:color w:val="auto"/>
                <w:vertAlign w:val="superscript"/>
              </w:rPr>
              <w:t>(2)</w:t>
            </w:r>
          </w:p>
        </w:tc>
        <w:tc>
          <w:tcPr>
            <w:tcW w:w="2300" w:type="dxa"/>
            <w:vAlign w:val="bottom"/>
            <w:tcBorders>
              <w:right w:val="single" w:sz="8" w:color="E5E5E5"/>
            </w:tcBorders>
            <w:shd w:val="clear" w:color="auto" w:fill="DBDBDB"/>
          </w:tcPr>
          <w:p>
            <w:pPr>
              <w:jc w:val="center"/>
              <w:spacing w:after="0"/>
              <w:rPr>
                <w:sz w:val="20"/>
                <w:szCs w:val="20"/>
                <w:color w:val="auto"/>
              </w:rPr>
            </w:pPr>
            <w:r>
              <w:rPr>
                <w:rFonts w:ascii="Arial" w:cs="Arial" w:eastAsia="Arial" w:hAnsi="Arial"/>
                <w:sz w:val="18"/>
                <w:szCs w:val="18"/>
                <w:color w:val="auto"/>
              </w:rPr>
              <w:t>2,213</w:t>
            </w:r>
          </w:p>
        </w:tc>
        <w:tc>
          <w:tcPr>
            <w:tcW w:w="5800" w:type="dxa"/>
            <w:vAlign w:val="bottom"/>
            <w:tcBorders>
              <w:right w:val="single" w:sz="8" w:color="E5E5E5"/>
            </w:tcBorders>
            <w:shd w:val="clear" w:color="auto" w:fill="DBDBDB"/>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260" w:hanging="252"/>
        <w:spacing w:after="0"/>
        <w:tabs>
          <w:tab w:leader="none" w:pos="2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Share amounts adjusted for rounding.</w:t>
      </w:r>
    </w:p>
    <w:p>
      <w:pPr>
        <w:spacing w:after="0" w:line="59" w:lineRule="exact"/>
        <w:rPr>
          <w:rFonts w:ascii="Arial" w:cs="Arial" w:eastAsia="Arial" w:hAnsi="Arial"/>
          <w:sz w:val="16"/>
          <w:szCs w:val="16"/>
          <w:color w:val="auto"/>
        </w:rPr>
      </w:pPr>
    </w:p>
    <w:p>
      <w:pPr>
        <w:ind w:left="260" w:hanging="252"/>
        <w:spacing w:after="0"/>
        <w:tabs>
          <w:tab w:leader="none" w:pos="2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Upon Mr. Maric's voluntary termination, he forfeited all unvested PSUs.</w:t>
      </w:r>
    </w:p>
    <w:p>
      <w:pPr>
        <w:spacing w:after="0" w:line="108"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In accordance with the terms of the 2024 annual performance share unit award program, one-third of the award earned by each named executive officer was eligible to vest on the later of the first anniversary of the grant date and the date the payout of a number of shares of our common stock is established by the Committee, with the remainder of the award vesting in equal amounts on the second and third anniversaries of the grant date, subject generally in each case to the executive’s continued employment.</w:t>
      </w:r>
    </w:p>
    <w:p>
      <w:pPr>
        <w:spacing w:after="0" w:line="4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Other Benefits</w:t>
      </w:r>
    </w:p>
    <w:p>
      <w:pPr>
        <w:spacing w:after="0" w:line="92"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In 2024, our executive officers were eligible to participate in the employee benefit plans generally available to all of our employees in the corporate office, including medical, dental, life and disability insurance plans, as well as to participate in our 401(k) plan.</w:t>
      </w:r>
    </w:p>
    <w:p>
      <w:pPr>
        <w:spacing w:after="0" w:line="4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the automobile retailing industry, senior executives are typically provided with the use of one or more demonstrator vehicles from a retailer’s inventory of new vehicles in order to, among other things, show support for the retailer’s offered brands. Executives are typically entitled to these vehicles for business and personal use. Management has limited the number of demonstrator vehicles provided to our employees due to the risks associated with the use of such vehicles. To provide a similar benefit, we provide a cash car allowance of $800 per month to certain of our corporate officers, including our NEOs, except Mr. Welch. Mr. Welch received the use of one demonstrator vehicle in lieu of a cash car allowance for a portion of the year, and a cash car allowance for the remainder. Additionally, in 2024, Mr. Hult was entitled to use one demonstrator vehicle pursuant to the terms of his employment agreement.</w:t>
      </w:r>
    </w:p>
    <w:p>
      <w:pPr>
        <w:spacing w:after="0" w:line="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Recoupment Policy</w:t>
      </w:r>
    </w:p>
    <w:p>
      <w:pPr>
        <w:spacing w:after="0" w:line="9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In light of new rules promulgated by the NYSE and the SEC, we amended our compensation recoupment policy in 2023 to comply with the required standards (the “NYSE Clawback Policy”). The NYSE Clawback Policy provides for the prompt recovery (or clawback) of certain excess incentive-based compensation received during an applicable three-year recovery period by current or former executive officers in the event we are required to prepare an accounting restatement due to material noncompliance with any financial reporting requirement under the securities laws. Excess incentive-based compensation for these purposes generally means the amount of incentive-based compensation received (on or after October 2, 2023) by such executive officer that exceeds the amount of incentive-based compensation that would have been received by such executive officer had it been determined based on the restated amounts, without regard to any taxes paid. Incentive-based compensation potentially subject to recovery under the NYSE Clawback Policy is in general limited to any compensation granted, earned or vested based wholly or in part on the attainment of a financial reporting measure. In addition, our recoupment policy permits us to recoup actual compensation paid to any employee to cover any amounts that may have been embezzled, stolen or otherwise misappropriated by such employees, as well as recoup compensation on a after-tax basis upon certain other events including when an employee has received more compensation (whether cash or equity related) due to accounting, clerical, administrative, mathematical or other error.</w:t>
      </w:r>
    </w:p>
    <w:p>
      <w:pPr>
        <w:spacing w:after="0" w:line="79"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 xml:space="preserve">In general, we may utilize a broad range of recoupment methods under the NYSE Clawback Policy. The NYSE Clawback Policy does not condition clawback on the fault of the executive officer, and clawback thereunder is generally mandatory, except in limited circumstances where the Board has made a determination that recovery would be impracticable and (1) we have already attempted to recover such amounts but the direct expenses paid to a third party in an effort to enforce the NYSE Clawback Policy would exceed the amount to be recovered, (2) the recovery of amounts would violate applicable home country law, or (3) the recovery would cause the non-compliance of a tax-qualified retirement plan under the Internal Revenue Code and applicable regulations. The foregoing summary of our NYSE Clawback Policy is qualified in its entirety by reference to the complete text of our NYSE Clawback Policy contained in our Corporate Governance Guidelines, which can be found on our website at </w:t>
      </w:r>
      <w:r>
        <w:rPr>
          <w:rFonts w:ascii="Arial" w:cs="Arial" w:eastAsia="Arial" w:hAnsi="Arial"/>
          <w:sz w:val="18"/>
          <w:szCs w:val="18"/>
          <w:i w:val="1"/>
          <w:iCs w:val="1"/>
          <w:u w:val="single" w:color="auto"/>
          <w:color w:val="auto"/>
        </w:rPr>
        <w:t>https://investors.asburyauto.com/corporate-governance</w:t>
      </w:r>
      <w:r>
        <w:rPr>
          <w:rFonts w:ascii="Arial" w:cs="Arial" w:eastAsia="Arial" w:hAnsi="Arial"/>
          <w:sz w:val="18"/>
          <w:szCs w:val="18"/>
          <w:color w:val="auto"/>
        </w:rPr>
        <w:t>.</w:t>
      </w: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Employment, Severance and Change in Control Arrangements</w:t>
      </w:r>
    </w:p>
    <w:p>
      <w:pPr>
        <w:spacing w:after="0" w:line="8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General Provisions of Employment and Severance Agreements</w:t>
      </w:r>
    </w:p>
    <w:p>
      <w:pPr>
        <w:spacing w:after="0" w:line="92"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have entered into an employment agreement with Mr. Hult. In addition, we are party to certain agreements relating to severance pay with each of Messrs. Welch, Clara, Milstein and Calloway. These agreements provide for the allocation of certain benefits in the event of involuntary termination of the employment of the named executive officer without cause or by the named executive officer where good reason exists.</w:t>
      </w:r>
    </w:p>
    <w:p>
      <w:pPr>
        <w:spacing w:after="0" w:line="68"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believe that our severance arrangements serve as appropriate retention and motivational tools for our continuing named executive officers by generally providing a measure of financial security in the event of an unplanned termination of employment, with the exception of a termination for cause. Furthermore, from time to time, we examine various strategic alternatives, and the provisions of these agreements are important to retain these key people whose continued employment might be at risk in certain changes of control, although such transactions may otherwise be in the best interests of our stockholders. As a corporate policy, we believe that it may be difficult to attract and retain talented executives with provisions in our severance arrangements that deny severance benefits in the event of a termination for other than performance-related issues.</w:t>
      </w:r>
    </w:p>
    <w:p>
      <w:pPr>
        <w:spacing w:after="0" w:line="75"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A description of the terms of our named executive officers' employment, severance and separation agreements, including the potential payouts to these individuals pursuant to applicable severance provisions thereof, are summarized in the “Potential Payments Upon Termination or Change in Control” section of this proxy statement.</w:t>
      </w:r>
    </w:p>
    <w:p>
      <w:pPr>
        <w:spacing w:after="0" w:line="3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Tax Treatment of Certain Compensation</w:t>
      </w:r>
    </w:p>
    <w:p>
      <w:pPr>
        <w:spacing w:after="0" w:line="9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making decisions about executive compensation, we continue to consider the impact of regulatory provisions, including the provisions of Section 409A regarding non-qualified deferred compensation and the “golden parachute” provisions of Section 280G of the Code. We also consider how various elements of compensation will impact our financial results. In this regard, we consider the impact of applicable stock compensation accounting rules, which determine how we recognize the cost of employee services received in exchange for awards of equity instruments.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COMPENSATION &amp; HUMAN RESOURCES COMMITTEE REPORT</w:t>
      </w:r>
    </w:p>
    <w:p>
      <w:pPr>
        <w:spacing w:after="0" w:line="10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Compensation &amp; Human Resources Committee has reviewed and discussed with management the "Compensation Discussion &amp; Analysis" section of the proxy statement required by Item 402(b) of Regulation S-K of the Exchange Act and, based on such review and discussions, the Compensation &amp; Human Resources Committee recommended to the Board that the "Compensation Discussion &amp; Analysis" section be included in this proxy statement and incorporated by reference in the Company’s Annual Report on Form 10-K for the fiscal year ended December 31, 2024.</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Members of the Compensation &amp; Human Resources Committee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Bridget Ryan-Berman (Chair)</w:t>
      </w:r>
    </w:p>
    <w:p>
      <w:pPr>
        <w:spacing w:after="0" w:line="203" w:lineRule="auto"/>
        <w:rPr>
          <w:sz w:val="20"/>
          <w:szCs w:val="20"/>
          <w:color w:val="auto"/>
        </w:rPr>
      </w:pPr>
      <w:r>
        <w:rPr>
          <w:rFonts w:ascii="Arial" w:cs="Arial" w:eastAsia="Arial" w:hAnsi="Arial"/>
          <w:sz w:val="18"/>
          <w:szCs w:val="18"/>
          <w:color w:val="auto"/>
        </w:rPr>
        <w:t>Joel Alsfine</w:t>
      </w:r>
    </w:p>
    <w:p>
      <w:pPr>
        <w:spacing w:after="0" w:line="219" w:lineRule="auto"/>
        <w:rPr>
          <w:sz w:val="20"/>
          <w:szCs w:val="20"/>
          <w:color w:val="auto"/>
        </w:rPr>
      </w:pPr>
      <w:r>
        <w:rPr>
          <w:rFonts w:ascii="Arial" w:cs="Arial" w:eastAsia="Arial" w:hAnsi="Arial"/>
          <w:sz w:val="18"/>
          <w:szCs w:val="18"/>
          <w:color w:val="auto"/>
        </w:rPr>
        <w:t>Maureen F. Morrison</w:t>
      </w:r>
    </w:p>
    <w:p>
      <w:pPr>
        <w:spacing w:after="0" w:line="204" w:lineRule="auto"/>
        <w:rPr>
          <w:sz w:val="20"/>
          <w:szCs w:val="20"/>
          <w:color w:val="auto"/>
        </w:rPr>
      </w:pPr>
      <w:r>
        <w:rPr>
          <w:rFonts w:ascii="Arial" w:cs="Arial" w:eastAsia="Arial" w:hAnsi="Arial"/>
          <w:sz w:val="18"/>
          <w:szCs w:val="18"/>
          <w:color w:val="auto"/>
        </w:rPr>
        <w:t>Shamla Naidoo</w:t>
      </w:r>
    </w:p>
    <w:p>
      <w:pPr>
        <w:spacing w:after="0"/>
        <w:rPr>
          <w:sz w:val="20"/>
          <w:szCs w:val="20"/>
          <w:color w:val="auto"/>
        </w:rPr>
      </w:pPr>
      <w:r>
        <w:rPr>
          <w:rFonts w:ascii="Arial" w:cs="Arial" w:eastAsia="Arial" w:hAnsi="Arial"/>
          <w:sz w:val="18"/>
          <w:szCs w:val="18"/>
          <w:color w:val="auto"/>
        </w:rPr>
        <w:t>Thomas Reddin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640"/>
        <w:spacing w:after="0" w:line="255" w:lineRule="auto"/>
        <w:rPr>
          <w:sz w:val="20"/>
          <w:szCs w:val="20"/>
          <w:color w:val="auto"/>
        </w:rPr>
      </w:pPr>
      <w:r>
        <w:rPr>
          <w:rFonts w:ascii="Arial" w:cs="Arial" w:eastAsia="Arial" w:hAnsi="Arial"/>
          <w:sz w:val="36"/>
          <w:szCs w:val="36"/>
          <w:b w:val="1"/>
          <w:bCs w:val="1"/>
          <w:color w:val="auto"/>
        </w:rPr>
        <w:t>COMPENSATION COMMITTEE INTERLOCKS &amp; INSIDER PARTICIPATION</w:t>
      </w:r>
    </w:p>
    <w:p>
      <w:pPr>
        <w:spacing w:after="0" w:line="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During 2024, Ms. Ryan-Berman (Chair), Mr. Alsfine, Ms. James, Ms. Morrison, Mr. Reddin and Mr. Terry, none of whom is or was formerly an officer or employee of the Company, served as members of the Compensation &amp; Human Resources Committee of our Board. None of the Compensation &amp; Human Resources Committee members or other members of the Board serves as an executive officer of any entity for which one of the Company’s executive officers serves as a director or member of such other entity’s compensation committee.</w:t>
      </w:r>
    </w:p>
    <w:p>
      <w:pPr>
        <w:spacing w:after="0" w:line="3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EXECUTIVE COMPENSATION</w:t>
      </w:r>
    </w:p>
    <w:p>
      <w:pPr>
        <w:spacing w:after="0" w:line="104"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following table (the "Summary Compensation Table" or "SCT"), footnotes and related narrative show the compensation earned by the named executive officers for each of the last three or fewer fiscal years during which such individuals were designated as named executive officers. Our NEOs during fiscal year 2024 include our CEO, our CFO, the three most highly compensated executive officers (other than the CEO and CFO) who were serving as executive officers at the end of 2024, and two former executive officers who were not serving as an executive officer at the end of 2024. For a more detailed discussion about the compensation arrangements for these named executive officers, see “Compensation Discussion &amp; Analysis.”</w:t>
      </w:r>
    </w:p>
    <w:p>
      <w:pPr>
        <w:spacing w:after="0" w:line="4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2024 Summary Compensation Table</w:t>
      </w:r>
    </w:p>
    <w:p>
      <w:pPr>
        <w:spacing w:after="0" w:line="26"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3120" w:type="dxa"/>
            <w:vAlign w:val="bottom"/>
            <w:tcBorders>
              <w:left w:val="single" w:sz="8" w:color="E5E5E5"/>
              <w:right w:val="single" w:sz="8" w:color="E5E5E5"/>
            </w:tcBorders>
            <w:shd w:val="clear" w:color="auto" w:fill="D91E18"/>
          </w:tcPr>
          <w:p>
            <w:pPr>
              <w:spacing w:after="0"/>
              <w:rPr>
                <w:sz w:val="16"/>
                <w:szCs w:val="16"/>
                <w:color w:val="auto"/>
              </w:rPr>
            </w:pPr>
          </w:p>
        </w:tc>
        <w:tc>
          <w:tcPr>
            <w:tcW w:w="640" w:type="dxa"/>
            <w:vAlign w:val="bottom"/>
            <w:tcBorders>
              <w:right w:val="single" w:sz="8" w:color="E5E5E5"/>
            </w:tcBorders>
            <w:shd w:val="clear" w:color="auto" w:fill="D91E18"/>
          </w:tcPr>
          <w:p>
            <w:pPr>
              <w:spacing w:after="0"/>
              <w:rPr>
                <w:sz w:val="16"/>
                <w:szCs w:val="16"/>
                <w:color w:val="auto"/>
              </w:rPr>
            </w:pPr>
          </w:p>
        </w:tc>
        <w:tc>
          <w:tcPr>
            <w:tcW w:w="100" w:type="dxa"/>
            <w:vAlign w:val="bottom"/>
            <w:shd w:val="clear" w:color="auto" w:fill="D91E18"/>
          </w:tcPr>
          <w:p>
            <w:pPr>
              <w:spacing w:after="0"/>
              <w:rPr>
                <w:sz w:val="16"/>
                <w:szCs w:val="16"/>
                <w:color w:val="auto"/>
              </w:rPr>
            </w:pPr>
          </w:p>
        </w:tc>
        <w:tc>
          <w:tcPr>
            <w:tcW w:w="1020" w:type="dxa"/>
            <w:vAlign w:val="bottom"/>
            <w:tcBorders>
              <w:right w:val="single" w:sz="8" w:color="E5E5E5"/>
            </w:tcBorders>
            <w:shd w:val="clear" w:color="auto" w:fill="D91E18"/>
          </w:tcPr>
          <w:p>
            <w:pPr>
              <w:spacing w:after="0"/>
              <w:rPr>
                <w:sz w:val="16"/>
                <w:szCs w:val="16"/>
                <w:color w:val="auto"/>
              </w:rPr>
            </w:pPr>
          </w:p>
        </w:tc>
        <w:tc>
          <w:tcPr>
            <w:tcW w:w="140" w:type="dxa"/>
            <w:vAlign w:val="bottom"/>
            <w:shd w:val="clear" w:color="auto" w:fill="D91E18"/>
          </w:tcPr>
          <w:p>
            <w:pPr>
              <w:spacing w:after="0"/>
              <w:rPr>
                <w:sz w:val="16"/>
                <w:szCs w:val="16"/>
                <w:color w:val="auto"/>
              </w:rPr>
            </w:pPr>
          </w:p>
        </w:tc>
        <w:tc>
          <w:tcPr>
            <w:tcW w:w="760" w:type="dxa"/>
            <w:vAlign w:val="bottom"/>
            <w:tcBorders>
              <w:right w:val="single" w:sz="8" w:color="E5E5E5"/>
            </w:tcBorders>
            <w:shd w:val="clear" w:color="auto" w:fill="D91E18"/>
          </w:tcPr>
          <w:p>
            <w:pPr>
              <w:spacing w:after="0"/>
              <w:rPr>
                <w:sz w:val="16"/>
                <w:szCs w:val="16"/>
                <w:color w:val="auto"/>
              </w:rPr>
            </w:pPr>
          </w:p>
        </w:tc>
        <w:tc>
          <w:tcPr>
            <w:tcW w:w="160" w:type="dxa"/>
            <w:vAlign w:val="bottom"/>
            <w:shd w:val="clear" w:color="auto" w:fill="D91E18"/>
          </w:tcPr>
          <w:p>
            <w:pPr>
              <w:spacing w:after="0"/>
              <w:rPr>
                <w:sz w:val="16"/>
                <w:szCs w:val="16"/>
                <w:color w:val="auto"/>
              </w:rPr>
            </w:pPr>
          </w:p>
        </w:tc>
        <w:tc>
          <w:tcPr>
            <w:tcW w:w="1000" w:type="dxa"/>
            <w:vAlign w:val="bottom"/>
            <w:tcBorders>
              <w:right w:val="single" w:sz="8" w:color="E5E5E5"/>
            </w:tcBorders>
            <w:shd w:val="clear" w:color="auto" w:fill="D91E18"/>
          </w:tcPr>
          <w:p>
            <w:pPr>
              <w:spacing w:after="0"/>
              <w:rPr>
                <w:sz w:val="16"/>
                <w:szCs w:val="16"/>
                <w:color w:val="auto"/>
              </w:rPr>
            </w:pPr>
          </w:p>
        </w:tc>
        <w:tc>
          <w:tcPr>
            <w:tcW w:w="160" w:type="dxa"/>
            <w:vAlign w:val="bottom"/>
            <w:shd w:val="clear" w:color="auto" w:fill="D91E18"/>
          </w:tcPr>
          <w:p>
            <w:pPr>
              <w:spacing w:after="0"/>
              <w:rPr>
                <w:sz w:val="16"/>
                <w:szCs w:val="16"/>
                <w:color w:val="auto"/>
              </w:rPr>
            </w:pPr>
          </w:p>
        </w:tc>
        <w:tc>
          <w:tcPr>
            <w:tcW w:w="1520" w:type="dxa"/>
            <w:vAlign w:val="bottom"/>
            <w:tcBorders>
              <w:right w:val="single" w:sz="8" w:color="E5E5E5"/>
            </w:tcBorders>
            <w:shd w:val="clear" w:color="auto" w:fill="D91E18"/>
          </w:tcPr>
          <w:p>
            <w:pPr>
              <w:jc w:val="center"/>
              <w:ind w:right="99"/>
              <w:spacing w:after="0"/>
              <w:rPr>
                <w:sz w:val="20"/>
                <w:szCs w:val="20"/>
                <w:color w:val="auto"/>
              </w:rPr>
            </w:pPr>
            <w:r>
              <w:rPr>
                <w:rFonts w:ascii="Arial" w:cs="Arial" w:eastAsia="Arial" w:hAnsi="Arial"/>
                <w:sz w:val="16"/>
                <w:szCs w:val="16"/>
                <w:b w:val="1"/>
                <w:bCs w:val="1"/>
                <w:color w:val="FFFFFF"/>
              </w:rPr>
              <w:t>Non-Equity</w:t>
            </w:r>
          </w:p>
        </w:tc>
        <w:tc>
          <w:tcPr>
            <w:tcW w:w="140" w:type="dxa"/>
            <w:vAlign w:val="bottom"/>
            <w:shd w:val="clear" w:color="auto" w:fill="D91E18"/>
          </w:tcPr>
          <w:p>
            <w:pPr>
              <w:spacing w:after="0"/>
              <w:rPr>
                <w:sz w:val="16"/>
                <w:szCs w:val="16"/>
                <w:color w:val="auto"/>
              </w:rPr>
            </w:pPr>
          </w:p>
        </w:tc>
        <w:tc>
          <w:tcPr>
            <w:tcW w:w="1360" w:type="dxa"/>
            <w:vAlign w:val="bottom"/>
            <w:tcBorders>
              <w:right w:val="single" w:sz="8" w:color="E5E5E5"/>
            </w:tcBorders>
            <w:shd w:val="clear" w:color="auto" w:fill="D91E18"/>
          </w:tcPr>
          <w:p>
            <w:pPr>
              <w:spacing w:after="0"/>
              <w:rPr>
                <w:sz w:val="16"/>
                <w:szCs w:val="16"/>
                <w:color w:val="auto"/>
              </w:rPr>
            </w:pPr>
          </w:p>
        </w:tc>
        <w:tc>
          <w:tcPr>
            <w:tcW w:w="220" w:type="dxa"/>
            <w:vAlign w:val="bottom"/>
            <w:shd w:val="clear" w:color="auto" w:fill="D91E18"/>
          </w:tcPr>
          <w:p>
            <w:pPr>
              <w:spacing w:after="0"/>
              <w:rPr>
                <w:sz w:val="16"/>
                <w:szCs w:val="16"/>
                <w:color w:val="auto"/>
              </w:rPr>
            </w:pPr>
          </w:p>
        </w:tc>
        <w:tc>
          <w:tcPr>
            <w:tcW w:w="920" w:type="dxa"/>
            <w:vAlign w:val="bottom"/>
            <w:tcBorders>
              <w:right w:val="single" w:sz="8" w:color="E5E5E5"/>
            </w:tcBorders>
            <w:shd w:val="clear" w:color="auto" w:fill="D91E18"/>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120" w:type="dxa"/>
            <w:vAlign w:val="bottom"/>
            <w:tcBorders>
              <w:left w:val="single" w:sz="8" w:color="E5E5E5"/>
              <w:right w:val="single" w:sz="8" w:color="E5E5E5"/>
            </w:tcBorders>
            <w:vMerge w:val="restart"/>
            <w:shd w:val="clear" w:color="auto" w:fill="D91E18"/>
          </w:tcPr>
          <w:p>
            <w:pPr>
              <w:ind w:left="80"/>
              <w:spacing w:after="0"/>
              <w:rPr>
                <w:sz w:val="20"/>
                <w:szCs w:val="20"/>
                <w:color w:val="auto"/>
              </w:rPr>
            </w:pPr>
            <w:r>
              <w:rPr>
                <w:rFonts w:ascii="Arial" w:cs="Arial" w:eastAsia="Arial" w:hAnsi="Arial"/>
                <w:sz w:val="16"/>
                <w:szCs w:val="16"/>
                <w:b w:val="1"/>
                <w:bCs w:val="1"/>
                <w:color w:val="FFFFFF"/>
              </w:rPr>
              <w:t>Name and Principal Position</w:t>
            </w:r>
          </w:p>
        </w:tc>
        <w:tc>
          <w:tcPr>
            <w:tcW w:w="640" w:type="dxa"/>
            <w:vAlign w:val="bottom"/>
            <w:tcBorders>
              <w:right w:val="single" w:sz="8" w:color="E5E5E5"/>
            </w:tcBorders>
            <w:vMerge w:val="restart"/>
            <w:shd w:val="clear" w:color="auto" w:fill="D91E18"/>
          </w:tcPr>
          <w:p>
            <w:pPr>
              <w:ind w:left="140"/>
              <w:spacing w:after="0"/>
              <w:rPr>
                <w:sz w:val="20"/>
                <w:szCs w:val="20"/>
                <w:color w:val="auto"/>
              </w:rPr>
            </w:pPr>
            <w:r>
              <w:rPr>
                <w:rFonts w:ascii="Arial" w:cs="Arial" w:eastAsia="Arial" w:hAnsi="Arial"/>
                <w:sz w:val="16"/>
                <w:szCs w:val="16"/>
                <w:b w:val="1"/>
                <w:bCs w:val="1"/>
                <w:color w:val="FFFFFF"/>
              </w:rPr>
              <w:t>Year</w:t>
            </w:r>
          </w:p>
        </w:tc>
        <w:tc>
          <w:tcPr>
            <w:tcW w:w="100" w:type="dxa"/>
            <w:vAlign w:val="bottom"/>
            <w:shd w:val="clear" w:color="auto" w:fill="D91E18"/>
          </w:tcPr>
          <w:p>
            <w:pPr>
              <w:spacing w:after="0"/>
              <w:rPr>
                <w:sz w:val="17"/>
                <w:szCs w:val="17"/>
                <w:color w:val="auto"/>
              </w:rPr>
            </w:pPr>
          </w:p>
        </w:tc>
        <w:tc>
          <w:tcPr>
            <w:tcW w:w="1020" w:type="dxa"/>
            <w:vAlign w:val="bottom"/>
            <w:tcBorders>
              <w:right w:val="single" w:sz="8" w:color="E5E5E5"/>
            </w:tcBorders>
            <w:vMerge w:val="restart"/>
            <w:shd w:val="clear" w:color="auto" w:fill="D91E18"/>
          </w:tcPr>
          <w:p>
            <w:pPr>
              <w:jc w:val="right"/>
              <w:ind w:right="239"/>
              <w:spacing w:after="0"/>
              <w:rPr>
                <w:sz w:val="20"/>
                <w:szCs w:val="20"/>
                <w:color w:val="auto"/>
              </w:rPr>
            </w:pPr>
            <w:r>
              <w:rPr>
                <w:rFonts w:ascii="Arial" w:cs="Arial" w:eastAsia="Arial" w:hAnsi="Arial"/>
                <w:sz w:val="16"/>
                <w:szCs w:val="16"/>
                <w:b w:val="1"/>
                <w:bCs w:val="1"/>
                <w:color w:val="FFFFFF"/>
              </w:rPr>
              <w:t>Salary</w:t>
            </w:r>
          </w:p>
        </w:tc>
        <w:tc>
          <w:tcPr>
            <w:tcW w:w="140" w:type="dxa"/>
            <w:vAlign w:val="bottom"/>
            <w:shd w:val="clear" w:color="auto" w:fill="D91E18"/>
          </w:tcPr>
          <w:p>
            <w:pPr>
              <w:spacing w:after="0"/>
              <w:rPr>
                <w:sz w:val="17"/>
                <w:szCs w:val="17"/>
                <w:color w:val="auto"/>
              </w:rPr>
            </w:pPr>
          </w:p>
        </w:tc>
        <w:tc>
          <w:tcPr>
            <w:tcW w:w="760" w:type="dxa"/>
            <w:vAlign w:val="bottom"/>
            <w:tcBorders>
              <w:right w:val="single" w:sz="8" w:color="E5E5E5"/>
            </w:tcBorders>
            <w:vMerge w:val="restart"/>
            <w:shd w:val="clear" w:color="auto" w:fill="D91E18"/>
          </w:tcPr>
          <w:p>
            <w:pPr>
              <w:ind w:left="40"/>
              <w:spacing w:after="0"/>
              <w:rPr>
                <w:sz w:val="20"/>
                <w:szCs w:val="20"/>
                <w:color w:val="auto"/>
              </w:rPr>
            </w:pPr>
            <w:r>
              <w:rPr>
                <w:rFonts w:ascii="Arial" w:cs="Arial" w:eastAsia="Arial" w:hAnsi="Arial"/>
                <w:sz w:val="16"/>
                <w:szCs w:val="16"/>
                <w:b w:val="1"/>
                <w:bCs w:val="1"/>
                <w:color w:val="FFFFFF"/>
              </w:rPr>
              <w:t>Bonus</w:t>
            </w:r>
          </w:p>
        </w:tc>
        <w:tc>
          <w:tcPr>
            <w:tcW w:w="160" w:type="dxa"/>
            <w:vAlign w:val="bottom"/>
            <w:shd w:val="clear" w:color="auto" w:fill="D91E18"/>
          </w:tcPr>
          <w:p>
            <w:pPr>
              <w:spacing w:after="0"/>
              <w:rPr>
                <w:sz w:val="17"/>
                <w:szCs w:val="17"/>
                <w:color w:val="auto"/>
              </w:rPr>
            </w:pPr>
          </w:p>
        </w:tc>
        <w:tc>
          <w:tcPr>
            <w:tcW w:w="1000" w:type="dxa"/>
            <w:vAlign w:val="bottom"/>
            <w:tcBorders>
              <w:right w:val="single" w:sz="8" w:color="E5E5E5"/>
            </w:tcBorders>
            <w:shd w:val="clear" w:color="auto" w:fill="D91E18"/>
          </w:tcPr>
          <w:p>
            <w:pPr>
              <w:jc w:val="right"/>
              <w:ind w:right="299"/>
              <w:spacing w:after="0"/>
              <w:rPr>
                <w:sz w:val="20"/>
                <w:szCs w:val="20"/>
                <w:color w:val="auto"/>
              </w:rPr>
            </w:pPr>
            <w:r>
              <w:rPr>
                <w:rFonts w:ascii="Arial" w:cs="Arial" w:eastAsia="Arial" w:hAnsi="Arial"/>
                <w:sz w:val="16"/>
                <w:szCs w:val="16"/>
                <w:b w:val="1"/>
                <w:bCs w:val="1"/>
                <w:color w:val="FFFFFF"/>
              </w:rPr>
              <w:t>Stock</w:t>
            </w:r>
          </w:p>
        </w:tc>
        <w:tc>
          <w:tcPr>
            <w:tcW w:w="160" w:type="dxa"/>
            <w:vAlign w:val="bottom"/>
            <w:shd w:val="clear" w:color="auto" w:fill="D91E18"/>
          </w:tcPr>
          <w:p>
            <w:pPr>
              <w:spacing w:after="0"/>
              <w:rPr>
                <w:sz w:val="17"/>
                <w:szCs w:val="17"/>
                <w:color w:val="auto"/>
              </w:rPr>
            </w:pPr>
          </w:p>
        </w:tc>
        <w:tc>
          <w:tcPr>
            <w:tcW w:w="1520" w:type="dxa"/>
            <w:vAlign w:val="bottom"/>
            <w:tcBorders>
              <w:right w:val="single" w:sz="8" w:color="E5E5E5"/>
            </w:tcBorders>
            <w:shd w:val="clear" w:color="auto" w:fill="D91E18"/>
          </w:tcPr>
          <w:p>
            <w:pPr>
              <w:jc w:val="center"/>
              <w:ind w:right="99"/>
              <w:spacing w:after="0"/>
              <w:rPr>
                <w:sz w:val="20"/>
                <w:szCs w:val="20"/>
                <w:color w:val="auto"/>
              </w:rPr>
            </w:pPr>
            <w:r>
              <w:rPr>
                <w:rFonts w:ascii="Arial" w:cs="Arial" w:eastAsia="Arial" w:hAnsi="Arial"/>
                <w:sz w:val="16"/>
                <w:szCs w:val="16"/>
                <w:b w:val="1"/>
                <w:bCs w:val="1"/>
                <w:color w:val="FFFFFF"/>
              </w:rPr>
              <w:t>Incentive Plan</w:t>
            </w:r>
          </w:p>
        </w:tc>
        <w:tc>
          <w:tcPr>
            <w:tcW w:w="140" w:type="dxa"/>
            <w:vAlign w:val="bottom"/>
            <w:shd w:val="clear" w:color="auto" w:fill="D91E18"/>
          </w:tcPr>
          <w:p>
            <w:pPr>
              <w:spacing w:after="0"/>
              <w:rPr>
                <w:sz w:val="17"/>
                <w:szCs w:val="17"/>
                <w:color w:val="auto"/>
              </w:rPr>
            </w:pPr>
          </w:p>
        </w:tc>
        <w:tc>
          <w:tcPr>
            <w:tcW w:w="1360" w:type="dxa"/>
            <w:vAlign w:val="bottom"/>
            <w:tcBorders>
              <w:right w:val="single" w:sz="8" w:color="E5E5E5"/>
            </w:tcBorders>
            <w:shd w:val="clear" w:color="auto" w:fill="D91E18"/>
          </w:tcPr>
          <w:p>
            <w:pPr>
              <w:jc w:val="right"/>
              <w:ind w:right="339"/>
              <w:spacing w:after="0"/>
              <w:rPr>
                <w:sz w:val="20"/>
                <w:szCs w:val="20"/>
                <w:color w:val="auto"/>
              </w:rPr>
            </w:pPr>
            <w:r>
              <w:rPr>
                <w:rFonts w:ascii="Arial" w:cs="Arial" w:eastAsia="Arial" w:hAnsi="Arial"/>
                <w:sz w:val="16"/>
                <w:szCs w:val="16"/>
                <w:b w:val="1"/>
                <w:bCs w:val="1"/>
                <w:color w:val="FFFFFF"/>
              </w:rPr>
              <w:t>All Other</w:t>
            </w:r>
          </w:p>
        </w:tc>
        <w:tc>
          <w:tcPr>
            <w:tcW w:w="220" w:type="dxa"/>
            <w:vAlign w:val="bottom"/>
            <w:shd w:val="clear" w:color="auto" w:fill="D91E18"/>
          </w:tcPr>
          <w:p>
            <w:pPr>
              <w:spacing w:after="0"/>
              <w:rPr>
                <w:sz w:val="17"/>
                <w:szCs w:val="17"/>
                <w:color w:val="auto"/>
              </w:rPr>
            </w:pPr>
          </w:p>
        </w:tc>
        <w:tc>
          <w:tcPr>
            <w:tcW w:w="920" w:type="dxa"/>
            <w:vAlign w:val="bottom"/>
            <w:tcBorders>
              <w:right w:val="single" w:sz="8" w:color="E5E5E5"/>
            </w:tcBorders>
            <w:vMerge w:val="restart"/>
            <w:shd w:val="clear" w:color="auto" w:fill="D91E18"/>
          </w:tcPr>
          <w:p>
            <w:pPr>
              <w:jc w:val="right"/>
              <w:ind w:right="319"/>
              <w:spacing w:after="0"/>
              <w:rPr>
                <w:sz w:val="20"/>
                <w:szCs w:val="20"/>
                <w:color w:val="auto"/>
              </w:rPr>
            </w:pPr>
            <w:r>
              <w:rPr>
                <w:rFonts w:ascii="Arial" w:cs="Arial" w:eastAsia="Arial" w:hAnsi="Arial"/>
                <w:sz w:val="16"/>
                <w:szCs w:val="16"/>
                <w:b w:val="1"/>
                <w:bCs w:val="1"/>
                <w:color w:val="FFFFFF"/>
              </w:rPr>
              <w:t>Total</w:t>
            </w:r>
          </w:p>
        </w:tc>
        <w:tc>
          <w:tcPr>
            <w:tcW w:w="0" w:type="dxa"/>
            <w:vAlign w:val="bottom"/>
          </w:tcPr>
          <w:p>
            <w:pPr>
              <w:spacing w:after="0"/>
              <w:rPr>
                <w:sz w:val="1"/>
                <w:szCs w:val="1"/>
                <w:color w:val="auto"/>
              </w:rPr>
            </w:pPr>
          </w:p>
        </w:tc>
      </w:tr>
      <w:tr>
        <w:trPr>
          <w:trHeight w:val="223"/>
        </w:trPr>
        <w:tc>
          <w:tcPr>
            <w:tcW w:w="3120" w:type="dxa"/>
            <w:vAlign w:val="bottom"/>
            <w:tcBorders>
              <w:left w:val="single" w:sz="8" w:color="E5E5E5"/>
              <w:right w:val="single" w:sz="8" w:color="E5E5E5"/>
            </w:tcBorders>
            <w:vMerge w:val="continue"/>
            <w:shd w:val="clear" w:color="auto" w:fill="D91E18"/>
          </w:tcPr>
          <w:p>
            <w:pPr>
              <w:spacing w:after="0"/>
              <w:rPr>
                <w:sz w:val="19"/>
                <w:szCs w:val="19"/>
                <w:color w:val="auto"/>
              </w:rPr>
            </w:pPr>
          </w:p>
        </w:tc>
        <w:tc>
          <w:tcPr>
            <w:tcW w:w="640" w:type="dxa"/>
            <w:vAlign w:val="bottom"/>
            <w:tcBorders>
              <w:right w:val="single" w:sz="8" w:color="E5E5E5"/>
            </w:tcBorders>
            <w:vMerge w:val="continue"/>
            <w:shd w:val="clear" w:color="auto" w:fill="D91E18"/>
          </w:tcPr>
          <w:p>
            <w:pPr>
              <w:spacing w:after="0"/>
              <w:rPr>
                <w:sz w:val="19"/>
                <w:szCs w:val="19"/>
                <w:color w:val="auto"/>
              </w:rPr>
            </w:pPr>
          </w:p>
        </w:tc>
        <w:tc>
          <w:tcPr>
            <w:tcW w:w="100" w:type="dxa"/>
            <w:vAlign w:val="bottom"/>
            <w:shd w:val="clear" w:color="auto" w:fill="D91E18"/>
          </w:tcPr>
          <w:p>
            <w:pPr>
              <w:spacing w:after="0"/>
              <w:rPr>
                <w:sz w:val="19"/>
                <w:szCs w:val="19"/>
                <w:color w:val="auto"/>
              </w:rPr>
            </w:pPr>
          </w:p>
        </w:tc>
        <w:tc>
          <w:tcPr>
            <w:tcW w:w="1020" w:type="dxa"/>
            <w:vAlign w:val="bottom"/>
            <w:tcBorders>
              <w:right w:val="single" w:sz="8" w:color="E5E5E5"/>
            </w:tcBorders>
            <w:vMerge w:val="continue"/>
            <w:shd w:val="clear" w:color="auto" w:fill="D91E18"/>
          </w:tcPr>
          <w:p>
            <w:pPr>
              <w:spacing w:after="0"/>
              <w:rPr>
                <w:sz w:val="19"/>
                <w:szCs w:val="19"/>
                <w:color w:val="auto"/>
              </w:rPr>
            </w:pPr>
          </w:p>
        </w:tc>
        <w:tc>
          <w:tcPr>
            <w:tcW w:w="140" w:type="dxa"/>
            <w:vAlign w:val="bottom"/>
            <w:shd w:val="clear" w:color="auto" w:fill="D91E18"/>
          </w:tcPr>
          <w:p>
            <w:pPr>
              <w:spacing w:after="0"/>
              <w:rPr>
                <w:sz w:val="19"/>
                <w:szCs w:val="19"/>
                <w:color w:val="auto"/>
              </w:rPr>
            </w:pPr>
          </w:p>
        </w:tc>
        <w:tc>
          <w:tcPr>
            <w:tcW w:w="760" w:type="dxa"/>
            <w:vAlign w:val="bottom"/>
            <w:tcBorders>
              <w:right w:val="single" w:sz="8" w:color="E5E5E5"/>
            </w:tcBorders>
            <w:vMerge w:val="continue"/>
            <w:shd w:val="clear" w:color="auto" w:fill="D91E18"/>
          </w:tcPr>
          <w:p>
            <w:pPr>
              <w:spacing w:after="0"/>
              <w:rPr>
                <w:sz w:val="19"/>
                <w:szCs w:val="19"/>
                <w:color w:val="auto"/>
              </w:rPr>
            </w:pPr>
          </w:p>
        </w:tc>
        <w:tc>
          <w:tcPr>
            <w:tcW w:w="160" w:type="dxa"/>
            <w:vAlign w:val="bottom"/>
            <w:shd w:val="clear" w:color="auto" w:fill="D91E18"/>
          </w:tcPr>
          <w:p>
            <w:pPr>
              <w:spacing w:after="0"/>
              <w:rPr>
                <w:sz w:val="19"/>
                <w:szCs w:val="19"/>
                <w:color w:val="auto"/>
              </w:rPr>
            </w:pPr>
          </w:p>
        </w:tc>
        <w:tc>
          <w:tcPr>
            <w:tcW w:w="1000" w:type="dxa"/>
            <w:vAlign w:val="bottom"/>
            <w:tcBorders>
              <w:right w:val="single" w:sz="8" w:color="E5E5E5"/>
            </w:tcBorders>
            <w:shd w:val="clear" w:color="auto" w:fill="D91E18"/>
          </w:tcPr>
          <w:p>
            <w:pPr>
              <w:jc w:val="right"/>
              <w:ind w:right="139"/>
              <w:spacing w:after="0" w:line="216" w:lineRule="exact"/>
              <w:rPr>
                <w:sz w:val="20"/>
                <w:szCs w:val="20"/>
                <w:color w:val="auto"/>
              </w:rPr>
            </w:pPr>
            <w:r>
              <w:rPr>
                <w:rFonts w:ascii="Arial" w:cs="Arial" w:eastAsia="Arial" w:hAnsi="Arial"/>
                <w:sz w:val="16"/>
                <w:szCs w:val="16"/>
                <w:b w:val="1"/>
                <w:bCs w:val="1"/>
                <w:color w:val="FFFFFF"/>
              </w:rPr>
              <w:t>Awards</w:t>
            </w:r>
            <w:r>
              <w:rPr>
                <w:rFonts w:ascii="Arial" w:cs="Arial" w:eastAsia="Arial" w:hAnsi="Arial"/>
                <w:sz w:val="21"/>
                <w:szCs w:val="21"/>
                <w:b w:val="1"/>
                <w:bCs w:val="1"/>
                <w:color w:val="FFFFFF"/>
                <w:vertAlign w:val="superscript"/>
              </w:rPr>
              <w:t>(1)</w:t>
            </w:r>
          </w:p>
        </w:tc>
        <w:tc>
          <w:tcPr>
            <w:tcW w:w="160" w:type="dxa"/>
            <w:vAlign w:val="bottom"/>
            <w:shd w:val="clear" w:color="auto" w:fill="D91E18"/>
          </w:tcPr>
          <w:p>
            <w:pPr>
              <w:spacing w:after="0"/>
              <w:rPr>
                <w:sz w:val="19"/>
                <w:szCs w:val="19"/>
                <w:color w:val="auto"/>
              </w:rPr>
            </w:pPr>
          </w:p>
        </w:tc>
        <w:tc>
          <w:tcPr>
            <w:tcW w:w="1520" w:type="dxa"/>
            <w:vAlign w:val="bottom"/>
            <w:tcBorders>
              <w:right w:val="single" w:sz="8" w:color="E5E5E5"/>
            </w:tcBorders>
            <w:shd w:val="clear" w:color="auto" w:fill="D91E18"/>
          </w:tcPr>
          <w:p>
            <w:pPr>
              <w:jc w:val="center"/>
              <w:ind w:right="99"/>
              <w:spacing w:after="0" w:line="216" w:lineRule="exact"/>
              <w:rPr>
                <w:sz w:val="20"/>
                <w:szCs w:val="20"/>
                <w:color w:val="auto"/>
              </w:rPr>
            </w:pPr>
            <w:r>
              <w:rPr>
                <w:rFonts w:ascii="Arial" w:cs="Arial" w:eastAsia="Arial" w:hAnsi="Arial"/>
                <w:sz w:val="16"/>
                <w:szCs w:val="16"/>
                <w:b w:val="1"/>
                <w:bCs w:val="1"/>
                <w:color w:val="FFFFFF"/>
                <w:w w:val="98"/>
              </w:rPr>
              <w:t>Compensation</w:t>
            </w:r>
            <w:r>
              <w:rPr>
                <w:rFonts w:ascii="Arial" w:cs="Arial" w:eastAsia="Arial" w:hAnsi="Arial"/>
                <w:sz w:val="21"/>
                <w:szCs w:val="21"/>
                <w:b w:val="1"/>
                <w:bCs w:val="1"/>
                <w:color w:val="FFFFFF"/>
                <w:w w:val="98"/>
                <w:vertAlign w:val="superscript"/>
              </w:rPr>
              <w:t>(2)</w:t>
            </w:r>
          </w:p>
        </w:tc>
        <w:tc>
          <w:tcPr>
            <w:tcW w:w="140" w:type="dxa"/>
            <w:vAlign w:val="bottom"/>
            <w:shd w:val="clear" w:color="auto" w:fill="D91E18"/>
          </w:tcPr>
          <w:p>
            <w:pPr>
              <w:spacing w:after="0"/>
              <w:rPr>
                <w:sz w:val="19"/>
                <w:szCs w:val="19"/>
                <w:color w:val="auto"/>
              </w:rPr>
            </w:pPr>
          </w:p>
        </w:tc>
        <w:tc>
          <w:tcPr>
            <w:tcW w:w="1360" w:type="dxa"/>
            <w:vAlign w:val="bottom"/>
            <w:tcBorders>
              <w:right w:val="single" w:sz="8" w:color="E5E5E5"/>
            </w:tcBorders>
            <w:shd w:val="clear" w:color="auto" w:fill="D91E18"/>
          </w:tcPr>
          <w:p>
            <w:pPr>
              <w:jc w:val="right"/>
              <w:ind w:right="119"/>
              <w:spacing w:after="0"/>
              <w:rPr>
                <w:sz w:val="20"/>
                <w:szCs w:val="20"/>
                <w:color w:val="auto"/>
              </w:rPr>
            </w:pPr>
            <w:r>
              <w:rPr>
                <w:rFonts w:ascii="Arial" w:cs="Arial" w:eastAsia="Arial" w:hAnsi="Arial"/>
                <w:sz w:val="16"/>
                <w:szCs w:val="16"/>
                <w:b w:val="1"/>
                <w:bCs w:val="1"/>
                <w:color w:val="FFFFFF"/>
              </w:rPr>
              <w:t>Compensation</w:t>
            </w:r>
          </w:p>
        </w:tc>
        <w:tc>
          <w:tcPr>
            <w:tcW w:w="220" w:type="dxa"/>
            <w:vAlign w:val="bottom"/>
            <w:shd w:val="clear" w:color="auto" w:fill="D91E18"/>
          </w:tcPr>
          <w:p>
            <w:pPr>
              <w:spacing w:after="0"/>
              <w:rPr>
                <w:sz w:val="19"/>
                <w:szCs w:val="19"/>
                <w:color w:val="auto"/>
              </w:rPr>
            </w:pPr>
          </w:p>
        </w:tc>
        <w:tc>
          <w:tcPr>
            <w:tcW w:w="920" w:type="dxa"/>
            <w:vAlign w:val="bottom"/>
            <w:tcBorders>
              <w:right w:val="single" w:sz="8" w:color="E5E5E5"/>
            </w:tcBorders>
            <w:vMerge w:val="continue"/>
            <w:shd w:val="clear" w:color="auto" w:fill="D91E18"/>
          </w:tcPr>
          <w:p>
            <w:pPr>
              <w:spacing w:after="0"/>
              <w:rPr>
                <w:sz w:val="19"/>
                <w:szCs w:val="19"/>
                <w:color w:val="auto"/>
              </w:rPr>
            </w:pPr>
          </w:p>
        </w:tc>
        <w:tc>
          <w:tcPr>
            <w:tcW w:w="0" w:type="dxa"/>
            <w:vAlign w:val="bottom"/>
          </w:tcPr>
          <w:p>
            <w:pPr>
              <w:spacing w:after="0"/>
              <w:rPr>
                <w:sz w:val="1"/>
                <w:szCs w:val="1"/>
                <w:color w:val="auto"/>
              </w:rPr>
            </w:pPr>
          </w:p>
        </w:tc>
      </w:tr>
      <w:tr>
        <w:trPr>
          <w:trHeight w:val="268"/>
        </w:trPr>
        <w:tc>
          <w:tcPr>
            <w:tcW w:w="3120" w:type="dxa"/>
            <w:vAlign w:val="bottom"/>
            <w:tcBorders>
              <w:left w:val="single" w:sz="8" w:color="E5E5E5"/>
              <w:bottom w:val="single" w:sz="8" w:color="DBDBDB"/>
              <w:right w:val="single" w:sz="8" w:color="E5E5E5"/>
            </w:tcBorders>
            <w:shd w:val="clear" w:color="auto" w:fill="DBDBDB"/>
          </w:tcPr>
          <w:p>
            <w:pPr>
              <w:ind w:left="40"/>
              <w:spacing w:after="0"/>
              <w:rPr>
                <w:sz w:val="20"/>
                <w:szCs w:val="20"/>
                <w:color w:val="auto"/>
              </w:rPr>
            </w:pPr>
            <w:r>
              <w:rPr>
                <w:rFonts w:ascii="Arial" w:cs="Arial" w:eastAsia="Arial" w:hAnsi="Arial"/>
                <w:sz w:val="16"/>
                <w:szCs w:val="16"/>
                <w:color w:val="auto"/>
              </w:rPr>
              <w:t>David W. Hult</w:t>
            </w:r>
          </w:p>
        </w:tc>
        <w:tc>
          <w:tcPr>
            <w:tcW w:w="640" w:type="dxa"/>
            <w:vAlign w:val="bottom"/>
            <w:tcBorders>
              <w:bottom w:val="single" w:sz="8" w:color="DBDBDB"/>
              <w:right w:val="single" w:sz="8" w:color="E5E5E5"/>
            </w:tcBorders>
            <w:shd w:val="clear" w:color="auto" w:fill="DBDBDB"/>
          </w:tcPr>
          <w:p>
            <w:pPr>
              <w:ind w:left="120"/>
              <w:spacing w:after="0"/>
              <w:rPr>
                <w:sz w:val="20"/>
                <w:szCs w:val="20"/>
                <w:color w:val="auto"/>
              </w:rPr>
            </w:pPr>
            <w:r>
              <w:rPr>
                <w:rFonts w:ascii="Arial" w:cs="Arial" w:eastAsia="Arial" w:hAnsi="Arial"/>
                <w:sz w:val="16"/>
                <w:szCs w:val="16"/>
                <w:color w:val="auto"/>
              </w:rPr>
              <w:t>2024</w:t>
            </w:r>
          </w:p>
        </w:tc>
        <w:tc>
          <w:tcPr>
            <w:tcW w:w="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DBDBDB"/>
              <w:right w:val="single" w:sz="8" w:color="E5E5E5"/>
            </w:tcBorders>
            <w:shd w:val="clear" w:color="auto" w:fill="DBDBDB"/>
          </w:tcPr>
          <w:p>
            <w:pPr>
              <w:jc w:val="right"/>
              <w:spacing w:after="0"/>
              <w:rPr>
                <w:sz w:val="20"/>
                <w:szCs w:val="20"/>
                <w:color w:val="auto"/>
              </w:rPr>
            </w:pPr>
            <w:r>
              <w:rPr>
                <w:rFonts w:ascii="Arial" w:cs="Arial" w:eastAsia="Arial" w:hAnsi="Arial"/>
                <w:sz w:val="16"/>
                <w:szCs w:val="16"/>
                <w:color w:val="auto"/>
              </w:rPr>
              <w:t>1,300,000</w:t>
            </w:r>
          </w:p>
        </w:tc>
        <w:tc>
          <w:tcPr>
            <w:tcW w:w="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DBDBDB"/>
              <w:right w:val="single" w:sz="8" w:color="E5E5E5"/>
            </w:tcBorders>
            <w:shd w:val="clear" w:color="auto" w:fill="DBDBDB"/>
          </w:tcPr>
          <w:p>
            <w:pPr>
              <w:ind w:left="5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DBDBDB"/>
              <w:right w:val="single" w:sz="8" w:color="E5E5E5"/>
            </w:tcBorders>
            <w:shd w:val="clear" w:color="auto" w:fill="DBDBDB"/>
          </w:tcPr>
          <w:p>
            <w:pPr>
              <w:jc w:val="right"/>
              <w:ind w:right="19"/>
              <w:spacing w:after="0"/>
              <w:rPr>
                <w:sz w:val="20"/>
                <w:szCs w:val="20"/>
                <w:color w:val="auto"/>
              </w:rPr>
            </w:pPr>
            <w:r>
              <w:rPr>
                <w:rFonts w:ascii="Arial" w:cs="Arial" w:eastAsia="Arial" w:hAnsi="Arial"/>
                <w:sz w:val="16"/>
                <w:szCs w:val="16"/>
                <w:color w:val="auto"/>
              </w:rPr>
              <w:t>6,000,045</w:t>
            </w:r>
          </w:p>
        </w:tc>
        <w:tc>
          <w:tcPr>
            <w:tcW w:w="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DBDBDB"/>
              <w:right w:val="single" w:sz="8" w:color="E5E5E5"/>
            </w:tcBorders>
            <w:shd w:val="clear" w:color="auto" w:fill="DBDBDB"/>
          </w:tcPr>
          <w:p>
            <w:pPr>
              <w:jc w:val="right"/>
              <w:spacing w:after="0"/>
              <w:rPr>
                <w:sz w:val="20"/>
                <w:szCs w:val="20"/>
                <w:color w:val="auto"/>
              </w:rPr>
            </w:pPr>
            <w:r>
              <w:rPr>
                <w:rFonts w:ascii="Arial" w:cs="Arial" w:eastAsia="Arial" w:hAnsi="Arial"/>
                <w:sz w:val="16"/>
                <w:szCs w:val="16"/>
                <w:color w:val="auto"/>
              </w:rPr>
              <w:t>1,667,250</w:t>
            </w:r>
          </w:p>
        </w:tc>
        <w:tc>
          <w:tcPr>
            <w:tcW w:w="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DBDBDB"/>
              <w:right w:val="single" w:sz="8" w:color="E5E5E5"/>
            </w:tcBorders>
            <w:shd w:val="clear" w:color="auto" w:fill="DBDBDB"/>
          </w:tcPr>
          <w:p>
            <w:pPr>
              <w:jc w:val="right"/>
              <w:spacing w:after="0"/>
              <w:rPr>
                <w:sz w:val="20"/>
                <w:szCs w:val="20"/>
                <w:color w:val="auto"/>
              </w:rPr>
            </w:pPr>
            <w:r>
              <w:rPr>
                <w:rFonts w:ascii="Arial" w:cs="Arial" w:eastAsia="Arial" w:hAnsi="Arial"/>
                <w:sz w:val="16"/>
                <w:szCs w:val="16"/>
                <w:color w:val="auto"/>
              </w:rPr>
              <w:t>31,835</w:t>
            </w:r>
          </w:p>
        </w:tc>
        <w:tc>
          <w:tcPr>
            <w:tcW w:w="220" w:type="dxa"/>
            <w:vAlign w:val="bottom"/>
            <w:tcBorders>
              <w:bottom w:val="single" w:sz="8" w:color="DBDBDB"/>
            </w:tcBorders>
            <w:shd w:val="clear" w:color="auto" w:fill="DBDBDB"/>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DBDBDB"/>
              <w:right w:val="single" w:sz="8" w:color="E5E5E5"/>
            </w:tcBorders>
            <w:shd w:val="clear" w:color="auto" w:fill="DBDBDB"/>
          </w:tcPr>
          <w:p>
            <w:pPr>
              <w:jc w:val="right"/>
              <w:ind w:right="19"/>
              <w:spacing w:after="0"/>
              <w:rPr>
                <w:sz w:val="20"/>
                <w:szCs w:val="20"/>
                <w:color w:val="auto"/>
              </w:rPr>
            </w:pPr>
            <w:r>
              <w:rPr>
                <w:rFonts w:ascii="Arial" w:cs="Arial" w:eastAsia="Arial" w:hAnsi="Arial"/>
                <w:sz w:val="16"/>
                <w:szCs w:val="16"/>
                <w:color w:val="auto"/>
              </w:rPr>
              <w:t>8,999,130</w:t>
            </w:r>
          </w:p>
        </w:tc>
        <w:tc>
          <w:tcPr>
            <w:tcW w:w="0" w:type="dxa"/>
            <w:vAlign w:val="bottom"/>
          </w:tcPr>
          <w:p>
            <w:pPr>
              <w:spacing w:after="0"/>
              <w:rPr>
                <w:sz w:val="1"/>
                <w:szCs w:val="1"/>
                <w:color w:val="auto"/>
              </w:rPr>
            </w:pPr>
          </w:p>
        </w:tc>
      </w:tr>
      <w:tr>
        <w:trPr>
          <w:trHeight w:val="48"/>
        </w:trPr>
        <w:tc>
          <w:tcPr>
            <w:tcW w:w="3120" w:type="dxa"/>
            <w:vAlign w:val="bottom"/>
            <w:tcBorders>
              <w:top w:val="single" w:sz="8" w:color="DBDBDB"/>
              <w:left w:val="single" w:sz="8" w:color="E5E5E5"/>
              <w:right w:val="single" w:sz="8" w:color="E5E5E5"/>
            </w:tcBorders>
            <w:shd w:val="clear" w:color="auto" w:fill="DBDBDB"/>
          </w:tcPr>
          <w:p>
            <w:pPr>
              <w:ind w:left="120"/>
              <w:spacing w:after="0" w:line="48" w:lineRule="exact"/>
              <w:rPr>
                <w:sz w:val="20"/>
                <w:szCs w:val="20"/>
                <w:color w:val="auto"/>
              </w:rPr>
            </w:pPr>
            <w:r>
              <w:rPr>
                <w:rFonts w:ascii="Arial" w:cs="Arial" w:eastAsia="Arial" w:hAnsi="Arial"/>
                <w:sz w:val="5"/>
                <w:szCs w:val="5"/>
                <w:color w:val="auto"/>
              </w:rPr>
              <w:t>President &amp; Chief Executive</w:t>
            </w:r>
          </w:p>
        </w:tc>
        <w:tc>
          <w:tcPr>
            <w:tcW w:w="640" w:type="dxa"/>
            <w:vAlign w:val="bottom"/>
            <w:tcBorders>
              <w:top w:val="single" w:sz="8" w:color="E5E5E5"/>
              <w:right w:val="single" w:sz="8" w:color="E5E5E5"/>
            </w:tcBorders>
            <w:vMerge w:val="restart"/>
            <w:shd w:val="clear" w:color="auto" w:fill="DBDBDB"/>
          </w:tcPr>
          <w:p>
            <w:pPr>
              <w:ind w:left="120"/>
              <w:spacing w:after="0"/>
              <w:rPr>
                <w:sz w:val="20"/>
                <w:szCs w:val="20"/>
                <w:color w:val="auto"/>
              </w:rPr>
            </w:pPr>
            <w:r>
              <w:rPr>
                <w:rFonts w:ascii="Arial" w:cs="Arial" w:eastAsia="Arial" w:hAnsi="Arial"/>
                <w:sz w:val="16"/>
                <w:szCs w:val="16"/>
                <w:color w:val="auto"/>
              </w:rPr>
              <w:t>2023</w:t>
            </w:r>
          </w:p>
        </w:tc>
        <w:tc>
          <w:tcPr>
            <w:tcW w:w="100" w:type="dxa"/>
            <w:vAlign w:val="bottom"/>
            <w:tcBorders>
              <w:top w:val="single" w:sz="8" w:color="E5E5E5"/>
            </w:tcBorders>
            <w:vMerge w:val="restart"/>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E5E5E5"/>
              <w:right w:val="single" w:sz="8" w:color="E5E5E5"/>
            </w:tcBorders>
            <w:vMerge w:val="restart"/>
            <w:shd w:val="clear" w:color="auto" w:fill="DBDBDB"/>
          </w:tcPr>
          <w:p>
            <w:pPr>
              <w:jc w:val="right"/>
              <w:spacing w:after="0"/>
              <w:rPr>
                <w:sz w:val="20"/>
                <w:szCs w:val="20"/>
                <w:color w:val="auto"/>
              </w:rPr>
            </w:pPr>
            <w:r>
              <w:rPr>
                <w:rFonts w:ascii="Arial" w:cs="Arial" w:eastAsia="Arial" w:hAnsi="Arial"/>
                <w:sz w:val="16"/>
                <w:szCs w:val="16"/>
                <w:color w:val="auto"/>
              </w:rPr>
              <w:t>1,300,000</w:t>
            </w:r>
          </w:p>
        </w:tc>
        <w:tc>
          <w:tcPr>
            <w:tcW w:w="140" w:type="dxa"/>
            <w:vAlign w:val="bottom"/>
            <w:tcBorders>
              <w:top w:val="single" w:sz="8" w:color="E5E5E5"/>
            </w:tcBorders>
            <w:vMerge w:val="restart"/>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E5E5E5"/>
              <w:right w:val="single" w:sz="8" w:color="E5E5E5"/>
            </w:tcBorders>
            <w:vMerge w:val="restart"/>
            <w:shd w:val="clear" w:color="auto" w:fill="DBDBDB"/>
          </w:tcPr>
          <w:p>
            <w:pPr>
              <w:ind w:left="500"/>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E5E5E5"/>
            </w:tcBorders>
            <w:vMerge w:val="restart"/>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E5E5E5"/>
              <w:right w:val="single" w:sz="8" w:color="E5E5E5"/>
            </w:tcBorders>
            <w:vMerge w:val="restart"/>
            <w:shd w:val="clear" w:color="auto" w:fill="DBDBDB"/>
          </w:tcPr>
          <w:p>
            <w:pPr>
              <w:jc w:val="right"/>
              <w:ind w:right="19"/>
              <w:spacing w:after="0"/>
              <w:rPr>
                <w:sz w:val="20"/>
                <w:szCs w:val="20"/>
                <w:color w:val="auto"/>
              </w:rPr>
            </w:pPr>
            <w:r>
              <w:rPr>
                <w:rFonts w:ascii="Arial" w:cs="Arial" w:eastAsia="Arial" w:hAnsi="Arial"/>
                <w:sz w:val="16"/>
                <w:szCs w:val="16"/>
                <w:color w:val="auto"/>
              </w:rPr>
              <w:t>4,999,895</w:t>
            </w:r>
          </w:p>
        </w:tc>
        <w:tc>
          <w:tcPr>
            <w:tcW w:w="160" w:type="dxa"/>
            <w:vAlign w:val="bottom"/>
            <w:tcBorders>
              <w:top w:val="single" w:sz="8" w:color="E5E5E5"/>
            </w:tcBorders>
            <w:vMerge w:val="restart"/>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E5E5E5"/>
              <w:right w:val="single" w:sz="8" w:color="E5E5E5"/>
            </w:tcBorders>
            <w:vMerge w:val="restart"/>
            <w:shd w:val="clear" w:color="auto" w:fill="DBDBDB"/>
          </w:tcPr>
          <w:p>
            <w:pPr>
              <w:jc w:val="right"/>
              <w:spacing w:after="0"/>
              <w:rPr>
                <w:sz w:val="20"/>
                <w:szCs w:val="20"/>
                <w:color w:val="auto"/>
              </w:rPr>
            </w:pPr>
            <w:r>
              <w:rPr>
                <w:rFonts w:ascii="Arial" w:cs="Arial" w:eastAsia="Arial" w:hAnsi="Arial"/>
                <w:sz w:val="16"/>
                <w:szCs w:val="16"/>
                <w:color w:val="auto"/>
              </w:rPr>
              <w:t>1,807,650</w:t>
            </w:r>
          </w:p>
        </w:tc>
        <w:tc>
          <w:tcPr>
            <w:tcW w:w="140" w:type="dxa"/>
            <w:vAlign w:val="bottom"/>
            <w:tcBorders>
              <w:top w:val="single" w:sz="8" w:color="E5E5E5"/>
            </w:tcBorders>
            <w:vMerge w:val="restart"/>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E5E5E5"/>
              <w:right w:val="single" w:sz="8" w:color="E5E5E5"/>
            </w:tcBorders>
            <w:vMerge w:val="restart"/>
            <w:shd w:val="clear" w:color="auto" w:fill="DBDBDB"/>
          </w:tcPr>
          <w:p>
            <w:pPr>
              <w:jc w:val="right"/>
              <w:spacing w:after="0"/>
              <w:rPr>
                <w:sz w:val="20"/>
                <w:szCs w:val="20"/>
                <w:color w:val="auto"/>
              </w:rPr>
            </w:pPr>
            <w:r>
              <w:rPr>
                <w:rFonts w:ascii="Arial" w:cs="Arial" w:eastAsia="Arial" w:hAnsi="Arial"/>
                <w:sz w:val="16"/>
                <w:szCs w:val="16"/>
                <w:color w:val="auto"/>
              </w:rPr>
              <w:t>31,082</w:t>
            </w:r>
          </w:p>
        </w:tc>
        <w:tc>
          <w:tcPr>
            <w:tcW w:w="220" w:type="dxa"/>
            <w:vAlign w:val="bottom"/>
            <w:tcBorders>
              <w:top w:val="single" w:sz="8" w:color="E5E5E5"/>
            </w:tcBorders>
            <w:vMerge w:val="restart"/>
            <w:shd w:val="clear" w:color="auto" w:fill="DBDBDB"/>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E5E5E5"/>
              <w:right w:val="single" w:sz="8" w:color="E5E5E5"/>
            </w:tcBorders>
            <w:vMerge w:val="restart"/>
            <w:shd w:val="clear" w:color="auto" w:fill="DBDBDB"/>
          </w:tcPr>
          <w:p>
            <w:pPr>
              <w:jc w:val="right"/>
              <w:ind w:right="19"/>
              <w:spacing w:after="0"/>
              <w:rPr>
                <w:sz w:val="20"/>
                <w:szCs w:val="20"/>
                <w:color w:val="auto"/>
              </w:rPr>
            </w:pPr>
            <w:r>
              <w:rPr>
                <w:rFonts w:ascii="Arial" w:cs="Arial" w:eastAsia="Arial" w:hAnsi="Arial"/>
                <w:sz w:val="16"/>
                <w:szCs w:val="16"/>
                <w:color w:val="auto"/>
              </w:rPr>
              <w:t>8,138,627</w:t>
            </w:r>
          </w:p>
        </w:tc>
        <w:tc>
          <w:tcPr>
            <w:tcW w:w="0" w:type="dxa"/>
            <w:vAlign w:val="bottom"/>
          </w:tcPr>
          <w:p>
            <w:pPr>
              <w:spacing w:after="0"/>
              <w:rPr>
                <w:sz w:val="1"/>
                <w:szCs w:val="1"/>
                <w:color w:val="auto"/>
              </w:rPr>
            </w:pPr>
          </w:p>
        </w:tc>
      </w:tr>
      <w:tr>
        <w:trPr>
          <w:trHeight w:val="209"/>
        </w:trPr>
        <w:tc>
          <w:tcPr>
            <w:tcW w:w="3120" w:type="dxa"/>
            <w:vAlign w:val="bottom"/>
            <w:tcBorders>
              <w:left w:val="single" w:sz="8" w:color="E5E5E5"/>
              <w:right w:val="single" w:sz="8" w:color="E5E5E5"/>
            </w:tcBorders>
            <w:shd w:val="clear" w:color="auto" w:fill="DBDBDB"/>
          </w:tcPr>
          <w:p>
            <w:pPr>
              <w:ind w:left="120"/>
              <w:spacing w:after="0" w:line="203" w:lineRule="exact"/>
              <w:rPr>
                <w:sz w:val="20"/>
                <w:szCs w:val="20"/>
                <w:color w:val="auto"/>
              </w:rPr>
            </w:pPr>
            <w:r>
              <w:rPr>
                <w:rFonts w:ascii="Arial" w:cs="Arial" w:eastAsia="Arial" w:hAnsi="Arial"/>
                <w:sz w:val="16"/>
                <w:szCs w:val="16"/>
                <w:color w:val="auto"/>
              </w:rPr>
              <w:t xml:space="preserve">Officer </w:t>
            </w:r>
            <w:r>
              <w:rPr>
                <w:rFonts w:ascii="Arial" w:cs="Arial" w:eastAsia="Arial" w:hAnsi="Arial"/>
                <w:sz w:val="21"/>
                <w:szCs w:val="21"/>
                <w:color w:val="auto"/>
                <w:vertAlign w:val="superscript"/>
              </w:rPr>
              <w:t>(3)</w:t>
            </w:r>
          </w:p>
        </w:tc>
        <w:tc>
          <w:tcPr>
            <w:tcW w:w="640" w:type="dxa"/>
            <w:vAlign w:val="bottom"/>
            <w:tcBorders>
              <w:right w:val="single" w:sz="8" w:color="E5E5E5"/>
            </w:tcBorders>
            <w:vMerge w:val="continue"/>
            <w:shd w:val="clear" w:color="auto" w:fill="DBDBDB"/>
          </w:tcPr>
          <w:p>
            <w:pPr>
              <w:spacing w:after="0"/>
              <w:rPr>
                <w:sz w:val="18"/>
                <w:szCs w:val="18"/>
                <w:color w:val="auto"/>
              </w:rPr>
            </w:pPr>
          </w:p>
        </w:tc>
        <w:tc>
          <w:tcPr>
            <w:tcW w:w="100" w:type="dxa"/>
            <w:vAlign w:val="bottom"/>
            <w:vMerge w:val="continue"/>
            <w:shd w:val="clear" w:color="auto" w:fill="DBDBDB"/>
          </w:tcPr>
          <w:p>
            <w:pPr>
              <w:spacing w:after="0"/>
              <w:rPr>
                <w:sz w:val="18"/>
                <w:szCs w:val="18"/>
                <w:color w:val="auto"/>
              </w:rPr>
            </w:pPr>
          </w:p>
        </w:tc>
        <w:tc>
          <w:tcPr>
            <w:tcW w:w="1020" w:type="dxa"/>
            <w:vAlign w:val="bottom"/>
            <w:tcBorders>
              <w:right w:val="single" w:sz="8" w:color="E5E5E5"/>
            </w:tcBorders>
            <w:vMerge w:val="continue"/>
            <w:shd w:val="clear" w:color="auto" w:fill="DBDBDB"/>
          </w:tcPr>
          <w:p>
            <w:pPr>
              <w:spacing w:after="0"/>
              <w:rPr>
                <w:sz w:val="18"/>
                <w:szCs w:val="18"/>
                <w:color w:val="auto"/>
              </w:rPr>
            </w:pPr>
          </w:p>
        </w:tc>
        <w:tc>
          <w:tcPr>
            <w:tcW w:w="140" w:type="dxa"/>
            <w:vAlign w:val="bottom"/>
            <w:vMerge w:val="continue"/>
            <w:shd w:val="clear" w:color="auto" w:fill="DBDBDB"/>
          </w:tcPr>
          <w:p>
            <w:pPr>
              <w:spacing w:after="0"/>
              <w:rPr>
                <w:sz w:val="18"/>
                <w:szCs w:val="18"/>
                <w:color w:val="auto"/>
              </w:rPr>
            </w:pPr>
          </w:p>
        </w:tc>
        <w:tc>
          <w:tcPr>
            <w:tcW w:w="760" w:type="dxa"/>
            <w:vAlign w:val="bottom"/>
            <w:tcBorders>
              <w:right w:val="single" w:sz="8" w:color="E5E5E5"/>
            </w:tcBorders>
            <w:vMerge w:val="continue"/>
            <w:shd w:val="clear" w:color="auto" w:fill="DBDBDB"/>
          </w:tcPr>
          <w:p>
            <w:pPr>
              <w:spacing w:after="0"/>
              <w:rPr>
                <w:sz w:val="18"/>
                <w:szCs w:val="18"/>
                <w:color w:val="auto"/>
              </w:rPr>
            </w:pPr>
          </w:p>
        </w:tc>
        <w:tc>
          <w:tcPr>
            <w:tcW w:w="160" w:type="dxa"/>
            <w:vAlign w:val="bottom"/>
            <w:vMerge w:val="continue"/>
            <w:shd w:val="clear" w:color="auto" w:fill="DBDBDB"/>
          </w:tcPr>
          <w:p>
            <w:pPr>
              <w:spacing w:after="0"/>
              <w:rPr>
                <w:sz w:val="18"/>
                <w:szCs w:val="18"/>
                <w:color w:val="auto"/>
              </w:rPr>
            </w:pPr>
          </w:p>
        </w:tc>
        <w:tc>
          <w:tcPr>
            <w:tcW w:w="1000" w:type="dxa"/>
            <w:vAlign w:val="bottom"/>
            <w:tcBorders>
              <w:right w:val="single" w:sz="8" w:color="E5E5E5"/>
            </w:tcBorders>
            <w:vMerge w:val="continue"/>
            <w:shd w:val="clear" w:color="auto" w:fill="DBDBDB"/>
          </w:tcPr>
          <w:p>
            <w:pPr>
              <w:spacing w:after="0"/>
              <w:rPr>
                <w:sz w:val="18"/>
                <w:szCs w:val="18"/>
                <w:color w:val="auto"/>
              </w:rPr>
            </w:pPr>
          </w:p>
        </w:tc>
        <w:tc>
          <w:tcPr>
            <w:tcW w:w="160" w:type="dxa"/>
            <w:vAlign w:val="bottom"/>
            <w:vMerge w:val="continue"/>
            <w:shd w:val="clear" w:color="auto" w:fill="DBDBDB"/>
          </w:tcPr>
          <w:p>
            <w:pPr>
              <w:spacing w:after="0"/>
              <w:rPr>
                <w:sz w:val="18"/>
                <w:szCs w:val="18"/>
                <w:color w:val="auto"/>
              </w:rPr>
            </w:pPr>
          </w:p>
        </w:tc>
        <w:tc>
          <w:tcPr>
            <w:tcW w:w="1520" w:type="dxa"/>
            <w:vAlign w:val="bottom"/>
            <w:tcBorders>
              <w:right w:val="single" w:sz="8" w:color="E5E5E5"/>
            </w:tcBorders>
            <w:vMerge w:val="continue"/>
            <w:shd w:val="clear" w:color="auto" w:fill="DBDBDB"/>
          </w:tcPr>
          <w:p>
            <w:pPr>
              <w:spacing w:after="0"/>
              <w:rPr>
                <w:sz w:val="18"/>
                <w:szCs w:val="18"/>
                <w:color w:val="auto"/>
              </w:rPr>
            </w:pPr>
          </w:p>
        </w:tc>
        <w:tc>
          <w:tcPr>
            <w:tcW w:w="140" w:type="dxa"/>
            <w:vAlign w:val="bottom"/>
            <w:vMerge w:val="continue"/>
            <w:shd w:val="clear" w:color="auto" w:fill="DBDBDB"/>
          </w:tcPr>
          <w:p>
            <w:pPr>
              <w:spacing w:after="0"/>
              <w:rPr>
                <w:sz w:val="18"/>
                <w:szCs w:val="18"/>
                <w:color w:val="auto"/>
              </w:rPr>
            </w:pPr>
          </w:p>
        </w:tc>
        <w:tc>
          <w:tcPr>
            <w:tcW w:w="1360" w:type="dxa"/>
            <w:vAlign w:val="bottom"/>
            <w:tcBorders>
              <w:right w:val="single" w:sz="8" w:color="E5E5E5"/>
            </w:tcBorders>
            <w:vMerge w:val="continue"/>
            <w:shd w:val="clear" w:color="auto" w:fill="DBDBDB"/>
          </w:tcPr>
          <w:p>
            <w:pPr>
              <w:spacing w:after="0"/>
              <w:rPr>
                <w:sz w:val="18"/>
                <w:szCs w:val="18"/>
                <w:color w:val="auto"/>
              </w:rPr>
            </w:pPr>
          </w:p>
        </w:tc>
        <w:tc>
          <w:tcPr>
            <w:tcW w:w="220" w:type="dxa"/>
            <w:vAlign w:val="bottom"/>
            <w:vMerge w:val="continue"/>
            <w:shd w:val="clear" w:color="auto" w:fill="DBDBDB"/>
          </w:tcPr>
          <w:p>
            <w:pPr>
              <w:spacing w:after="0"/>
              <w:rPr>
                <w:sz w:val="18"/>
                <w:szCs w:val="18"/>
                <w:color w:val="auto"/>
              </w:rPr>
            </w:pPr>
          </w:p>
        </w:tc>
        <w:tc>
          <w:tcPr>
            <w:tcW w:w="920" w:type="dxa"/>
            <w:vAlign w:val="bottom"/>
            <w:tcBorders>
              <w:right w:val="single" w:sz="8" w:color="E5E5E5"/>
            </w:tcBorders>
            <w:vMerge w:val="continue"/>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3120" w:type="dxa"/>
            <w:vAlign w:val="bottom"/>
            <w:tcBorders>
              <w:left w:val="single" w:sz="8" w:color="E5E5E5"/>
              <w:right w:val="single" w:sz="8" w:color="E5E5E5"/>
            </w:tcBorders>
            <w:shd w:val="clear" w:color="auto" w:fill="DBDBDB"/>
          </w:tcPr>
          <w:p>
            <w:pPr>
              <w:spacing w:after="0"/>
              <w:rPr>
                <w:sz w:val="24"/>
                <w:szCs w:val="24"/>
                <w:color w:val="auto"/>
              </w:rPr>
            </w:pPr>
          </w:p>
        </w:tc>
        <w:tc>
          <w:tcPr>
            <w:tcW w:w="640" w:type="dxa"/>
            <w:vAlign w:val="bottom"/>
            <w:tcBorders>
              <w:right w:val="single" w:sz="8" w:color="E5E5E5"/>
            </w:tcBorders>
            <w:shd w:val="clear" w:color="auto" w:fill="DBDBDB"/>
          </w:tcPr>
          <w:p>
            <w:pPr>
              <w:ind w:left="120"/>
              <w:spacing w:after="0"/>
              <w:rPr>
                <w:sz w:val="20"/>
                <w:szCs w:val="20"/>
                <w:color w:val="auto"/>
              </w:rPr>
            </w:pPr>
            <w:r>
              <w:rPr>
                <w:rFonts w:ascii="Arial" w:cs="Arial" w:eastAsia="Arial" w:hAnsi="Arial"/>
                <w:sz w:val="16"/>
                <w:szCs w:val="16"/>
                <w:color w:val="auto"/>
              </w:rPr>
              <w:t>2022</w:t>
            </w:r>
          </w:p>
        </w:tc>
        <w:tc>
          <w:tcPr>
            <w:tcW w:w="10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right w:val="single" w:sz="8" w:color="E5E5E5"/>
            </w:tcBorders>
            <w:shd w:val="clear" w:color="auto" w:fill="DBDBDB"/>
          </w:tcPr>
          <w:p>
            <w:pPr>
              <w:jc w:val="right"/>
              <w:spacing w:after="0"/>
              <w:rPr>
                <w:sz w:val="20"/>
                <w:szCs w:val="20"/>
                <w:color w:val="auto"/>
              </w:rPr>
            </w:pPr>
            <w:r>
              <w:rPr>
                <w:rFonts w:ascii="Arial" w:cs="Arial" w:eastAsia="Arial" w:hAnsi="Arial"/>
                <w:sz w:val="16"/>
                <w:szCs w:val="16"/>
                <w:color w:val="auto"/>
              </w:rPr>
              <w:t>1,292,308</w:t>
            </w: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right w:val="single" w:sz="8" w:color="E5E5E5"/>
            </w:tcBorders>
            <w:shd w:val="clear" w:color="auto" w:fill="DBDBDB"/>
          </w:tcPr>
          <w:p>
            <w:pPr>
              <w:ind w:left="500"/>
              <w:spacing w:after="0"/>
              <w:rPr>
                <w:sz w:val="20"/>
                <w:szCs w:val="20"/>
                <w:color w:val="auto"/>
              </w:rPr>
            </w:pPr>
            <w:r>
              <w:rPr>
                <w:rFonts w:ascii="Arial" w:cs="Arial" w:eastAsia="Arial" w:hAnsi="Arial"/>
                <w:sz w:val="16"/>
                <w:szCs w:val="16"/>
                <w:color w:val="auto"/>
              </w:rPr>
              <w:t>—</w:t>
            </w: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right w:val="single" w:sz="8" w:color="E5E5E5"/>
            </w:tcBorders>
            <w:shd w:val="clear" w:color="auto" w:fill="DBDBDB"/>
          </w:tcPr>
          <w:p>
            <w:pPr>
              <w:jc w:val="right"/>
              <w:ind w:right="19"/>
              <w:spacing w:after="0"/>
              <w:rPr>
                <w:sz w:val="20"/>
                <w:szCs w:val="20"/>
                <w:color w:val="auto"/>
              </w:rPr>
            </w:pPr>
            <w:r>
              <w:rPr>
                <w:rFonts w:ascii="Arial" w:cs="Arial" w:eastAsia="Arial" w:hAnsi="Arial"/>
                <w:sz w:val="16"/>
                <w:szCs w:val="16"/>
                <w:color w:val="auto"/>
              </w:rPr>
              <w:t>3,749,834</w:t>
            </w: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right w:val="single" w:sz="8" w:color="E5E5E5"/>
            </w:tcBorders>
            <w:shd w:val="clear" w:color="auto" w:fill="DBDBDB"/>
          </w:tcPr>
          <w:p>
            <w:pPr>
              <w:jc w:val="right"/>
              <w:spacing w:after="0"/>
              <w:rPr>
                <w:sz w:val="20"/>
                <w:szCs w:val="20"/>
                <w:color w:val="auto"/>
              </w:rPr>
            </w:pPr>
            <w:r>
              <w:rPr>
                <w:rFonts w:ascii="Arial" w:cs="Arial" w:eastAsia="Arial" w:hAnsi="Arial"/>
                <w:sz w:val="16"/>
                <w:szCs w:val="16"/>
                <w:color w:val="auto"/>
              </w:rPr>
              <w:t>3,510,000</w:t>
            </w: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right w:val="single" w:sz="8" w:color="E5E5E5"/>
            </w:tcBorders>
            <w:shd w:val="clear" w:color="auto" w:fill="DBDBDB"/>
          </w:tcPr>
          <w:p>
            <w:pPr>
              <w:jc w:val="right"/>
              <w:spacing w:after="0"/>
              <w:rPr>
                <w:sz w:val="20"/>
                <w:szCs w:val="20"/>
                <w:color w:val="auto"/>
              </w:rPr>
            </w:pPr>
            <w:r>
              <w:rPr>
                <w:rFonts w:ascii="Arial" w:cs="Arial" w:eastAsia="Arial" w:hAnsi="Arial"/>
                <w:sz w:val="16"/>
                <w:szCs w:val="16"/>
                <w:color w:val="auto"/>
              </w:rPr>
              <w:t>30,503</w:t>
            </w:r>
          </w:p>
        </w:tc>
        <w:tc>
          <w:tcPr>
            <w:tcW w:w="220" w:type="dxa"/>
            <w:vAlign w:val="bottom"/>
            <w:shd w:val="clear" w:color="auto" w:fill="DBDBDB"/>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tcBorders>
              <w:right w:val="single" w:sz="8" w:color="E5E5E5"/>
            </w:tcBorders>
            <w:shd w:val="clear" w:color="auto" w:fill="DBDBDB"/>
          </w:tcPr>
          <w:p>
            <w:pPr>
              <w:jc w:val="right"/>
              <w:ind w:right="19"/>
              <w:spacing w:after="0"/>
              <w:rPr>
                <w:sz w:val="20"/>
                <w:szCs w:val="20"/>
                <w:color w:val="auto"/>
              </w:rPr>
            </w:pPr>
            <w:r>
              <w:rPr>
                <w:rFonts w:ascii="Arial" w:cs="Arial" w:eastAsia="Arial" w:hAnsi="Arial"/>
                <w:sz w:val="16"/>
                <w:szCs w:val="16"/>
                <w:color w:val="auto"/>
              </w:rPr>
              <w:t>8,582,645</w:t>
            </w:r>
          </w:p>
        </w:tc>
        <w:tc>
          <w:tcPr>
            <w:tcW w:w="0" w:type="dxa"/>
            <w:vAlign w:val="bottom"/>
          </w:tcPr>
          <w:p>
            <w:pPr>
              <w:spacing w:after="0"/>
              <w:rPr>
                <w:sz w:val="1"/>
                <w:szCs w:val="1"/>
                <w:color w:val="auto"/>
              </w:rPr>
            </w:pPr>
          </w:p>
        </w:tc>
      </w:tr>
      <w:tr>
        <w:trPr>
          <w:trHeight w:val="162"/>
        </w:trPr>
        <w:tc>
          <w:tcPr>
            <w:tcW w:w="3120" w:type="dxa"/>
            <w:vAlign w:val="bottom"/>
            <w:tcBorders>
              <w:left w:val="single" w:sz="8" w:color="E5E5E5"/>
              <w:right w:val="single" w:sz="8" w:color="E5E5E5"/>
            </w:tcBorders>
          </w:tcPr>
          <w:p>
            <w:pPr>
              <w:ind w:left="40"/>
              <w:spacing w:after="0" w:line="162" w:lineRule="exact"/>
              <w:rPr>
                <w:sz w:val="20"/>
                <w:szCs w:val="20"/>
                <w:color w:val="auto"/>
              </w:rPr>
            </w:pPr>
            <w:r>
              <w:rPr>
                <w:rFonts w:ascii="Arial" w:cs="Arial" w:eastAsia="Arial" w:hAnsi="Arial"/>
                <w:sz w:val="16"/>
                <w:szCs w:val="16"/>
                <w:color w:val="auto"/>
              </w:rPr>
              <w:t>Michael Welch</w:t>
            </w:r>
          </w:p>
        </w:tc>
        <w:tc>
          <w:tcPr>
            <w:tcW w:w="640" w:type="dxa"/>
            <w:vAlign w:val="bottom"/>
            <w:tcBorders>
              <w:right w:val="single" w:sz="8" w:color="E5E5E5"/>
            </w:tcBorders>
          </w:tcPr>
          <w:p>
            <w:pPr>
              <w:ind w:left="120"/>
              <w:spacing w:after="0" w:line="162" w:lineRule="exact"/>
              <w:rPr>
                <w:sz w:val="20"/>
                <w:szCs w:val="20"/>
                <w:color w:val="auto"/>
              </w:rPr>
            </w:pPr>
            <w:r>
              <w:rPr>
                <w:rFonts w:ascii="Arial" w:cs="Arial" w:eastAsia="Arial" w:hAnsi="Arial"/>
                <w:sz w:val="16"/>
                <w:szCs w:val="16"/>
                <w:color w:val="auto"/>
              </w:rPr>
              <w:t>2024</w:t>
            </w:r>
          </w:p>
        </w:tc>
        <w:tc>
          <w:tcPr>
            <w:tcW w:w="100" w:type="dxa"/>
            <w:vAlign w:val="bottom"/>
          </w:tcPr>
          <w:p>
            <w:pPr>
              <w:jc w:val="right"/>
              <w:spacing w:after="0" w:line="162" w:lineRule="exact"/>
              <w:rPr>
                <w:sz w:val="20"/>
                <w:szCs w:val="20"/>
                <w:color w:val="auto"/>
              </w:rPr>
            </w:pPr>
            <w:r>
              <w:rPr>
                <w:rFonts w:ascii="Arial" w:cs="Arial" w:eastAsia="Arial" w:hAnsi="Arial"/>
                <w:sz w:val="16"/>
                <w:szCs w:val="16"/>
                <w:color w:val="auto"/>
                <w:w w:val="89"/>
              </w:rPr>
              <w:t>$</w:t>
            </w:r>
          </w:p>
        </w:tc>
        <w:tc>
          <w:tcPr>
            <w:tcW w:w="1020" w:type="dxa"/>
            <w:vAlign w:val="bottom"/>
            <w:tcBorders>
              <w:right w:val="single" w:sz="8" w:color="E5E5E5"/>
            </w:tcBorders>
          </w:tcPr>
          <w:p>
            <w:pPr>
              <w:jc w:val="right"/>
              <w:spacing w:after="0" w:line="162" w:lineRule="exact"/>
              <w:rPr>
                <w:sz w:val="20"/>
                <w:szCs w:val="20"/>
                <w:color w:val="auto"/>
              </w:rPr>
            </w:pPr>
            <w:r>
              <w:rPr>
                <w:rFonts w:ascii="Arial" w:cs="Arial" w:eastAsia="Arial" w:hAnsi="Arial"/>
                <w:sz w:val="16"/>
                <w:szCs w:val="16"/>
                <w:color w:val="auto"/>
              </w:rPr>
              <w:t>718,269</w:t>
            </w:r>
          </w:p>
        </w:tc>
        <w:tc>
          <w:tcPr>
            <w:tcW w:w="140" w:type="dxa"/>
            <w:vAlign w:val="bottom"/>
          </w:tcPr>
          <w:p>
            <w:pPr>
              <w:jc w:val="right"/>
              <w:spacing w:after="0" w:line="162" w:lineRule="exact"/>
              <w:rPr>
                <w:sz w:val="20"/>
                <w:szCs w:val="20"/>
                <w:color w:val="auto"/>
              </w:rPr>
            </w:pPr>
            <w:r>
              <w:rPr>
                <w:rFonts w:ascii="Arial" w:cs="Arial" w:eastAsia="Arial" w:hAnsi="Arial"/>
                <w:sz w:val="16"/>
                <w:szCs w:val="16"/>
                <w:color w:val="auto"/>
                <w:w w:val="89"/>
              </w:rPr>
              <w:t>$</w:t>
            </w:r>
          </w:p>
        </w:tc>
        <w:tc>
          <w:tcPr>
            <w:tcW w:w="760" w:type="dxa"/>
            <w:vAlign w:val="bottom"/>
            <w:tcBorders>
              <w:right w:val="single" w:sz="8" w:color="E5E5E5"/>
            </w:tcBorders>
          </w:tcPr>
          <w:p>
            <w:pPr>
              <w:ind w:left="500"/>
              <w:spacing w:after="0" w:line="162" w:lineRule="exact"/>
              <w:rPr>
                <w:sz w:val="20"/>
                <w:szCs w:val="20"/>
                <w:color w:val="auto"/>
              </w:rPr>
            </w:pPr>
            <w:r>
              <w:rPr>
                <w:rFonts w:ascii="Arial" w:cs="Arial" w:eastAsia="Arial" w:hAnsi="Arial"/>
                <w:sz w:val="16"/>
                <w:szCs w:val="16"/>
                <w:color w:val="auto"/>
              </w:rPr>
              <w:t>—</w:t>
            </w:r>
          </w:p>
        </w:tc>
        <w:tc>
          <w:tcPr>
            <w:tcW w:w="160" w:type="dxa"/>
            <w:vAlign w:val="bottom"/>
          </w:tcPr>
          <w:p>
            <w:pPr>
              <w:jc w:val="right"/>
              <w:spacing w:after="0" w:line="162" w:lineRule="exact"/>
              <w:rPr>
                <w:sz w:val="20"/>
                <w:szCs w:val="20"/>
                <w:color w:val="auto"/>
              </w:rPr>
            </w:pPr>
            <w:r>
              <w:rPr>
                <w:rFonts w:ascii="Arial" w:cs="Arial" w:eastAsia="Arial" w:hAnsi="Arial"/>
                <w:sz w:val="16"/>
                <w:szCs w:val="16"/>
                <w:color w:val="auto"/>
                <w:w w:val="89"/>
              </w:rPr>
              <w:t>$</w:t>
            </w:r>
          </w:p>
        </w:tc>
        <w:tc>
          <w:tcPr>
            <w:tcW w:w="1000" w:type="dxa"/>
            <w:vAlign w:val="bottom"/>
            <w:tcBorders>
              <w:right w:val="single" w:sz="8" w:color="E5E5E5"/>
            </w:tcBorders>
          </w:tcPr>
          <w:p>
            <w:pPr>
              <w:jc w:val="right"/>
              <w:ind w:right="19"/>
              <w:spacing w:after="0" w:line="162" w:lineRule="exact"/>
              <w:rPr>
                <w:sz w:val="20"/>
                <w:szCs w:val="20"/>
                <w:color w:val="auto"/>
              </w:rPr>
            </w:pPr>
            <w:r>
              <w:rPr>
                <w:rFonts w:ascii="Arial" w:cs="Arial" w:eastAsia="Arial" w:hAnsi="Arial"/>
                <w:sz w:val="16"/>
                <w:szCs w:val="16"/>
                <w:color w:val="auto"/>
              </w:rPr>
              <w:t>1,000,080</w:t>
            </w:r>
          </w:p>
        </w:tc>
        <w:tc>
          <w:tcPr>
            <w:tcW w:w="160" w:type="dxa"/>
            <w:vAlign w:val="bottom"/>
          </w:tcPr>
          <w:p>
            <w:pPr>
              <w:jc w:val="right"/>
              <w:spacing w:after="0" w:line="162" w:lineRule="exact"/>
              <w:rPr>
                <w:sz w:val="20"/>
                <w:szCs w:val="20"/>
                <w:color w:val="auto"/>
              </w:rPr>
            </w:pPr>
            <w:r>
              <w:rPr>
                <w:rFonts w:ascii="Arial" w:cs="Arial" w:eastAsia="Arial" w:hAnsi="Arial"/>
                <w:sz w:val="16"/>
                <w:szCs w:val="16"/>
                <w:color w:val="auto"/>
                <w:w w:val="89"/>
              </w:rPr>
              <w:t>$</w:t>
            </w:r>
          </w:p>
        </w:tc>
        <w:tc>
          <w:tcPr>
            <w:tcW w:w="1520" w:type="dxa"/>
            <w:vAlign w:val="bottom"/>
            <w:tcBorders>
              <w:right w:val="single" w:sz="8" w:color="E5E5E5"/>
            </w:tcBorders>
          </w:tcPr>
          <w:p>
            <w:pPr>
              <w:jc w:val="right"/>
              <w:spacing w:after="0" w:line="162" w:lineRule="exact"/>
              <w:rPr>
                <w:sz w:val="20"/>
                <w:szCs w:val="20"/>
                <w:color w:val="auto"/>
              </w:rPr>
            </w:pPr>
            <w:r>
              <w:rPr>
                <w:rFonts w:ascii="Arial" w:cs="Arial" w:eastAsia="Arial" w:hAnsi="Arial"/>
                <w:sz w:val="16"/>
                <w:szCs w:val="16"/>
                <w:color w:val="auto"/>
              </w:rPr>
              <w:t>585,438</w:t>
            </w:r>
          </w:p>
        </w:tc>
        <w:tc>
          <w:tcPr>
            <w:tcW w:w="140" w:type="dxa"/>
            <w:vAlign w:val="bottom"/>
          </w:tcPr>
          <w:p>
            <w:pPr>
              <w:jc w:val="right"/>
              <w:spacing w:after="0" w:line="162" w:lineRule="exact"/>
              <w:rPr>
                <w:sz w:val="20"/>
                <w:szCs w:val="20"/>
                <w:color w:val="auto"/>
              </w:rPr>
            </w:pPr>
            <w:r>
              <w:rPr>
                <w:rFonts w:ascii="Arial" w:cs="Arial" w:eastAsia="Arial" w:hAnsi="Arial"/>
                <w:sz w:val="16"/>
                <w:szCs w:val="16"/>
                <w:color w:val="auto"/>
                <w:w w:val="89"/>
              </w:rPr>
              <w:t>$</w:t>
            </w:r>
          </w:p>
        </w:tc>
        <w:tc>
          <w:tcPr>
            <w:tcW w:w="1360" w:type="dxa"/>
            <w:vAlign w:val="bottom"/>
            <w:tcBorders>
              <w:right w:val="single" w:sz="8" w:color="E5E5E5"/>
            </w:tcBorders>
          </w:tcPr>
          <w:p>
            <w:pPr>
              <w:jc w:val="right"/>
              <w:spacing w:after="0" w:line="162" w:lineRule="exact"/>
              <w:rPr>
                <w:sz w:val="20"/>
                <w:szCs w:val="20"/>
                <w:color w:val="auto"/>
              </w:rPr>
            </w:pPr>
            <w:r>
              <w:rPr>
                <w:rFonts w:ascii="Arial" w:cs="Arial" w:eastAsia="Arial" w:hAnsi="Arial"/>
                <w:sz w:val="16"/>
                <w:szCs w:val="16"/>
                <w:color w:val="auto"/>
              </w:rPr>
              <w:t>23,990</w:t>
            </w:r>
          </w:p>
        </w:tc>
        <w:tc>
          <w:tcPr>
            <w:tcW w:w="220" w:type="dxa"/>
            <w:vAlign w:val="bottom"/>
          </w:tcPr>
          <w:p>
            <w:pPr>
              <w:jc w:val="right"/>
              <w:ind w:right="39"/>
              <w:spacing w:after="0" w:line="162" w:lineRule="exact"/>
              <w:rPr>
                <w:sz w:val="20"/>
                <w:szCs w:val="20"/>
                <w:color w:val="auto"/>
              </w:rPr>
            </w:pPr>
            <w:r>
              <w:rPr>
                <w:rFonts w:ascii="Arial" w:cs="Arial" w:eastAsia="Arial" w:hAnsi="Arial"/>
                <w:sz w:val="16"/>
                <w:szCs w:val="16"/>
                <w:color w:val="auto"/>
                <w:w w:val="89"/>
              </w:rPr>
              <w:t>$</w:t>
            </w:r>
          </w:p>
        </w:tc>
        <w:tc>
          <w:tcPr>
            <w:tcW w:w="920" w:type="dxa"/>
            <w:vAlign w:val="bottom"/>
            <w:tcBorders>
              <w:right w:val="single" w:sz="8" w:color="E5E5E5"/>
            </w:tcBorders>
          </w:tcPr>
          <w:p>
            <w:pPr>
              <w:jc w:val="right"/>
              <w:ind w:right="19"/>
              <w:spacing w:after="0" w:line="162" w:lineRule="exact"/>
              <w:rPr>
                <w:sz w:val="20"/>
                <w:szCs w:val="20"/>
                <w:color w:val="auto"/>
              </w:rPr>
            </w:pPr>
            <w:r>
              <w:rPr>
                <w:rFonts w:ascii="Arial" w:cs="Arial" w:eastAsia="Arial" w:hAnsi="Arial"/>
                <w:sz w:val="16"/>
                <w:szCs w:val="16"/>
                <w:color w:val="auto"/>
              </w:rPr>
              <w:t>2,327,777</w:t>
            </w:r>
          </w:p>
        </w:tc>
        <w:tc>
          <w:tcPr>
            <w:tcW w:w="0" w:type="dxa"/>
            <w:vAlign w:val="bottom"/>
          </w:tcPr>
          <w:p>
            <w:pPr>
              <w:spacing w:after="0"/>
              <w:rPr>
                <w:sz w:val="1"/>
                <w:szCs w:val="1"/>
                <w:color w:val="auto"/>
              </w:rPr>
            </w:pPr>
          </w:p>
        </w:tc>
      </w:tr>
      <w:tr>
        <w:trPr>
          <w:trHeight w:val="95"/>
        </w:trPr>
        <w:tc>
          <w:tcPr>
            <w:tcW w:w="3120" w:type="dxa"/>
            <w:vAlign w:val="bottom"/>
            <w:tcBorders>
              <w:left w:val="single" w:sz="8" w:color="E5E5E5"/>
              <w:right w:val="single" w:sz="8" w:color="E5E5E5"/>
            </w:tcBorders>
            <w:vMerge w:val="restart"/>
          </w:tcPr>
          <w:p>
            <w:pPr>
              <w:ind w:left="120"/>
              <w:spacing w:after="0" w:line="162" w:lineRule="exact"/>
              <w:rPr>
                <w:sz w:val="20"/>
                <w:szCs w:val="20"/>
                <w:color w:val="auto"/>
              </w:rPr>
            </w:pPr>
            <w:r>
              <w:rPr>
                <w:rFonts w:ascii="Arial" w:cs="Arial" w:eastAsia="Arial" w:hAnsi="Arial"/>
                <w:sz w:val="16"/>
                <w:szCs w:val="16"/>
                <w:color w:val="auto"/>
              </w:rPr>
              <w:t>Senior Vice President &amp; Chief</w:t>
            </w:r>
          </w:p>
        </w:tc>
        <w:tc>
          <w:tcPr>
            <w:tcW w:w="640" w:type="dxa"/>
            <w:vAlign w:val="bottom"/>
            <w:tcBorders>
              <w:bottom w:val="single" w:sz="8" w:color="E5E5E5"/>
              <w:right w:val="single" w:sz="8" w:color="E5E5E5"/>
            </w:tcBorders>
          </w:tcPr>
          <w:p>
            <w:pPr>
              <w:spacing w:after="0"/>
              <w:rPr>
                <w:sz w:val="8"/>
                <w:szCs w:val="8"/>
                <w:color w:val="auto"/>
              </w:rPr>
            </w:pPr>
          </w:p>
        </w:tc>
        <w:tc>
          <w:tcPr>
            <w:tcW w:w="100" w:type="dxa"/>
            <w:vAlign w:val="bottom"/>
            <w:tcBorders>
              <w:bottom w:val="single" w:sz="8" w:color="E5E5E5"/>
            </w:tcBorders>
          </w:tcPr>
          <w:p>
            <w:pPr>
              <w:spacing w:after="0"/>
              <w:rPr>
                <w:sz w:val="8"/>
                <w:szCs w:val="8"/>
                <w:color w:val="auto"/>
              </w:rPr>
            </w:pPr>
          </w:p>
        </w:tc>
        <w:tc>
          <w:tcPr>
            <w:tcW w:w="1020" w:type="dxa"/>
            <w:vAlign w:val="bottom"/>
            <w:tcBorders>
              <w:bottom w:val="single" w:sz="8" w:color="E5E5E5"/>
              <w:right w:val="single" w:sz="8" w:color="E5E5E5"/>
            </w:tcBorders>
          </w:tcPr>
          <w:p>
            <w:pPr>
              <w:spacing w:after="0"/>
              <w:rPr>
                <w:sz w:val="8"/>
                <w:szCs w:val="8"/>
                <w:color w:val="auto"/>
              </w:rPr>
            </w:pPr>
          </w:p>
        </w:tc>
        <w:tc>
          <w:tcPr>
            <w:tcW w:w="140" w:type="dxa"/>
            <w:vAlign w:val="bottom"/>
            <w:tcBorders>
              <w:bottom w:val="single" w:sz="8" w:color="E5E5E5"/>
            </w:tcBorders>
          </w:tcPr>
          <w:p>
            <w:pPr>
              <w:spacing w:after="0"/>
              <w:rPr>
                <w:sz w:val="8"/>
                <w:szCs w:val="8"/>
                <w:color w:val="auto"/>
              </w:rPr>
            </w:pPr>
          </w:p>
        </w:tc>
        <w:tc>
          <w:tcPr>
            <w:tcW w:w="760" w:type="dxa"/>
            <w:vAlign w:val="bottom"/>
            <w:tcBorders>
              <w:bottom w:val="single" w:sz="8" w:color="E5E5E5"/>
              <w:right w:val="single" w:sz="8" w:color="E5E5E5"/>
            </w:tcBorders>
          </w:tcPr>
          <w:p>
            <w:pPr>
              <w:spacing w:after="0"/>
              <w:rPr>
                <w:sz w:val="8"/>
                <w:szCs w:val="8"/>
                <w:color w:val="auto"/>
              </w:rPr>
            </w:pPr>
          </w:p>
        </w:tc>
        <w:tc>
          <w:tcPr>
            <w:tcW w:w="160" w:type="dxa"/>
            <w:vAlign w:val="bottom"/>
            <w:tcBorders>
              <w:bottom w:val="single" w:sz="8" w:color="E5E5E5"/>
            </w:tcBorders>
          </w:tcPr>
          <w:p>
            <w:pPr>
              <w:spacing w:after="0"/>
              <w:rPr>
                <w:sz w:val="8"/>
                <w:szCs w:val="8"/>
                <w:color w:val="auto"/>
              </w:rPr>
            </w:pPr>
          </w:p>
        </w:tc>
        <w:tc>
          <w:tcPr>
            <w:tcW w:w="1000" w:type="dxa"/>
            <w:vAlign w:val="bottom"/>
            <w:tcBorders>
              <w:bottom w:val="single" w:sz="8" w:color="E5E5E5"/>
              <w:right w:val="single" w:sz="8" w:color="E5E5E5"/>
            </w:tcBorders>
          </w:tcPr>
          <w:p>
            <w:pPr>
              <w:spacing w:after="0"/>
              <w:rPr>
                <w:sz w:val="8"/>
                <w:szCs w:val="8"/>
                <w:color w:val="auto"/>
              </w:rPr>
            </w:pPr>
          </w:p>
        </w:tc>
        <w:tc>
          <w:tcPr>
            <w:tcW w:w="160" w:type="dxa"/>
            <w:vAlign w:val="bottom"/>
            <w:tcBorders>
              <w:bottom w:val="single" w:sz="8" w:color="E5E5E5"/>
            </w:tcBorders>
          </w:tcPr>
          <w:p>
            <w:pPr>
              <w:spacing w:after="0"/>
              <w:rPr>
                <w:sz w:val="8"/>
                <w:szCs w:val="8"/>
                <w:color w:val="auto"/>
              </w:rPr>
            </w:pPr>
          </w:p>
        </w:tc>
        <w:tc>
          <w:tcPr>
            <w:tcW w:w="1520" w:type="dxa"/>
            <w:vAlign w:val="bottom"/>
            <w:tcBorders>
              <w:bottom w:val="single" w:sz="8" w:color="E5E5E5"/>
              <w:right w:val="single" w:sz="8" w:color="E5E5E5"/>
            </w:tcBorders>
          </w:tcPr>
          <w:p>
            <w:pPr>
              <w:spacing w:after="0"/>
              <w:rPr>
                <w:sz w:val="8"/>
                <w:szCs w:val="8"/>
                <w:color w:val="auto"/>
              </w:rPr>
            </w:pPr>
          </w:p>
        </w:tc>
        <w:tc>
          <w:tcPr>
            <w:tcW w:w="140" w:type="dxa"/>
            <w:vAlign w:val="bottom"/>
            <w:tcBorders>
              <w:bottom w:val="single" w:sz="8" w:color="E5E5E5"/>
            </w:tcBorders>
          </w:tcPr>
          <w:p>
            <w:pPr>
              <w:spacing w:after="0"/>
              <w:rPr>
                <w:sz w:val="8"/>
                <w:szCs w:val="8"/>
                <w:color w:val="auto"/>
              </w:rPr>
            </w:pPr>
          </w:p>
        </w:tc>
        <w:tc>
          <w:tcPr>
            <w:tcW w:w="1360" w:type="dxa"/>
            <w:vAlign w:val="bottom"/>
            <w:tcBorders>
              <w:bottom w:val="single" w:sz="8" w:color="E5E5E5"/>
              <w:right w:val="single" w:sz="8" w:color="E5E5E5"/>
            </w:tcBorders>
          </w:tcPr>
          <w:p>
            <w:pPr>
              <w:spacing w:after="0"/>
              <w:rPr>
                <w:sz w:val="8"/>
                <w:szCs w:val="8"/>
                <w:color w:val="auto"/>
              </w:rPr>
            </w:pPr>
          </w:p>
        </w:tc>
        <w:tc>
          <w:tcPr>
            <w:tcW w:w="220" w:type="dxa"/>
            <w:vAlign w:val="bottom"/>
            <w:tcBorders>
              <w:bottom w:val="single" w:sz="8" w:color="E5E5E5"/>
            </w:tcBorders>
          </w:tcPr>
          <w:p>
            <w:pPr>
              <w:spacing w:after="0"/>
              <w:rPr>
                <w:sz w:val="8"/>
                <w:szCs w:val="8"/>
                <w:color w:val="auto"/>
              </w:rPr>
            </w:pPr>
          </w:p>
        </w:tc>
        <w:tc>
          <w:tcPr>
            <w:tcW w:w="920" w:type="dxa"/>
            <w:vAlign w:val="bottom"/>
            <w:tcBorders>
              <w:bottom w:val="single" w:sz="8" w:color="E5E5E5"/>
              <w:right w:val="single" w:sz="8" w:color="E5E5E5"/>
            </w:tcBorders>
          </w:tcPr>
          <w:p>
            <w:pPr>
              <w:spacing w:after="0"/>
              <w:rPr>
                <w:sz w:val="8"/>
                <w:szCs w:val="8"/>
                <w:color w:val="auto"/>
              </w:rPr>
            </w:pPr>
          </w:p>
        </w:tc>
        <w:tc>
          <w:tcPr>
            <w:tcW w:w="0" w:type="dxa"/>
            <w:vAlign w:val="bottom"/>
          </w:tcPr>
          <w:p>
            <w:pPr>
              <w:spacing w:after="0"/>
              <w:rPr>
                <w:sz w:val="1"/>
                <w:szCs w:val="1"/>
                <w:color w:val="auto"/>
              </w:rPr>
            </w:pPr>
          </w:p>
        </w:tc>
      </w:tr>
      <w:tr>
        <w:trPr>
          <w:trHeight w:val="48"/>
        </w:trPr>
        <w:tc>
          <w:tcPr>
            <w:tcW w:w="3120" w:type="dxa"/>
            <w:vAlign w:val="bottom"/>
            <w:tcBorders>
              <w:left w:val="single" w:sz="8" w:color="E5E5E5"/>
              <w:right w:val="single" w:sz="8" w:color="E5E5E5"/>
            </w:tcBorders>
            <w:vMerge w:val="continue"/>
          </w:tcPr>
          <w:p>
            <w:pPr>
              <w:spacing w:after="0"/>
              <w:rPr>
                <w:sz w:val="4"/>
                <w:szCs w:val="4"/>
                <w:color w:val="auto"/>
              </w:rPr>
            </w:pPr>
          </w:p>
        </w:tc>
        <w:tc>
          <w:tcPr>
            <w:tcW w:w="640" w:type="dxa"/>
            <w:vAlign w:val="bottom"/>
            <w:tcBorders>
              <w:right w:val="single" w:sz="8" w:color="E5E5E5"/>
            </w:tcBorders>
            <w:vMerge w:val="restart"/>
          </w:tcPr>
          <w:p>
            <w:pPr>
              <w:ind w:left="120"/>
              <w:spacing w:after="0"/>
              <w:rPr>
                <w:sz w:val="20"/>
                <w:szCs w:val="20"/>
                <w:color w:val="auto"/>
              </w:rPr>
            </w:pPr>
            <w:r>
              <w:rPr>
                <w:rFonts w:ascii="Arial" w:cs="Arial" w:eastAsia="Arial" w:hAnsi="Arial"/>
                <w:sz w:val="16"/>
                <w:szCs w:val="16"/>
                <w:color w:val="auto"/>
              </w:rPr>
              <w:t>2023</w:t>
            </w: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right w:val="single" w:sz="8" w:color="E5E5E5"/>
            </w:tcBorders>
            <w:vMerge w:val="restart"/>
          </w:tcPr>
          <w:p>
            <w:pPr>
              <w:jc w:val="right"/>
              <w:spacing w:after="0"/>
              <w:rPr>
                <w:sz w:val="20"/>
                <w:szCs w:val="20"/>
                <w:color w:val="auto"/>
              </w:rPr>
            </w:pPr>
            <w:r>
              <w:rPr>
                <w:rFonts w:ascii="Arial" w:cs="Arial" w:eastAsia="Arial" w:hAnsi="Arial"/>
                <w:sz w:val="16"/>
                <w:szCs w:val="16"/>
                <w:color w:val="auto"/>
              </w:rPr>
              <w:t>669,231</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right w:val="single" w:sz="8" w:color="E5E5E5"/>
            </w:tcBorders>
            <w:vMerge w:val="restart"/>
          </w:tcPr>
          <w:p>
            <w:pPr>
              <w:ind w:left="500"/>
              <w:spacing w:after="0"/>
              <w:rPr>
                <w:sz w:val="20"/>
                <w:szCs w:val="20"/>
                <w:color w:val="auto"/>
              </w:rPr>
            </w:pPr>
            <w:r>
              <w:rPr>
                <w:rFonts w:ascii="Arial" w:cs="Arial" w:eastAsia="Arial" w:hAnsi="Arial"/>
                <w:sz w:val="16"/>
                <w:szCs w:val="16"/>
                <w:color w:val="auto"/>
              </w:rPr>
              <w:t>—</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right w:val="single" w:sz="8" w:color="E5E5E5"/>
            </w:tcBorders>
            <w:vMerge w:val="restart"/>
          </w:tcPr>
          <w:p>
            <w:pPr>
              <w:jc w:val="right"/>
              <w:ind w:right="19"/>
              <w:spacing w:after="0"/>
              <w:rPr>
                <w:sz w:val="20"/>
                <w:szCs w:val="20"/>
                <w:color w:val="auto"/>
              </w:rPr>
            </w:pPr>
            <w:r>
              <w:rPr>
                <w:rFonts w:ascii="Arial" w:cs="Arial" w:eastAsia="Arial" w:hAnsi="Arial"/>
                <w:sz w:val="16"/>
                <w:szCs w:val="16"/>
                <w:color w:val="auto"/>
              </w:rPr>
              <w:t>800,067</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right w:val="single" w:sz="8" w:color="E5E5E5"/>
            </w:tcBorders>
            <w:vMerge w:val="restart"/>
          </w:tcPr>
          <w:p>
            <w:pPr>
              <w:jc w:val="right"/>
              <w:spacing w:after="0"/>
              <w:rPr>
                <w:sz w:val="20"/>
                <w:szCs w:val="20"/>
                <w:color w:val="auto"/>
              </w:rPr>
            </w:pPr>
            <w:r>
              <w:rPr>
                <w:rFonts w:ascii="Arial" w:cs="Arial" w:eastAsia="Arial" w:hAnsi="Arial"/>
                <w:sz w:val="16"/>
                <w:szCs w:val="16"/>
                <w:color w:val="auto"/>
              </w:rPr>
              <w:t>590,963</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right w:val="single" w:sz="8" w:color="E5E5E5"/>
            </w:tcBorders>
            <w:vMerge w:val="restart"/>
          </w:tcPr>
          <w:p>
            <w:pPr>
              <w:jc w:val="right"/>
              <w:spacing w:after="0"/>
              <w:rPr>
                <w:sz w:val="20"/>
                <w:szCs w:val="20"/>
                <w:color w:val="auto"/>
              </w:rPr>
            </w:pPr>
            <w:r>
              <w:rPr>
                <w:rFonts w:ascii="Arial" w:cs="Arial" w:eastAsia="Arial" w:hAnsi="Arial"/>
                <w:sz w:val="16"/>
                <w:szCs w:val="16"/>
                <w:color w:val="auto"/>
              </w:rPr>
              <w:t>20,150</w:t>
            </w: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tcBorders>
              <w:right w:val="single" w:sz="8" w:color="E5E5E5"/>
            </w:tcBorders>
            <w:vMerge w:val="restart"/>
          </w:tcPr>
          <w:p>
            <w:pPr>
              <w:jc w:val="right"/>
              <w:ind w:right="19"/>
              <w:spacing w:after="0"/>
              <w:rPr>
                <w:sz w:val="20"/>
                <w:szCs w:val="20"/>
                <w:color w:val="auto"/>
              </w:rPr>
            </w:pPr>
            <w:r>
              <w:rPr>
                <w:rFonts w:ascii="Arial" w:cs="Arial" w:eastAsia="Arial" w:hAnsi="Arial"/>
                <w:sz w:val="16"/>
                <w:szCs w:val="16"/>
                <w:color w:val="auto"/>
              </w:rPr>
              <w:t>2,080,411</w:t>
            </w:r>
          </w:p>
        </w:tc>
        <w:tc>
          <w:tcPr>
            <w:tcW w:w="0" w:type="dxa"/>
            <w:vAlign w:val="bottom"/>
          </w:tcPr>
          <w:p>
            <w:pPr>
              <w:spacing w:after="0"/>
              <w:rPr>
                <w:sz w:val="1"/>
                <w:szCs w:val="1"/>
                <w:color w:val="auto"/>
              </w:rPr>
            </w:pPr>
          </w:p>
        </w:tc>
      </w:tr>
      <w:tr>
        <w:trPr>
          <w:trHeight w:val="208"/>
        </w:trPr>
        <w:tc>
          <w:tcPr>
            <w:tcW w:w="3120" w:type="dxa"/>
            <w:vAlign w:val="bottom"/>
            <w:tcBorders>
              <w:left w:val="single" w:sz="8" w:color="E5E5E5"/>
              <w:right w:val="single" w:sz="8" w:color="E5E5E5"/>
            </w:tcBorders>
          </w:tcPr>
          <w:p>
            <w:pPr>
              <w:ind w:left="120"/>
              <w:spacing w:after="0" w:line="203" w:lineRule="exact"/>
              <w:rPr>
                <w:sz w:val="20"/>
                <w:szCs w:val="20"/>
                <w:color w:val="auto"/>
              </w:rPr>
            </w:pPr>
            <w:r>
              <w:rPr>
                <w:rFonts w:ascii="Arial" w:cs="Arial" w:eastAsia="Arial" w:hAnsi="Arial"/>
                <w:sz w:val="16"/>
                <w:szCs w:val="16"/>
                <w:color w:val="auto"/>
              </w:rPr>
              <w:t>Financial Officer</w:t>
            </w:r>
            <w:r>
              <w:rPr>
                <w:rFonts w:ascii="Arial" w:cs="Arial" w:eastAsia="Arial" w:hAnsi="Arial"/>
                <w:sz w:val="21"/>
                <w:szCs w:val="21"/>
                <w:color w:val="auto"/>
                <w:vertAlign w:val="superscript"/>
              </w:rPr>
              <w:t>(4)</w:t>
            </w:r>
          </w:p>
        </w:tc>
        <w:tc>
          <w:tcPr>
            <w:tcW w:w="640" w:type="dxa"/>
            <w:vAlign w:val="bottom"/>
            <w:tcBorders>
              <w:bottom w:val="single" w:sz="8" w:color="E5E5E5"/>
              <w:right w:val="single" w:sz="8" w:color="E5E5E5"/>
            </w:tcBorders>
            <w:vMerge w:val="continue"/>
          </w:tcPr>
          <w:p>
            <w:pPr>
              <w:spacing w:after="0"/>
              <w:rPr>
                <w:sz w:val="17"/>
                <w:szCs w:val="17"/>
                <w:color w:val="auto"/>
              </w:rPr>
            </w:pPr>
          </w:p>
        </w:tc>
        <w:tc>
          <w:tcPr>
            <w:tcW w:w="100" w:type="dxa"/>
            <w:vAlign w:val="bottom"/>
            <w:tcBorders>
              <w:bottom w:val="single" w:sz="8" w:color="E5E5E5"/>
            </w:tcBorders>
            <w:vMerge w:val="continue"/>
          </w:tcPr>
          <w:p>
            <w:pPr>
              <w:spacing w:after="0"/>
              <w:rPr>
                <w:sz w:val="17"/>
                <w:szCs w:val="17"/>
                <w:color w:val="auto"/>
              </w:rPr>
            </w:pPr>
          </w:p>
        </w:tc>
        <w:tc>
          <w:tcPr>
            <w:tcW w:w="1020" w:type="dxa"/>
            <w:vAlign w:val="bottom"/>
            <w:tcBorders>
              <w:bottom w:val="single" w:sz="8" w:color="E5E5E5"/>
              <w:right w:val="single" w:sz="8" w:color="E5E5E5"/>
            </w:tcBorders>
            <w:vMerge w:val="continue"/>
          </w:tcPr>
          <w:p>
            <w:pPr>
              <w:spacing w:after="0"/>
              <w:rPr>
                <w:sz w:val="17"/>
                <w:szCs w:val="17"/>
                <w:color w:val="auto"/>
              </w:rPr>
            </w:pPr>
          </w:p>
        </w:tc>
        <w:tc>
          <w:tcPr>
            <w:tcW w:w="140" w:type="dxa"/>
            <w:vAlign w:val="bottom"/>
            <w:tcBorders>
              <w:bottom w:val="single" w:sz="8" w:color="E5E5E5"/>
            </w:tcBorders>
            <w:vMerge w:val="continue"/>
          </w:tcPr>
          <w:p>
            <w:pPr>
              <w:spacing w:after="0"/>
              <w:rPr>
                <w:sz w:val="17"/>
                <w:szCs w:val="17"/>
                <w:color w:val="auto"/>
              </w:rPr>
            </w:pPr>
          </w:p>
        </w:tc>
        <w:tc>
          <w:tcPr>
            <w:tcW w:w="760" w:type="dxa"/>
            <w:vAlign w:val="bottom"/>
            <w:tcBorders>
              <w:bottom w:val="single" w:sz="8" w:color="E5E5E5"/>
              <w:right w:val="single" w:sz="8" w:color="E5E5E5"/>
            </w:tcBorders>
            <w:vMerge w:val="continue"/>
          </w:tcPr>
          <w:p>
            <w:pPr>
              <w:spacing w:after="0"/>
              <w:rPr>
                <w:sz w:val="17"/>
                <w:szCs w:val="17"/>
                <w:color w:val="auto"/>
              </w:rPr>
            </w:pPr>
          </w:p>
        </w:tc>
        <w:tc>
          <w:tcPr>
            <w:tcW w:w="160" w:type="dxa"/>
            <w:vAlign w:val="bottom"/>
            <w:tcBorders>
              <w:bottom w:val="single" w:sz="8" w:color="E5E5E5"/>
            </w:tcBorders>
            <w:vMerge w:val="continue"/>
          </w:tcPr>
          <w:p>
            <w:pPr>
              <w:spacing w:after="0"/>
              <w:rPr>
                <w:sz w:val="17"/>
                <w:szCs w:val="17"/>
                <w:color w:val="auto"/>
              </w:rPr>
            </w:pPr>
          </w:p>
        </w:tc>
        <w:tc>
          <w:tcPr>
            <w:tcW w:w="1000" w:type="dxa"/>
            <w:vAlign w:val="bottom"/>
            <w:tcBorders>
              <w:bottom w:val="single" w:sz="8" w:color="E5E5E5"/>
              <w:right w:val="single" w:sz="8" w:color="E5E5E5"/>
            </w:tcBorders>
            <w:vMerge w:val="continue"/>
          </w:tcPr>
          <w:p>
            <w:pPr>
              <w:spacing w:after="0"/>
              <w:rPr>
                <w:sz w:val="17"/>
                <w:szCs w:val="17"/>
                <w:color w:val="auto"/>
              </w:rPr>
            </w:pPr>
          </w:p>
        </w:tc>
        <w:tc>
          <w:tcPr>
            <w:tcW w:w="160" w:type="dxa"/>
            <w:vAlign w:val="bottom"/>
            <w:tcBorders>
              <w:bottom w:val="single" w:sz="8" w:color="E5E5E5"/>
            </w:tcBorders>
            <w:vMerge w:val="continue"/>
          </w:tcPr>
          <w:p>
            <w:pPr>
              <w:spacing w:after="0"/>
              <w:rPr>
                <w:sz w:val="17"/>
                <w:szCs w:val="17"/>
                <w:color w:val="auto"/>
              </w:rPr>
            </w:pPr>
          </w:p>
        </w:tc>
        <w:tc>
          <w:tcPr>
            <w:tcW w:w="1520" w:type="dxa"/>
            <w:vAlign w:val="bottom"/>
            <w:tcBorders>
              <w:bottom w:val="single" w:sz="8" w:color="E5E5E5"/>
              <w:right w:val="single" w:sz="8" w:color="E5E5E5"/>
            </w:tcBorders>
            <w:vMerge w:val="continue"/>
          </w:tcPr>
          <w:p>
            <w:pPr>
              <w:spacing w:after="0"/>
              <w:rPr>
                <w:sz w:val="17"/>
                <w:szCs w:val="17"/>
                <w:color w:val="auto"/>
              </w:rPr>
            </w:pPr>
          </w:p>
        </w:tc>
        <w:tc>
          <w:tcPr>
            <w:tcW w:w="140" w:type="dxa"/>
            <w:vAlign w:val="bottom"/>
            <w:tcBorders>
              <w:bottom w:val="single" w:sz="8" w:color="E5E5E5"/>
            </w:tcBorders>
            <w:vMerge w:val="continue"/>
          </w:tcPr>
          <w:p>
            <w:pPr>
              <w:spacing w:after="0"/>
              <w:rPr>
                <w:sz w:val="17"/>
                <w:szCs w:val="17"/>
                <w:color w:val="auto"/>
              </w:rPr>
            </w:pPr>
          </w:p>
        </w:tc>
        <w:tc>
          <w:tcPr>
            <w:tcW w:w="1360" w:type="dxa"/>
            <w:vAlign w:val="bottom"/>
            <w:tcBorders>
              <w:bottom w:val="single" w:sz="8" w:color="E5E5E5"/>
              <w:right w:val="single" w:sz="8" w:color="E5E5E5"/>
            </w:tcBorders>
            <w:vMerge w:val="continue"/>
          </w:tcPr>
          <w:p>
            <w:pPr>
              <w:spacing w:after="0"/>
              <w:rPr>
                <w:sz w:val="17"/>
                <w:szCs w:val="17"/>
                <w:color w:val="auto"/>
              </w:rPr>
            </w:pPr>
          </w:p>
        </w:tc>
        <w:tc>
          <w:tcPr>
            <w:tcW w:w="220" w:type="dxa"/>
            <w:vAlign w:val="bottom"/>
            <w:tcBorders>
              <w:bottom w:val="single" w:sz="8" w:color="E5E5E5"/>
            </w:tcBorders>
            <w:vMerge w:val="continue"/>
          </w:tcPr>
          <w:p>
            <w:pPr>
              <w:spacing w:after="0"/>
              <w:rPr>
                <w:sz w:val="17"/>
                <w:szCs w:val="17"/>
                <w:color w:val="auto"/>
              </w:rPr>
            </w:pPr>
          </w:p>
        </w:tc>
        <w:tc>
          <w:tcPr>
            <w:tcW w:w="920" w:type="dxa"/>
            <w:vAlign w:val="bottom"/>
            <w:tcBorders>
              <w:bottom w:val="single" w:sz="8" w:color="E5E5E5"/>
              <w:right w:val="single" w:sz="8" w:color="E5E5E5"/>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120" w:type="dxa"/>
            <w:vAlign w:val="bottom"/>
            <w:tcBorders>
              <w:left w:val="single" w:sz="8" w:color="E5E5E5"/>
              <w:right w:val="single" w:sz="8" w:color="E5E5E5"/>
            </w:tcBorders>
          </w:tcPr>
          <w:p>
            <w:pPr>
              <w:spacing w:after="0"/>
              <w:rPr>
                <w:sz w:val="18"/>
                <w:szCs w:val="18"/>
                <w:color w:val="auto"/>
              </w:rPr>
            </w:pPr>
          </w:p>
        </w:tc>
        <w:tc>
          <w:tcPr>
            <w:tcW w:w="640" w:type="dxa"/>
            <w:vAlign w:val="bottom"/>
            <w:tcBorders>
              <w:right w:val="single" w:sz="8" w:color="E5E5E5"/>
            </w:tcBorders>
          </w:tcPr>
          <w:p>
            <w:pPr>
              <w:ind w:left="120"/>
              <w:spacing w:after="0"/>
              <w:rPr>
                <w:sz w:val="20"/>
                <w:szCs w:val="20"/>
                <w:color w:val="auto"/>
              </w:rPr>
            </w:pPr>
            <w:r>
              <w:rPr>
                <w:rFonts w:ascii="Arial" w:cs="Arial" w:eastAsia="Arial" w:hAnsi="Arial"/>
                <w:sz w:val="16"/>
                <w:szCs w:val="16"/>
                <w:color w:val="auto"/>
              </w:rPr>
              <w:t>2022</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right w:val="single" w:sz="8" w:color="E5E5E5"/>
            </w:tcBorders>
          </w:tcPr>
          <w:p>
            <w:pPr>
              <w:jc w:val="right"/>
              <w:spacing w:after="0"/>
              <w:rPr>
                <w:sz w:val="20"/>
                <w:szCs w:val="20"/>
                <w:color w:val="auto"/>
              </w:rPr>
            </w:pPr>
            <w:r>
              <w:rPr>
                <w:rFonts w:ascii="Arial" w:cs="Arial" w:eastAsia="Arial" w:hAnsi="Arial"/>
                <w:sz w:val="16"/>
                <w:szCs w:val="16"/>
                <w:color w:val="auto"/>
              </w:rPr>
              <w:t>619,231</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right w:val="single" w:sz="8" w:color="E5E5E5"/>
            </w:tcBorders>
          </w:tcPr>
          <w:p>
            <w:pPr>
              <w:ind w:left="50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right w:val="single" w:sz="8" w:color="E5E5E5"/>
            </w:tcBorders>
          </w:tcPr>
          <w:p>
            <w:pPr>
              <w:jc w:val="right"/>
              <w:ind w:right="19"/>
              <w:spacing w:after="0"/>
              <w:rPr>
                <w:sz w:val="20"/>
                <w:szCs w:val="20"/>
                <w:color w:val="auto"/>
              </w:rPr>
            </w:pPr>
            <w:r>
              <w:rPr>
                <w:rFonts w:ascii="Arial" w:cs="Arial" w:eastAsia="Arial" w:hAnsi="Arial"/>
                <w:sz w:val="16"/>
                <w:szCs w:val="16"/>
                <w:color w:val="auto"/>
              </w:rPr>
              <w:t>749,819</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right w:val="single" w:sz="8" w:color="E5E5E5"/>
            </w:tcBorders>
          </w:tcPr>
          <w:p>
            <w:pPr>
              <w:jc w:val="right"/>
              <w:spacing w:after="0"/>
              <w:rPr>
                <w:sz w:val="20"/>
                <w:szCs w:val="20"/>
                <w:color w:val="auto"/>
              </w:rPr>
            </w:pPr>
            <w:r>
              <w:rPr>
                <w:rFonts w:ascii="Arial" w:cs="Arial" w:eastAsia="Arial" w:hAnsi="Arial"/>
                <w:sz w:val="16"/>
                <w:szCs w:val="16"/>
                <w:color w:val="auto"/>
              </w:rPr>
              <w:t>1,062,500</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right w:val="single" w:sz="8" w:color="E5E5E5"/>
            </w:tcBorders>
          </w:tcPr>
          <w:p>
            <w:pPr>
              <w:jc w:val="right"/>
              <w:spacing w:after="0"/>
              <w:rPr>
                <w:sz w:val="20"/>
                <w:szCs w:val="20"/>
                <w:color w:val="auto"/>
              </w:rPr>
            </w:pPr>
            <w:r>
              <w:rPr>
                <w:rFonts w:ascii="Arial" w:cs="Arial" w:eastAsia="Arial" w:hAnsi="Arial"/>
                <w:sz w:val="16"/>
                <w:szCs w:val="16"/>
                <w:color w:val="auto"/>
              </w:rPr>
              <w:t>8,673</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tcBorders>
              <w:right w:val="single" w:sz="8" w:color="E5E5E5"/>
            </w:tcBorders>
          </w:tcPr>
          <w:p>
            <w:pPr>
              <w:jc w:val="right"/>
              <w:ind w:right="19"/>
              <w:spacing w:after="0"/>
              <w:rPr>
                <w:sz w:val="20"/>
                <w:szCs w:val="20"/>
                <w:color w:val="auto"/>
              </w:rPr>
            </w:pPr>
            <w:r>
              <w:rPr>
                <w:rFonts w:ascii="Arial" w:cs="Arial" w:eastAsia="Arial" w:hAnsi="Arial"/>
                <w:sz w:val="16"/>
                <w:szCs w:val="16"/>
                <w:color w:val="auto"/>
              </w:rPr>
              <w:t>2,440,223</w:t>
            </w:r>
          </w:p>
        </w:tc>
        <w:tc>
          <w:tcPr>
            <w:tcW w:w="0" w:type="dxa"/>
            <w:vAlign w:val="bottom"/>
          </w:tcPr>
          <w:p>
            <w:pPr>
              <w:spacing w:after="0"/>
              <w:rPr>
                <w:sz w:val="1"/>
                <w:szCs w:val="1"/>
                <w:color w:val="auto"/>
              </w:rPr>
            </w:pPr>
          </w:p>
        </w:tc>
      </w:tr>
      <w:tr>
        <w:trPr>
          <w:trHeight w:val="42"/>
        </w:trPr>
        <w:tc>
          <w:tcPr>
            <w:tcW w:w="3120" w:type="dxa"/>
            <w:vAlign w:val="bottom"/>
            <w:tcBorders>
              <w:left w:val="single" w:sz="8" w:color="E5E5E5"/>
              <w:right w:val="single" w:sz="8" w:color="E5E5E5"/>
            </w:tcBorders>
          </w:tcPr>
          <w:p>
            <w:pPr>
              <w:spacing w:after="0"/>
              <w:rPr>
                <w:sz w:val="3"/>
                <w:szCs w:val="3"/>
                <w:color w:val="auto"/>
              </w:rPr>
            </w:pPr>
          </w:p>
        </w:tc>
        <w:tc>
          <w:tcPr>
            <w:tcW w:w="640" w:type="dxa"/>
            <w:vAlign w:val="bottom"/>
            <w:tcBorders>
              <w:right w:val="single" w:sz="8" w:color="E5E5E5"/>
            </w:tcBorders>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Borders>
              <w:right w:val="single" w:sz="8" w:color="E5E5E5"/>
            </w:tcBorders>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Borders>
              <w:right w:val="single" w:sz="8" w:color="E5E5E5"/>
            </w:tcBorders>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Borders>
              <w:right w:val="single" w:sz="8" w:color="E5E5E5"/>
            </w:tcBorders>
          </w:tcPr>
          <w:p>
            <w:pPr>
              <w:spacing w:after="0"/>
              <w:rPr>
                <w:sz w:val="3"/>
                <w:szCs w:val="3"/>
                <w:color w:val="auto"/>
              </w:rPr>
            </w:pPr>
          </w:p>
        </w:tc>
        <w:tc>
          <w:tcPr>
            <w:tcW w:w="160" w:type="dxa"/>
            <w:vAlign w:val="bottom"/>
          </w:tcPr>
          <w:p>
            <w:pPr>
              <w:spacing w:after="0"/>
              <w:rPr>
                <w:sz w:val="3"/>
                <w:szCs w:val="3"/>
                <w:color w:val="auto"/>
              </w:rPr>
            </w:pPr>
          </w:p>
        </w:tc>
        <w:tc>
          <w:tcPr>
            <w:tcW w:w="1520" w:type="dxa"/>
            <w:vAlign w:val="bottom"/>
            <w:tcBorders>
              <w:right w:val="single" w:sz="8" w:color="E5E5E5"/>
            </w:tcBorders>
          </w:tcPr>
          <w:p>
            <w:pPr>
              <w:spacing w:after="0"/>
              <w:rPr>
                <w:sz w:val="3"/>
                <w:szCs w:val="3"/>
                <w:color w:val="auto"/>
              </w:rPr>
            </w:pPr>
          </w:p>
        </w:tc>
        <w:tc>
          <w:tcPr>
            <w:tcW w:w="140" w:type="dxa"/>
            <w:vAlign w:val="bottom"/>
          </w:tcPr>
          <w:p>
            <w:pPr>
              <w:spacing w:after="0"/>
              <w:rPr>
                <w:sz w:val="3"/>
                <w:szCs w:val="3"/>
                <w:color w:val="auto"/>
              </w:rPr>
            </w:pPr>
          </w:p>
        </w:tc>
        <w:tc>
          <w:tcPr>
            <w:tcW w:w="1360" w:type="dxa"/>
            <w:vAlign w:val="bottom"/>
            <w:tcBorders>
              <w:right w:val="single" w:sz="8" w:color="E5E5E5"/>
            </w:tcBorders>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Borders>
              <w:right w:val="single" w:sz="8" w:color="E5E5E5"/>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3120" w:type="dxa"/>
            <w:vAlign w:val="bottom"/>
            <w:tcBorders>
              <w:left w:val="single" w:sz="8" w:color="E5E5E5"/>
              <w:right w:val="single" w:sz="8" w:color="E5E5E5"/>
            </w:tcBorders>
            <w:shd w:val="clear" w:color="auto" w:fill="DBDBDB"/>
          </w:tcPr>
          <w:p>
            <w:pPr>
              <w:ind w:left="40"/>
              <w:spacing w:after="0" w:line="175" w:lineRule="exact"/>
              <w:rPr>
                <w:sz w:val="20"/>
                <w:szCs w:val="20"/>
                <w:color w:val="auto"/>
              </w:rPr>
            </w:pPr>
            <w:r>
              <w:rPr>
                <w:rFonts w:ascii="Arial" w:cs="Arial" w:eastAsia="Arial" w:hAnsi="Arial"/>
                <w:sz w:val="16"/>
                <w:szCs w:val="16"/>
                <w:color w:val="auto"/>
              </w:rPr>
              <w:t>Daniel Clara</w:t>
            </w:r>
          </w:p>
        </w:tc>
        <w:tc>
          <w:tcPr>
            <w:tcW w:w="640" w:type="dxa"/>
            <w:vAlign w:val="bottom"/>
            <w:tcBorders>
              <w:right w:val="single" w:sz="8" w:color="E5E5E5"/>
            </w:tcBorders>
            <w:shd w:val="clear" w:color="auto" w:fill="DBDBDB"/>
          </w:tcPr>
          <w:p>
            <w:pPr>
              <w:ind w:left="120"/>
              <w:spacing w:after="0" w:line="175" w:lineRule="exact"/>
              <w:rPr>
                <w:sz w:val="20"/>
                <w:szCs w:val="20"/>
                <w:color w:val="auto"/>
              </w:rPr>
            </w:pPr>
            <w:r>
              <w:rPr>
                <w:rFonts w:ascii="Arial" w:cs="Arial" w:eastAsia="Arial" w:hAnsi="Arial"/>
                <w:sz w:val="16"/>
                <w:szCs w:val="16"/>
                <w:color w:val="auto"/>
              </w:rPr>
              <w:t>2024</w:t>
            </w:r>
          </w:p>
        </w:tc>
        <w:tc>
          <w:tcPr>
            <w:tcW w:w="100" w:type="dxa"/>
            <w:vAlign w:val="bottom"/>
            <w:shd w:val="clear" w:color="auto" w:fill="DBDBDB"/>
          </w:tcPr>
          <w:p>
            <w:pPr>
              <w:jc w:val="right"/>
              <w:spacing w:after="0" w:line="175" w:lineRule="exact"/>
              <w:rPr>
                <w:sz w:val="20"/>
                <w:szCs w:val="20"/>
                <w:color w:val="auto"/>
              </w:rPr>
            </w:pPr>
            <w:r>
              <w:rPr>
                <w:rFonts w:ascii="Arial" w:cs="Arial" w:eastAsia="Arial" w:hAnsi="Arial"/>
                <w:sz w:val="16"/>
                <w:szCs w:val="16"/>
                <w:color w:val="auto"/>
                <w:w w:val="89"/>
              </w:rPr>
              <w:t>$</w:t>
            </w:r>
          </w:p>
        </w:tc>
        <w:tc>
          <w:tcPr>
            <w:tcW w:w="1020" w:type="dxa"/>
            <w:vAlign w:val="bottom"/>
            <w:tcBorders>
              <w:right w:val="single" w:sz="8" w:color="E5E5E5"/>
            </w:tcBorders>
            <w:shd w:val="clear" w:color="auto" w:fill="DBDBDB"/>
          </w:tcPr>
          <w:p>
            <w:pPr>
              <w:jc w:val="right"/>
              <w:spacing w:after="0" w:line="175" w:lineRule="exact"/>
              <w:rPr>
                <w:sz w:val="20"/>
                <w:szCs w:val="20"/>
                <w:color w:val="auto"/>
              </w:rPr>
            </w:pPr>
            <w:r>
              <w:rPr>
                <w:rFonts w:ascii="Arial" w:cs="Arial" w:eastAsia="Arial" w:hAnsi="Arial"/>
                <w:sz w:val="16"/>
                <w:szCs w:val="16"/>
                <w:color w:val="auto"/>
              </w:rPr>
              <w:t>743,269</w:t>
            </w:r>
          </w:p>
        </w:tc>
        <w:tc>
          <w:tcPr>
            <w:tcW w:w="140" w:type="dxa"/>
            <w:vAlign w:val="bottom"/>
            <w:shd w:val="clear" w:color="auto" w:fill="DBDBDB"/>
          </w:tcPr>
          <w:p>
            <w:pPr>
              <w:jc w:val="right"/>
              <w:spacing w:after="0" w:line="175" w:lineRule="exact"/>
              <w:rPr>
                <w:sz w:val="20"/>
                <w:szCs w:val="20"/>
                <w:color w:val="auto"/>
              </w:rPr>
            </w:pPr>
            <w:r>
              <w:rPr>
                <w:rFonts w:ascii="Arial" w:cs="Arial" w:eastAsia="Arial" w:hAnsi="Arial"/>
                <w:sz w:val="16"/>
                <w:szCs w:val="16"/>
                <w:color w:val="auto"/>
                <w:w w:val="89"/>
              </w:rPr>
              <w:t>$</w:t>
            </w:r>
          </w:p>
        </w:tc>
        <w:tc>
          <w:tcPr>
            <w:tcW w:w="760" w:type="dxa"/>
            <w:vAlign w:val="bottom"/>
            <w:tcBorders>
              <w:right w:val="single" w:sz="8" w:color="E5E5E5"/>
            </w:tcBorders>
            <w:shd w:val="clear" w:color="auto" w:fill="DBDBDB"/>
          </w:tcPr>
          <w:p>
            <w:pPr>
              <w:ind w:left="500"/>
              <w:spacing w:after="0" w:line="175" w:lineRule="exact"/>
              <w:rPr>
                <w:sz w:val="20"/>
                <w:szCs w:val="20"/>
                <w:color w:val="auto"/>
              </w:rPr>
            </w:pPr>
            <w:r>
              <w:rPr>
                <w:rFonts w:ascii="Arial" w:cs="Arial" w:eastAsia="Arial" w:hAnsi="Arial"/>
                <w:sz w:val="16"/>
                <w:szCs w:val="16"/>
                <w:color w:val="auto"/>
              </w:rPr>
              <w:t>—</w:t>
            </w:r>
          </w:p>
        </w:tc>
        <w:tc>
          <w:tcPr>
            <w:tcW w:w="160" w:type="dxa"/>
            <w:vAlign w:val="bottom"/>
            <w:shd w:val="clear" w:color="auto" w:fill="DBDBDB"/>
          </w:tcPr>
          <w:p>
            <w:pPr>
              <w:jc w:val="right"/>
              <w:spacing w:after="0" w:line="175" w:lineRule="exact"/>
              <w:rPr>
                <w:sz w:val="20"/>
                <w:szCs w:val="20"/>
                <w:color w:val="auto"/>
              </w:rPr>
            </w:pPr>
            <w:r>
              <w:rPr>
                <w:rFonts w:ascii="Arial" w:cs="Arial" w:eastAsia="Arial" w:hAnsi="Arial"/>
                <w:sz w:val="16"/>
                <w:szCs w:val="16"/>
                <w:color w:val="auto"/>
                <w:w w:val="89"/>
              </w:rPr>
              <w:t>$</w:t>
            </w:r>
          </w:p>
        </w:tc>
        <w:tc>
          <w:tcPr>
            <w:tcW w:w="1000" w:type="dxa"/>
            <w:vAlign w:val="bottom"/>
            <w:tcBorders>
              <w:right w:val="single" w:sz="8" w:color="E5E5E5"/>
            </w:tcBorders>
            <w:shd w:val="clear" w:color="auto" w:fill="DBDBDB"/>
          </w:tcPr>
          <w:p>
            <w:pPr>
              <w:jc w:val="right"/>
              <w:ind w:right="19"/>
              <w:spacing w:after="0" w:line="175" w:lineRule="exact"/>
              <w:rPr>
                <w:sz w:val="20"/>
                <w:szCs w:val="20"/>
                <w:color w:val="auto"/>
              </w:rPr>
            </w:pPr>
            <w:r>
              <w:rPr>
                <w:rFonts w:ascii="Arial" w:cs="Arial" w:eastAsia="Arial" w:hAnsi="Arial"/>
                <w:sz w:val="16"/>
                <w:szCs w:val="16"/>
                <w:color w:val="auto"/>
              </w:rPr>
              <w:t>1,000,080</w:t>
            </w:r>
          </w:p>
        </w:tc>
        <w:tc>
          <w:tcPr>
            <w:tcW w:w="160" w:type="dxa"/>
            <w:vAlign w:val="bottom"/>
            <w:shd w:val="clear" w:color="auto" w:fill="DBDBDB"/>
          </w:tcPr>
          <w:p>
            <w:pPr>
              <w:jc w:val="right"/>
              <w:spacing w:after="0" w:line="175" w:lineRule="exact"/>
              <w:rPr>
                <w:sz w:val="20"/>
                <w:szCs w:val="20"/>
                <w:color w:val="auto"/>
              </w:rPr>
            </w:pPr>
            <w:r>
              <w:rPr>
                <w:rFonts w:ascii="Arial" w:cs="Arial" w:eastAsia="Arial" w:hAnsi="Arial"/>
                <w:sz w:val="16"/>
                <w:szCs w:val="16"/>
                <w:color w:val="auto"/>
                <w:w w:val="89"/>
              </w:rPr>
              <w:t>$</w:t>
            </w:r>
          </w:p>
        </w:tc>
        <w:tc>
          <w:tcPr>
            <w:tcW w:w="1520" w:type="dxa"/>
            <w:vAlign w:val="bottom"/>
            <w:tcBorders>
              <w:right w:val="single" w:sz="8" w:color="E5E5E5"/>
            </w:tcBorders>
            <w:shd w:val="clear" w:color="auto" w:fill="DBDBDB"/>
          </w:tcPr>
          <w:p>
            <w:pPr>
              <w:jc w:val="right"/>
              <w:spacing w:after="0" w:line="175" w:lineRule="exact"/>
              <w:rPr>
                <w:sz w:val="20"/>
                <w:szCs w:val="20"/>
                <w:color w:val="auto"/>
              </w:rPr>
            </w:pPr>
            <w:r>
              <w:rPr>
                <w:rFonts w:ascii="Arial" w:cs="Arial" w:eastAsia="Arial" w:hAnsi="Arial"/>
                <w:sz w:val="16"/>
                <w:szCs w:val="16"/>
                <w:color w:val="auto"/>
              </w:rPr>
              <w:t>605,625</w:t>
            </w:r>
          </w:p>
        </w:tc>
        <w:tc>
          <w:tcPr>
            <w:tcW w:w="140" w:type="dxa"/>
            <w:vAlign w:val="bottom"/>
            <w:shd w:val="clear" w:color="auto" w:fill="DBDBDB"/>
          </w:tcPr>
          <w:p>
            <w:pPr>
              <w:jc w:val="right"/>
              <w:spacing w:after="0" w:line="175" w:lineRule="exact"/>
              <w:rPr>
                <w:sz w:val="20"/>
                <w:szCs w:val="20"/>
                <w:color w:val="auto"/>
              </w:rPr>
            </w:pPr>
            <w:r>
              <w:rPr>
                <w:rFonts w:ascii="Arial" w:cs="Arial" w:eastAsia="Arial" w:hAnsi="Arial"/>
                <w:sz w:val="16"/>
                <w:szCs w:val="16"/>
                <w:color w:val="auto"/>
                <w:w w:val="89"/>
              </w:rPr>
              <w:t>$</w:t>
            </w:r>
          </w:p>
        </w:tc>
        <w:tc>
          <w:tcPr>
            <w:tcW w:w="1360" w:type="dxa"/>
            <w:vAlign w:val="bottom"/>
            <w:tcBorders>
              <w:right w:val="single" w:sz="8" w:color="E5E5E5"/>
            </w:tcBorders>
            <w:shd w:val="clear" w:color="auto" w:fill="DBDBDB"/>
          </w:tcPr>
          <w:p>
            <w:pPr>
              <w:jc w:val="right"/>
              <w:spacing w:after="0" w:line="175" w:lineRule="exact"/>
              <w:rPr>
                <w:sz w:val="20"/>
                <w:szCs w:val="20"/>
                <w:color w:val="auto"/>
              </w:rPr>
            </w:pPr>
            <w:r>
              <w:rPr>
                <w:rFonts w:ascii="Arial" w:cs="Arial" w:eastAsia="Arial" w:hAnsi="Arial"/>
                <w:sz w:val="16"/>
                <w:szCs w:val="16"/>
                <w:color w:val="auto"/>
              </w:rPr>
              <w:t>27,247</w:t>
            </w:r>
          </w:p>
        </w:tc>
        <w:tc>
          <w:tcPr>
            <w:tcW w:w="220" w:type="dxa"/>
            <w:vAlign w:val="bottom"/>
            <w:shd w:val="clear" w:color="auto" w:fill="DBDBDB"/>
          </w:tcPr>
          <w:p>
            <w:pPr>
              <w:jc w:val="right"/>
              <w:ind w:right="39"/>
              <w:spacing w:after="0" w:line="175" w:lineRule="exact"/>
              <w:rPr>
                <w:sz w:val="20"/>
                <w:szCs w:val="20"/>
                <w:color w:val="auto"/>
              </w:rPr>
            </w:pPr>
            <w:r>
              <w:rPr>
                <w:rFonts w:ascii="Arial" w:cs="Arial" w:eastAsia="Arial" w:hAnsi="Arial"/>
                <w:sz w:val="16"/>
                <w:szCs w:val="16"/>
                <w:color w:val="auto"/>
                <w:w w:val="89"/>
              </w:rPr>
              <w:t>$</w:t>
            </w:r>
          </w:p>
        </w:tc>
        <w:tc>
          <w:tcPr>
            <w:tcW w:w="920" w:type="dxa"/>
            <w:vAlign w:val="bottom"/>
            <w:tcBorders>
              <w:right w:val="single" w:sz="8" w:color="E5E5E5"/>
            </w:tcBorders>
            <w:shd w:val="clear" w:color="auto" w:fill="DBDBDB"/>
          </w:tcPr>
          <w:p>
            <w:pPr>
              <w:jc w:val="right"/>
              <w:ind w:right="19"/>
              <w:spacing w:after="0" w:line="175" w:lineRule="exact"/>
              <w:rPr>
                <w:sz w:val="20"/>
                <w:szCs w:val="20"/>
                <w:color w:val="auto"/>
              </w:rPr>
            </w:pPr>
            <w:r>
              <w:rPr>
                <w:rFonts w:ascii="Arial" w:cs="Arial" w:eastAsia="Arial" w:hAnsi="Arial"/>
                <w:sz w:val="16"/>
                <w:szCs w:val="16"/>
                <w:color w:val="auto"/>
              </w:rPr>
              <w:t>2,376,221</w:t>
            </w:r>
          </w:p>
        </w:tc>
        <w:tc>
          <w:tcPr>
            <w:tcW w:w="0" w:type="dxa"/>
            <w:vAlign w:val="bottom"/>
          </w:tcPr>
          <w:p>
            <w:pPr>
              <w:spacing w:after="0"/>
              <w:rPr>
                <w:sz w:val="1"/>
                <w:szCs w:val="1"/>
                <w:color w:val="auto"/>
              </w:rPr>
            </w:pPr>
          </w:p>
        </w:tc>
      </w:tr>
      <w:tr>
        <w:trPr>
          <w:trHeight w:val="101"/>
        </w:trPr>
        <w:tc>
          <w:tcPr>
            <w:tcW w:w="3120" w:type="dxa"/>
            <w:vAlign w:val="bottom"/>
            <w:tcBorders>
              <w:left w:val="single" w:sz="8" w:color="E5E5E5"/>
              <w:right w:val="single" w:sz="8" w:color="E5E5E5"/>
            </w:tcBorders>
            <w:vMerge w:val="restart"/>
            <w:shd w:val="clear" w:color="auto" w:fill="DBDBDB"/>
          </w:tcPr>
          <w:p>
            <w:pPr>
              <w:ind w:left="120"/>
              <w:spacing w:after="0"/>
              <w:rPr>
                <w:sz w:val="20"/>
                <w:szCs w:val="20"/>
                <w:color w:val="auto"/>
              </w:rPr>
            </w:pPr>
            <w:r>
              <w:rPr>
                <w:rFonts w:ascii="Arial" w:cs="Arial" w:eastAsia="Arial" w:hAnsi="Arial"/>
                <w:sz w:val="16"/>
                <w:szCs w:val="16"/>
                <w:color w:val="auto"/>
              </w:rPr>
              <w:t>Chief Operating Officer</w:t>
            </w:r>
            <w:r>
              <w:rPr>
                <w:rFonts w:ascii="Arial" w:cs="Arial" w:eastAsia="Arial" w:hAnsi="Arial"/>
                <w:sz w:val="21"/>
                <w:szCs w:val="21"/>
                <w:color w:val="auto"/>
                <w:vertAlign w:val="superscript"/>
              </w:rPr>
              <w:t>(5)</w:t>
            </w:r>
          </w:p>
        </w:tc>
        <w:tc>
          <w:tcPr>
            <w:tcW w:w="640" w:type="dxa"/>
            <w:vAlign w:val="bottom"/>
            <w:tcBorders>
              <w:right w:val="single" w:sz="8" w:color="E5E5E5"/>
            </w:tcBorders>
            <w:shd w:val="clear" w:color="auto" w:fill="DBDBDB"/>
          </w:tcPr>
          <w:p>
            <w:pPr>
              <w:spacing w:after="0"/>
              <w:rPr>
                <w:sz w:val="8"/>
                <w:szCs w:val="8"/>
                <w:color w:val="auto"/>
              </w:rPr>
            </w:pPr>
          </w:p>
        </w:tc>
        <w:tc>
          <w:tcPr>
            <w:tcW w:w="100" w:type="dxa"/>
            <w:vAlign w:val="bottom"/>
            <w:shd w:val="clear" w:color="auto" w:fill="DBDBDB"/>
          </w:tcPr>
          <w:p>
            <w:pPr>
              <w:spacing w:after="0"/>
              <w:rPr>
                <w:sz w:val="8"/>
                <w:szCs w:val="8"/>
                <w:color w:val="auto"/>
              </w:rPr>
            </w:pPr>
          </w:p>
        </w:tc>
        <w:tc>
          <w:tcPr>
            <w:tcW w:w="1020" w:type="dxa"/>
            <w:vAlign w:val="bottom"/>
            <w:tcBorders>
              <w:right w:val="single" w:sz="8" w:color="E5E5E5"/>
            </w:tcBorders>
            <w:shd w:val="clear" w:color="auto" w:fill="DBDBDB"/>
          </w:tcPr>
          <w:p>
            <w:pPr>
              <w:spacing w:after="0"/>
              <w:rPr>
                <w:sz w:val="8"/>
                <w:szCs w:val="8"/>
                <w:color w:val="auto"/>
              </w:rPr>
            </w:pPr>
          </w:p>
        </w:tc>
        <w:tc>
          <w:tcPr>
            <w:tcW w:w="140" w:type="dxa"/>
            <w:vAlign w:val="bottom"/>
            <w:shd w:val="clear" w:color="auto" w:fill="DBDBDB"/>
          </w:tcPr>
          <w:p>
            <w:pPr>
              <w:spacing w:after="0"/>
              <w:rPr>
                <w:sz w:val="8"/>
                <w:szCs w:val="8"/>
                <w:color w:val="auto"/>
              </w:rPr>
            </w:pPr>
          </w:p>
        </w:tc>
        <w:tc>
          <w:tcPr>
            <w:tcW w:w="760" w:type="dxa"/>
            <w:vAlign w:val="bottom"/>
            <w:tcBorders>
              <w:right w:val="single" w:sz="8" w:color="E5E5E5"/>
            </w:tcBorders>
            <w:shd w:val="clear" w:color="auto" w:fill="DBDBDB"/>
          </w:tcPr>
          <w:p>
            <w:pPr>
              <w:spacing w:after="0"/>
              <w:rPr>
                <w:sz w:val="8"/>
                <w:szCs w:val="8"/>
                <w:color w:val="auto"/>
              </w:rPr>
            </w:pPr>
          </w:p>
        </w:tc>
        <w:tc>
          <w:tcPr>
            <w:tcW w:w="160" w:type="dxa"/>
            <w:vAlign w:val="bottom"/>
            <w:shd w:val="clear" w:color="auto" w:fill="DBDBDB"/>
          </w:tcPr>
          <w:p>
            <w:pPr>
              <w:spacing w:after="0"/>
              <w:rPr>
                <w:sz w:val="8"/>
                <w:szCs w:val="8"/>
                <w:color w:val="auto"/>
              </w:rPr>
            </w:pPr>
          </w:p>
        </w:tc>
        <w:tc>
          <w:tcPr>
            <w:tcW w:w="1000" w:type="dxa"/>
            <w:vAlign w:val="bottom"/>
            <w:tcBorders>
              <w:right w:val="single" w:sz="8" w:color="E5E5E5"/>
            </w:tcBorders>
            <w:shd w:val="clear" w:color="auto" w:fill="DBDBDB"/>
          </w:tcPr>
          <w:p>
            <w:pPr>
              <w:spacing w:after="0"/>
              <w:rPr>
                <w:sz w:val="8"/>
                <w:szCs w:val="8"/>
                <w:color w:val="auto"/>
              </w:rPr>
            </w:pPr>
          </w:p>
        </w:tc>
        <w:tc>
          <w:tcPr>
            <w:tcW w:w="160" w:type="dxa"/>
            <w:vAlign w:val="bottom"/>
            <w:shd w:val="clear" w:color="auto" w:fill="DBDBDB"/>
          </w:tcPr>
          <w:p>
            <w:pPr>
              <w:spacing w:after="0"/>
              <w:rPr>
                <w:sz w:val="8"/>
                <w:szCs w:val="8"/>
                <w:color w:val="auto"/>
              </w:rPr>
            </w:pPr>
          </w:p>
        </w:tc>
        <w:tc>
          <w:tcPr>
            <w:tcW w:w="1520" w:type="dxa"/>
            <w:vAlign w:val="bottom"/>
            <w:tcBorders>
              <w:right w:val="single" w:sz="8" w:color="E5E5E5"/>
            </w:tcBorders>
            <w:shd w:val="clear" w:color="auto" w:fill="DBDBDB"/>
          </w:tcPr>
          <w:p>
            <w:pPr>
              <w:spacing w:after="0"/>
              <w:rPr>
                <w:sz w:val="8"/>
                <w:szCs w:val="8"/>
                <w:color w:val="auto"/>
              </w:rPr>
            </w:pPr>
          </w:p>
        </w:tc>
        <w:tc>
          <w:tcPr>
            <w:tcW w:w="140" w:type="dxa"/>
            <w:vAlign w:val="bottom"/>
            <w:shd w:val="clear" w:color="auto" w:fill="DBDBDB"/>
          </w:tcPr>
          <w:p>
            <w:pPr>
              <w:spacing w:after="0"/>
              <w:rPr>
                <w:sz w:val="8"/>
                <w:szCs w:val="8"/>
                <w:color w:val="auto"/>
              </w:rPr>
            </w:pPr>
          </w:p>
        </w:tc>
        <w:tc>
          <w:tcPr>
            <w:tcW w:w="1360" w:type="dxa"/>
            <w:vAlign w:val="bottom"/>
            <w:tcBorders>
              <w:right w:val="single" w:sz="8" w:color="E5E5E5"/>
            </w:tcBorders>
            <w:shd w:val="clear" w:color="auto" w:fill="DBDBDB"/>
          </w:tcPr>
          <w:p>
            <w:pPr>
              <w:spacing w:after="0"/>
              <w:rPr>
                <w:sz w:val="8"/>
                <w:szCs w:val="8"/>
                <w:color w:val="auto"/>
              </w:rPr>
            </w:pPr>
          </w:p>
        </w:tc>
        <w:tc>
          <w:tcPr>
            <w:tcW w:w="220" w:type="dxa"/>
            <w:vAlign w:val="bottom"/>
            <w:shd w:val="clear" w:color="auto" w:fill="DBDBDB"/>
          </w:tcPr>
          <w:p>
            <w:pPr>
              <w:spacing w:after="0"/>
              <w:rPr>
                <w:sz w:val="8"/>
                <w:szCs w:val="8"/>
                <w:color w:val="auto"/>
              </w:rPr>
            </w:pPr>
          </w:p>
        </w:tc>
        <w:tc>
          <w:tcPr>
            <w:tcW w:w="920" w:type="dxa"/>
            <w:vAlign w:val="bottom"/>
            <w:tcBorders>
              <w:right w:val="single" w:sz="8" w:color="E5E5E5"/>
            </w:tcBorders>
            <w:shd w:val="clear" w:color="auto" w:fill="DBDBDB"/>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3120" w:type="dxa"/>
            <w:vAlign w:val="bottom"/>
            <w:tcBorders>
              <w:left w:val="single" w:sz="8" w:color="E5E5E5"/>
              <w:right w:val="single" w:sz="8" w:color="E5E5E5"/>
            </w:tcBorders>
            <w:vMerge w:val="continue"/>
            <w:shd w:val="clear" w:color="auto" w:fill="DBDBDB"/>
          </w:tcPr>
          <w:p>
            <w:pPr>
              <w:spacing w:after="0"/>
              <w:rPr>
                <w:sz w:val="14"/>
                <w:szCs w:val="14"/>
                <w:color w:val="auto"/>
              </w:rPr>
            </w:pPr>
          </w:p>
        </w:tc>
        <w:tc>
          <w:tcPr>
            <w:tcW w:w="640" w:type="dxa"/>
            <w:vAlign w:val="bottom"/>
            <w:tcBorders>
              <w:right w:val="single" w:sz="8" w:color="E5E5E5"/>
            </w:tcBorders>
            <w:vMerge w:val="restart"/>
            <w:shd w:val="clear" w:color="auto" w:fill="DBDBDB"/>
          </w:tcPr>
          <w:p>
            <w:pPr>
              <w:ind w:left="120"/>
              <w:spacing w:after="0"/>
              <w:rPr>
                <w:sz w:val="20"/>
                <w:szCs w:val="20"/>
                <w:color w:val="auto"/>
              </w:rPr>
            </w:pPr>
            <w:r>
              <w:rPr>
                <w:rFonts w:ascii="Arial" w:cs="Arial" w:eastAsia="Arial" w:hAnsi="Arial"/>
                <w:sz w:val="16"/>
                <w:szCs w:val="16"/>
                <w:color w:val="auto"/>
              </w:rPr>
              <w:t>2023</w:t>
            </w:r>
          </w:p>
        </w:tc>
        <w:tc>
          <w:tcPr>
            <w:tcW w:w="10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right w:val="single" w:sz="8" w:color="E5E5E5"/>
            </w:tcBorders>
            <w:vMerge w:val="restart"/>
            <w:shd w:val="clear" w:color="auto" w:fill="DBDBDB"/>
          </w:tcPr>
          <w:p>
            <w:pPr>
              <w:jc w:val="right"/>
              <w:spacing w:after="0"/>
              <w:rPr>
                <w:sz w:val="20"/>
                <w:szCs w:val="20"/>
                <w:color w:val="auto"/>
              </w:rPr>
            </w:pPr>
            <w:r>
              <w:rPr>
                <w:rFonts w:ascii="Arial" w:cs="Arial" w:eastAsia="Arial" w:hAnsi="Arial"/>
                <w:sz w:val="16"/>
                <w:szCs w:val="16"/>
                <w:color w:val="auto"/>
              </w:rPr>
              <w:t>694,231</w:t>
            </w:r>
          </w:p>
        </w:tc>
        <w:tc>
          <w:tcPr>
            <w:tcW w:w="14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right w:val="single" w:sz="8" w:color="E5E5E5"/>
            </w:tcBorders>
            <w:vMerge w:val="restart"/>
            <w:shd w:val="clear" w:color="auto" w:fill="DBDBDB"/>
          </w:tcPr>
          <w:p>
            <w:pPr>
              <w:ind w:left="500"/>
              <w:spacing w:after="0"/>
              <w:rPr>
                <w:sz w:val="20"/>
                <w:szCs w:val="20"/>
                <w:color w:val="auto"/>
              </w:rPr>
            </w:pPr>
            <w:r>
              <w:rPr>
                <w:rFonts w:ascii="Arial" w:cs="Arial" w:eastAsia="Arial" w:hAnsi="Arial"/>
                <w:sz w:val="16"/>
                <w:szCs w:val="16"/>
                <w:color w:val="auto"/>
              </w:rPr>
              <w:t>—</w:t>
            </w:r>
          </w:p>
        </w:tc>
        <w:tc>
          <w:tcPr>
            <w:tcW w:w="16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right w:val="single" w:sz="8" w:color="E5E5E5"/>
            </w:tcBorders>
            <w:vMerge w:val="restart"/>
            <w:shd w:val="clear" w:color="auto" w:fill="DBDBDB"/>
          </w:tcPr>
          <w:p>
            <w:pPr>
              <w:jc w:val="right"/>
              <w:ind w:right="19"/>
              <w:spacing w:after="0"/>
              <w:rPr>
                <w:sz w:val="20"/>
                <w:szCs w:val="20"/>
                <w:color w:val="auto"/>
              </w:rPr>
            </w:pPr>
            <w:r>
              <w:rPr>
                <w:rFonts w:ascii="Arial" w:cs="Arial" w:eastAsia="Arial" w:hAnsi="Arial"/>
                <w:sz w:val="16"/>
                <w:szCs w:val="16"/>
                <w:color w:val="auto"/>
              </w:rPr>
              <w:t>849,998</w:t>
            </w:r>
          </w:p>
        </w:tc>
        <w:tc>
          <w:tcPr>
            <w:tcW w:w="16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right w:val="single" w:sz="8" w:color="E5E5E5"/>
            </w:tcBorders>
            <w:vMerge w:val="restart"/>
            <w:shd w:val="clear" w:color="auto" w:fill="DBDBDB"/>
          </w:tcPr>
          <w:p>
            <w:pPr>
              <w:jc w:val="right"/>
              <w:spacing w:after="0"/>
              <w:rPr>
                <w:sz w:val="20"/>
                <w:szCs w:val="20"/>
                <w:color w:val="auto"/>
              </w:rPr>
            </w:pPr>
            <w:r>
              <w:rPr>
                <w:rFonts w:ascii="Arial" w:cs="Arial" w:eastAsia="Arial" w:hAnsi="Arial"/>
                <w:sz w:val="16"/>
                <w:szCs w:val="16"/>
                <w:color w:val="auto"/>
              </w:rPr>
              <w:t>612,850</w:t>
            </w:r>
          </w:p>
        </w:tc>
        <w:tc>
          <w:tcPr>
            <w:tcW w:w="14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right w:val="single" w:sz="8" w:color="E5E5E5"/>
            </w:tcBorders>
            <w:vMerge w:val="restart"/>
            <w:shd w:val="clear" w:color="auto" w:fill="DBDBDB"/>
          </w:tcPr>
          <w:p>
            <w:pPr>
              <w:jc w:val="right"/>
              <w:spacing w:after="0"/>
              <w:rPr>
                <w:sz w:val="20"/>
                <w:szCs w:val="20"/>
                <w:color w:val="auto"/>
              </w:rPr>
            </w:pPr>
            <w:r>
              <w:rPr>
                <w:rFonts w:ascii="Arial" w:cs="Arial" w:eastAsia="Arial" w:hAnsi="Arial"/>
                <w:sz w:val="16"/>
                <w:szCs w:val="16"/>
                <w:color w:val="auto"/>
              </w:rPr>
              <w:t>27,399</w:t>
            </w:r>
          </w:p>
        </w:tc>
        <w:tc>
          <w:tcPr>
            <w:tcW w:w="220" w:type="dxa"/>
            <w:vAlign w:val="bottom"/>
            <w:vMerge w:val="restart"/>
            <w:shd w:val="clear" w:color="auto" w:fill="DBDBDB"/>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tcBorders>
              <w:right w:val="single" w:sz="8" w:color="E5E5E5"/>
            </w:tcBorders>
            <w:vMerge w:val="restart"/>
            <w:shd w:val="clear" w:color="auto" w:fill="DBDBDB"/>
          </w:tcPr>
          <w:p>
            <w:pPr>
              <w:jc w:val="right"/>
              <w:ind w:right="19"/>
              <w:spacing w:after="0"/>
              <w:rPr>
                <w:sz w:val="20"/>
                <w:szCs w:val="20"/>
                <w:color w:val="auto"/>
              </w:rPr>
            </w:pPr>
            <w:r>
              <w:rPr>
                <w:rFonts w:ascii="Arial" w:cs="Arial" w:eastAsia="Arial" w:hAnsi="Arial"/>
                <w:sz w:val="16"/>
                <w:szCs w:val="16"/>
                <w:color w:val="auto"/>
              </w:rPr>
              <w:t>2,184,478</w:t>
            </w:r>
          </w:p>
        </w:tc>
        <w:tc>
          <w:tcPr>
            <w:tcW w:w="0" w:type="dxa"/>
            <w:vAlign w:val="bottom"/>
          </w:tcPr>
          <w:p>
            <w:pPr>
              <w:spacing w:after="0"/>
              <w:rPr>
                <w:sz w:val="1"/>
                <w:szCs w:val="1"/>
                <w:color w:val="auto"/>
              </w:rPr>
            </w:pPr>
          </w:p>
        </w:tc>
      </w:tr>
      <w:tr>
        <w:trPr>
          <w:trHeight w:val="53"/>
        </w:trPr>
        <w:tc>
          <w:tcPr>
            <w:tcW w:w="3120" w:type="dxa"/>
            <w:vAlign w:val="bottom"/>
            <w:tcBorders>
              <w:left w:val="single" w:sz="8" w:color="E5E5E5"/>
              <w:right w:val="single" w:sz="8" w:color="E5E5E5"/>
            </w:tcBorders>
            <w:shd w:val="clear" w:color="auto" w:fill="DBDBDB"/>
          </w:tcPr>
          <w:p>
            <w:pPr>
              <w:spacing w:after="0"/>
              <w:rPr>
                <w:sz w:val="4"/>
                <w:szCs w:val="4"/>
                <w:color w:val="auto"/>
              </w:rPr>
            </w:pPr>
          </w:p>
        </w:tc>
        <w:tc>
          <w:tcPr>
            <w:tcW w:w="640" w:type="dxa"/>
            <w:vAlign w:val="bottom"/>
            <w:tcBorders>
              <w:right w:val="single" w:sz="8" w:color="E5E5E5"/>
            </w:tcBorders>
            <w:vMerge w:val="continue"/>
            <w:shd w:val="clear" w:color="auto" w:fill="DBDBDB"/>
          </w:tcPr>
          <w:p>
            <w:pPr>
              <w:spacing w:after="0"/>
              <w:rPr>
                <w:sz w:val="4"/>
                <w:szCs w:val="4"/>
                <w:color w:val="auto"/>
              </w:rPr>
            </w:pPr>
          </w:p>
        </w:tc>
        <w:tc>
          <w:tcPr>
            <w:tcW w:w="100" w:type="dxa"/>
            <w:vAlign w:val="bottom"/>
            <w:vMerge w:val="continue"/>
            <w:shd w:val="clear" w:color="auto" w:fill="DBDBDB"/>
          </w:tcPr>
          <w:p>
            <w:pPr>
              <w:spacing w:after="0"/>
              <w:rPr>
                <w:sz w:val="4"/>
                <w:szCs w:val="4"/>
                <w:color w:val="auto"/>
              </w:rPr>
            </w:pPr>
          </w:p>
        </w:tc>
        <w:tc>
          <w:tcPr>
            <w:tcW w:w="1020" w:type="dxa"/>
            <w:vAlign w:val="bottom"/>
            <w:tcBorders>
              <w:right w:val="single" w:sz="8" w:color="E5E5E5"/>
            </w:tcBorders>
            <w:vMerge w:val="continue"/>
            <w:shd w:val="clear" w:color="auto" w:fill="DBDBDB"/>
          </w:tcPr>
          <w:p>
            <w:pPr>
              <w:spacing w:after="0"/>
              <w:rPr>
                <w:sz w:val="4"/>
                <w:szCs w:val="4"/>
                <w:color w:val="auto"/>
              </w:rPr>
            </w:pPr>
          </w:p>
        </w:tc>
        <w:tc>
          <w:tcPr>
            <w:tcW w:w="140" w:type="dxa"/>
            <w:vAlign w:val="bottom"/>
            <w:vMerge w:val="continue"/>
            <w:shd w:val="clear" w:color="auto" w:fill="DBDBDB"/>
          </w:tcPr>
          <w:p>
            <w:pPr>
              <w:spacing w:after="0"/>
              <w:rPr>
                <w:sz w:val="4"/>
                <w:szCs w:val="4"/>
                <w:color w:val="auto"/>
              </w:rPr>
            </w:pPr>
          </w:p>
        </w:tc>
        <w:tc>
          <w:tcPr>
            <w:tcW w:w="760" w:type="dxa"/>
            <w:vAlign w:val="bottom"/>
            <w:tcBorders>
              <w:right w:val="single" w:sz="8" w:color="E5E5E5"/>
            </w:tcBorders>
            <w:vMerge w:val="continue"/>
            <w:shd w:val="clear" w:color="auto" w:fill="DBDBDB"/>
          </w:tcPr>
          <w:p>
            <w:pPr>
              <w:spacing w:after="0"/>
              <w:rPr>
                <w:sz w:val="4"/>
                <w:szCs w:val="4"/>
                <w:color w:val="auto"/>
              </w:rPr>
            </w:pPr>
          </w:p>
        </w:tc>
        <w:tc>
          <w:tcPr>
            <w:tcW w:w="160" w:type="dxa"/>
            <w:vAlign w:val="bottom"/>
            <w:vMerge w:val="continue"/>
            <w:shd w:val="clear" w:color="auto" w:fill="DBDBDB"/>
          </w:tcPr>
          <w:p>
            <w:pPr>
              <w:spacing w:after="0"/>
              <w:rPr>
                <w:sz w:val="4"/>
                <w:szCs w:val="4"/>
                <w:color w:val="auto"/>
              </w:rPr>
            </w:pPr>
          </w:p>
        </w:tc>
        <w:tc>
          <w:tcPr>
            <w:tcW w:w="1000" w:type="dxa"/>
            <w:vAlign w:val="bottom"/>
            <w:tcBorders>
              <w:right w:val="single" w:sz="8" w:color="E5E5E5"/>
            </w:tcBorders>
            <w:vMerge w:val="continue"/>
            <w:shd w:val="clear" w:color="auto" w:fill="DBDBDB"/>
          </w:tcPr>
          <w:p>
            <w:pPr>
              <w:spacing w:after="0"/>
              <w:rPr>
                <w:sz w:val="4"/>
                <w:szCs w:val="4"/>
                <w:color w:val="auto"/>
              </w:rPr>
            </w:pPr>
          </w:p>
        </w:tc>
        <w:tc>
          <w:tcPr>
            <w:tcW w:w="160" w:type="dxa"/>
            <w:vAlign w:val="bottom"/>
            <w:vMerge w:val="continue"/>
            <w:shd w:val="clear" w:color="auto" w:fill="DBDBDB"/>
          </w:tcPr>
          <w:p>
            <w:pPr>
              <w:spacing w:after="0"/>
              <w:rPr>
                <w:sz w:val="4"/>
                <w:szCs w:val="4"/>
                <w:color w:val="auto"/>
              </w:rPr>
            </w:pPr>
          </w:p>
        </w:tc>
        <w:tc>
          <w:tcPr>
            <w:tcW w:w="1520" w:type="dxa"/>
            <w:vAlign w:val="bottom"/>
            <w:tcBorders>
              <w:right w:val="single" w:sz="8" w:color="E5E5E5"/>
            </w:tcBorders>
            <w:vMerge w:val="continue"/>
            <w:shd w:val="clear" w:color="auto" w:fill="DBDBDB"/>
          </w:tcPr>
          <w:p>
            <w:pPr>
              <w:spacing w:after="0"/>
              <w:rPr>
                <w:sz w:val="4"/>
                <w:szCs w:val="4"/>
                <w:color w:val="auto"/>
              </w:rPr>
            </w:pPr>
          </w:p>
        </w:tc>
        <w:tc>
          <w:tcPr>
            <w:tcW w:w="140" w:type="dxa"/>
            <w:vAlign w:val="bottom"/>
            <w:vMerge w:val="continue"/>
            <w:shd w:val="clear" w:color="auto" w:fill="DBDBDB"/>
          </w:tcPr>
          <w:p>
            <w:pPr>
              <w:spacing w:after="0"/>
              <w:rPr>
                <w:sz w:val="4"/>
                <w:szCs w:val="4"/>
                <w:color w:val="auto"/>
              </w:rPr>
            </w:pPr>
          </w:p>
        </w:tc>
        <w:tc>
          <w:tcPr>
            <w:tcW w:w="1360" w:type="dxa"/>
            <w:vAlign w:val="bottom"/>
            <w:tcBorders>
              <w:right w:val="single" w:sz="8" w:color="E5E5E5"/>
            </w:tcBorders>
            <w:vMerge w:val="continue"/>
            <w:shd w:val="clear" w:color="auto" w:fill="DBDBDB"/>
          </w:tcPr>
          <w:p>
            <w:pPr>
              <w:spacing w:after="0"/>
              <w:rPr>
                <w:sz w:val="4"/>
                <w:szCs w:val="4"/>
                <w:color w:val="auto"/>
              </w:rPr>
            </w:pPr>
          </w:p>
        </w:tc>
        <w:tc>
          <w:tcPr>
            <w:tcW w:w="220" w:type="dxa"/>
            <w:vAlign w:val="bottom"/>
            <w:vMerge w:val="continue"/>
            <w:shd w:val="clear" w:color="auto" w:fill="DBDBDB"/>
          </w:tcPr>
          <w:p>
            <w:pPr>
              <w:spacing w:after="0"/>
              <w:rPr>
                <w:sz w:val="4"/>
                <w:szCs w:val="4"/>
                <w:color w:val="auto"/>
              </w:rPr>
            </w:pPr>
          </w:p>
        </w:tc>
        <w:tc>
          <w:tcPr>
            <w:tcW w:w="920" w:type="dxa"/>
            <w:vAlign w:val="bottom"/>
            <w:tcBorders>
              <w:right w:val="single" w:sz="8" w:color="E5E5E5"/>
            </w:tcBorders>
            <w:vMerge w:val="continue"/>
            <w:shd w:val="clear" w:color="auto" w:fill="DBDBDB"/>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3120" w:type="dxa"/>
            <w:vAlign w:val="bottom"/>
            <w:tcBorders>
              <w:left w:val="single" w:sz="8" w:color="E5E5E5"/>
              <w:right w:val="single" w:sz="8" w:color="E5E5E5"/>
            </w:tcBorders>
            <w:shd w:val="clear" w:color="auto" w:fill="DBDBDB"/>
          </w:tcPr>
          <w:p>
            <w:pPr>
              <w:spacing w:after="0"/>
              <w:rPr>
                <w:sz w:val="4"/>
                <w:szCs w:val="4"/>
                <w:color w:val="auto"/>
              </w:rPr>
            </w:pPr>
          </w:p>
        </w:tc>
        <w:tc>
          <w:tcPr>
            <w:tcW w:w="640" w:type="dxa"/>
            <w:vAlign w:val="bottom"/>
            <w:tcBorders>
              <w:right w:val="single" w:sz="8" w:color="E5E5E5"/>
            </w:tcBorders>
            <w:shd w:val="clear" w:color="auto" w:fill="DBDBDB"/>
          </w:tcPr>
          <w:p>
            <w:pPr>
              <w:spacing w:after="0"/>
              <w:rPr>
                <w:sz w:val="4"/>
                <w:szCs w:val="4"/>
                <w:color w:val="auto"/>
              </w:rPr>
            </w:pPr>
          </w:p>
        </w:tc>
        <w:tc>
          <w:tcPr>
            <w:tcW w:w="100" w:type="dxa"/>
            <w:vAlign w:val="bottom"/>
            <w:shd w:val="clear" w:color="auto" w:fill="DBDBDB"/>
          </w:tcPr>
          <w:p>
            <w:pPr>
              <w:spacing w:after="0"/>
              <w:rPr>
                <w:sz w:val="4"/>
                <w:szCs w:val="4"/>
                <w:color w:val="auto"/>
              </w:rPr>
            </w:pPr>
          </w:p>
        </w:tc>
        <w:tc>
          <w:tcPr>
            <w:tcW w:w="1020" w:type="dxa"/>
            <w:vAlign w:val="bottom"/>
            <w:tcBorders>
              <w:right w:val="single" w:sz="8" w:color="E5E5E5"/>
            </w:tcBorders>
            <w:shd w:val="clear" w:color="auto" w:fill="DBDBDB"/>
          </w:tcPr>
          <w:p>
            <w:pPr>
              <w:spacing w:after="0"/>
              <w:rPr>
                <w:sz w:val="4"/>
                <w:szCs w:val="4"/>
                <w:color w:val="auto"/>
              </w:rPr>
            </w:pPr>
          </w:p>
        </w:tc>
        <w:tc>
          <w:tcPr>
            <w:tcW w:w="140" w:type="dxa"/>
            <w:vAlign w:val="bottom"/>
            <w:shd w:val="clear" w:color="auto" w:fill="DBDBDB"/>
          </w:tcPr>
          <w:p>
            <w:pPr>
              <w:spacing w:after="0"/>
              <w:rPr>
                <w:sz w:val="4"/>
                <w:szCs w:val="4"/>
                <w:color w:val="auto"/>
              </w:rPr>
            </w:pPr>
          </w:p>
        </w:tc>
        <w:tc>
          <w:tcPr>
            <w:tcW w:w="760" w:type="dxa"/>
            <w:vAlign w:val="bottom"/>
            <w:tcBorders>
              <w:right w:val="single" w:sz="8" w:color="E5E5E5"/>
            </w:tcBorders>
            <w:shd w:val="clear" w:color="auto" w:fill="DBDBDB"/>
          </w:tcPr>
          <w:p>
            <w:pPr>
              <w:spacing w:after="0"/>
              <w:rPr>
                <w:sz w:val="4"/>
                <w:szCs w:val="4"/>
                <w:color w:val="auto"/>
              </w:rPr>
            </w:pPr>
          </w:p>
        </w:tc>
        <w:tc>
          <w:tcPr>
            <w:tcW w:w="160" w:type="dxa"/>
            <w:vAlign w:val="bottom"/>
            <w:shd w:val="clear" w:color="auto" w:fill="DBDBDB"/>
          </w:tcPr>
          <w:p>
            <w:pPr>
              <w:spacing w:after="0"/>
              <w:rPr>
                <w:sz w:val="4"/>
                <w:szCs w:val="4"/>
                <w:color w:val="auto"/>
              </w:rPr>
            </w:pPr>
          </w:p>
        </w:tc>
        <w:tc>
          <w:tcPr>
            <w:tcW w:w="1000" w:type="dxa"/>
            <w:vAlign w:val="bottom"/>
            <w:tcBorders>
              <w:right w:val="single" w:sz="8" w:color="E5E5E5"/>
            </w:tcBorders>
            <w:shd w:val="clear" w:color="auto" w:fill="DBDBDB"/>
          </w:tcPr>
          <w:p>
            <w:pPr>
              <w:spacing w:after="0"/>
              <w:rPr>
                <w:sz w:val="4"/>
                <w:szCs w:val="4"/>
                <w:color w:val="auto"/>
              </w:rPr>
            </w:pPr>
          </w:p>
        </w:tc>
        <w:tc>
          <w:tcPr>
            <w:tcW w:w="160" w:type="dxa"/>
            <w:vAlign w:val="bottom"/>
            <w:shd w:val="clear" w:color="auto" w:fill="DBDBDB"/>
          </w:tcPr>
          <w:p>
            <w:pPr>
              <w:spacing w:after="0"/>
              <w:rPr>
                <w:sz w:val="4"/>
                <w:szCs w:val="4"/>
                <w:color w:val="auto"/>
              </w:rPr>
            </w:pPr>
          </w:p>
        </w:tc>
        <w:tc>
          <w:tcPr>
            <w:tcW w:w="1520" w:type="dxa"/>
            <w:vAlign w:val="bottom"/>
            <w:tcBorders>
              <w:right w:val="single" w:sz="8" w:color="E5E5E5"/>
            </w:tcBorders>
            <w:shd w:val="clear" w:color="auto" w:fill="DBDBDB"/>
          </w:tcPr>
          <w:p>
            <w:pPr>
              <w:spacing w:after="0"/>
              <w:rPr>
                <w:sz w:val="4"/>
                <w:szCs w:val="4"/>
                <w:color w:val="auto"/>
              </w:rPr>
            </w:pPr>
          </w:p>
        </w:tc>
        <w:tc>
          <w:tcPr>
            <w:tcW w:w="140" w:type="dxa"/>
            <w:vAlign w:val="bottom"/>
            <w:shd w:val="clear" w:color="auto" w:fill="DBDBDB"/>
          </w:tcPr>
          <w:p>
            <w:pPr>
              <w:spacing w:after="0"/>
              <w:rPr>
                <w:sz w:val="4"/>
                <w:szCs w:val="4"/>
                <w:color w:val="auto"/>
              </w:rPr>
            </w:pPr>
          </w:p>
        </w:tc>
        <w:tc>
          <w:tcPr>
            <w:tcW w:w="1360" w:type="dxa"/>
            <w:vAlign w:val="bottom"/>
            <w:tcBorders>
              <w:right w:val="single" w:sz="8" w:color="E5E5E5"/>
            </w:tcBorders>
            <w:shd w:val="clear" w:color="auto" w:fill="DBDBDB"/>
          </w:tcPr>
          <w:p>
            <w:pPr>
              <w:spacing w:after="0"/>
              <w:rPr>
                <w:sz w:val="4"/>
                <w:szCs w:val="4"/>
                <w:color w:val="auto"/>
              </w:rPr>
            </w:pPr>
          </w:p>
        </w:tc>
        <w:tc>
          <w:tcPr>
            <w:tcW w:w="220" w:type="dxa"/>
            <w:vAlign w:val="bottom"/>
            <w:shd w:val="clear" w:color="auto" w:fill="DBDBDB"/>
          </w:tcPr>
          <w:p>
            <w:pPr>
              <w:spacing w:after="0"/>
              <w:rPr>
                <w:sz w:val="4"/>
                <w:szCs w:val="4"/>
                <w:color w:val="auto"/>
              </w:rPr>
            </w:pPr>
          </w:p>
        </w:tc>
        <w:tc>
          <w:tcPr>
            <w:tcW w:w="920" w:type="dxa"/>
            <w:vAlign w:val="bottom"/>
            <w:tcBorders>
              <w:right w:val="single" w:sz="8" w:color="E5E5E5"/>
            </w:tcBorders>
            <w:shd w:val="clear" w:color="auto" w:fill="DBDBDB"/>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3120" w:type="dxa"/>
            <w:vAlign w:val="bottom"/>
            <w:tcBorders>
              <w:left w:val="single" w:sz="8" w:color="E5E5E5"/>
              <w:bottom w:val="single" w:sz="8" w:color="DBDBDB"/>
              <w:right w:val="single" w:sz="8" w:color="E5E5E5"/>
            </w:tcBorders>
            <w:shd w:val="clear" w:color="auto" w:fill="DBDBDB"/>
          </w:tcPr>
          <w:p>
            <w:pPr>
              <w:spacing w:after="0"/>
              <w:rPr>
                <w:sz w:val="22"/>
                <w:szCs w:val="22"/>
                <w:color w:val="auto"/>
              </w:rPr>
            </w:pPr>
          </w:p>
        </w:tc>
        <w:tc>
          <w:tcPr>
            <w:tcW w:w="640" w:type="dxa"/>
            <w:vAlign w:val="bottom"/>
            <w:tcBorders>
              <w:bottom w:val="single" w:sz="8" w:color="DBDBDB"/>
              <w:right w:val="single" w:sz="8" w:color="E5E5E5"/>
            </w:tcBorders>
            <w:shd w:val="clear" w:color="auto" w:fill="DBDBDB"/>
          </w:tcPr>
          <w:p>
            <w:pPr>
              <w:ind w:left="120"/>
              <w:spacing w:after="0"/>
              <w:rPr>
                <w:sz w:val="20"/>
                <w:szCs w:val="20"/>
                <w:color w:val="auto"/>
              </w:rPr>
            </w:pPr>
            <w:r>
              <w:rPr>
                <w:rFonts w:ascii="Arial" w:cs="Arial" w:eastAsia="Arial" w:hAnsi="Arial"/>
                <w:sz w:val="16"/>
                <w:szCs w:val="16"/>
                <w:color w:val="auto"/>
              </w:rPr>
              <w:t>2022</w:t>
            </w:r>
          </w:p>
        </w:tc>
        <w:tc>
          <w:tcPr>
            <w:tcW w:w="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DBDBDB"/>
              <w:right w:val="single" w:sz="8" w:color="E5E5E5"/>
            </w:tcBorders>
            <w:shd w:val="clear" w:color="auto" w:fill="DBDBDB"/>
          </w:tcPr>
          <w:p>
            <w:pPr>
              <w:jc w:val="right"/>
              <w:spacing w:after="0"/>
              <w:rPr>
                <w:sz w:val="20"/>
                <w:szCs w:val="20"/>
                <w:color w:val="auto"/>
              </w:rPr>
            </w:pPr>
            <w:r>
              <w:rPr>
                <w:rFonts w:ascii="Arial" w:cs="Arial" w:eastAsia="Arial" w:hAnsi="Arial"/>
                <w:sz w:val="16"/>
                <w:szCs w:val="16"/>
                <w:color w:val="auto"/>
              </w:rPr>
              <w:t>646,154</w:t>
            </w:r>
          </w:p>
        </w:tc>
        <w:tc>
          <w:tcPr>
            <w:tcW w:w="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DBDBDB"/>
              <w:right w:val="single" w:sz="8" w:color="E5E5E5"/>
            </w:tcBorders>
            <w:shd w:val="clear" w:color="auto" w:fill="DBDBDB"/>
          </w:tcPr>
          <w:p>
            <w:pPr>
              <w:ind w:left="5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DBDBDB"/>
              <w:right w:val="single" w:sz="8" w:color="E5E5E5"/>
            </w:tcBorders>
            <w:shd w:val="clear" w:color="auto" w:fill="DBDBDB"/>
          </w:tcPr>
          <w:p>
            <w:pPr>
              <w:jc w:val="right"/>
              <w:ind w:right="19"/>
              <w:spacing w:after="0"/>
              <w:rPr>
                <w:sz w:val="20"/>
                <w:szCs w:val="20"/>
                <w:color w:val="auto"/>
              </w:rPr>
            </w:pPr>
            <w:r>
              <w:rPr>
                <w:rFonts w:ascii="Arial" w:cs="Arial" w:eastAsia="Arial" w:hAnsi="Arial"/>
                <w:sz w:val="16"/>
                <w:szCs w:val="16"/>
                <w:color w:val="auto"/>
              </w:rPr>
              <w:t>799,881</w:t>
            </w:r>
          </w:p>
        </w:tc>
        <w:tc>
          <w:tcPr>
            <w:tcW w:w="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DBDBDB"/>
              <w:right w:val="single" w:sz="8" w:color="E5E5E5"/>
            </w:tcBorders>
            <w:shd w:val="clear" w:color="auto" w:fill="DBDBDB"/>
          </w:tcPr>
          <w:p>
            <w:pPr>
              <w:jc w:val="right"/>
              <w:spacing w:after="0"/>
              <w:rPr>
                <w:sz w:val="20"/>
                <w:szCs w:val="20"/>
                <w:color w:val="auto"/>
              </w:rPr>
            </w:pPr>
            <w:r>
              <w:rPr>
                <w:rFonts w:ascii="Arial" w:cs="Arial" w:eastAsia="Arial" w:hAnsi="Arial"/>
                <w:sz w:val="16"/>
                <w:szCs w:val="16"/>
                <w:color w:val="auto"/>
              </w:rPr>
              <w:t>1,105,000</w:t>
            </w:r>
          </w:p>
        </w:tc>
        <w:tc>
          <w:tcPr>
            <w:tcW w:w="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DBDBDB"/>
              <w:right w:val="single" w:sz="8" w:color="E5E5E5"/>
            </w:tcBorders>
            <w:shd w:val="clear" w:color="auto" w:fill="DBDBDB"/>
          </w:tcPr>
          <w:p>
            <w:pPr>
              <w:jc w:val="right"/>
              <w:spacing w:after="0"/>
              <w:rPr>
                <w:sz w:val="20"/>
                <w:szCs w:val="20"/>
                <w:color w:val="auto"/>
              </w:rPr>
            </w:pPr>
            <w:r>
              <w:rPr>
                <w:rFonts w:ascii="Arial" w:cs="Arial" w:eastAsia="Arial" w:hAnsi="Arial"/>
                <w:sz w:val="16"/>
                <w:szCs w:val="16"/>
                <w:color w:val="auto"/>
              </w:rPr>
              <w:t>20,402</w:t>
            </w:r>
          </w:p>
        </w:tc>
        <w:tc>
          <w:tcPr>
            <w:tcW w:w="220" w:type="dxa"/>
            <w:vAlign w:val="bottom"/>
            <w:tcBorders>
              <w:bottom w:val="single" w:sz="8" w:color="DBDBDB"/>
            </w:tcBorders>
            <w:shd w:val="clear" w:color="auto" w:fill="DBDBDB"/>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DBDBDB"/>
              <w:right w:val="single" w:sz="8" w:color="E5E5E5"/>
            </w:tcBorders>
            <w:shd w:val="clear" w:color="auto" w:fill="DBDBDB"/>
          </w:tcPr>
          <w:p>
            <w:pPr>
              <w:jc w:val="right"/>
              <w:ind w:right="19"/>
              <w:spacing w:after="0"/>
              <w:rPr>
                <w:sz w:val="20"/>
                <w:szCs w:val="20"/>
                <w:color w:val="auto"/>
              </w:rPr>
            </w:pPr>
            <w:r>
              <w:rPr>
                <w:rFonts w:ascii="Arial" w:cs="Arial" w:eastAsia="Arial" w:hAnsi="Arial"/>
                <w:sz w:val="16"/>
                <w:szCs w:val="16"/>
                <w:color w:val="auto"/>
              </w:rPr>
              <w:t>2,571,437</w:t>
            </w:r>
          </w:p>
        </w:tc>
        <w:tc>
          <w:tcPr>
            <w:tcW w:w="0" w:type="dxa"/>
            <w:vAlign w:val="bottom"/>
          </w:tcPr>
          <w:p>
            <w:pPr>
              <w:spacing w:after="0"/>
              <w:rPr>
                <w:sz w:val="1"/>
                <w:szCs w:val="1"/>
                <w:color w:val="auto"/>
              </w:rPr>
            </w:pPr>
          </w:p>
        </w:tc>
      </w:tr>
      <w:tr>
        <w:trPr>
          <w:trHeight w:val="162"/>
        </w:trPr>
        <w:tc>
          <w:tcPr>
            <w:tcW w:w="3120" w:type="dxa"/>
            <w:vAlign w:val="bottom"/>
            <w:tcBorders>
              <w:left w:val="single" w:sz="8" w:color="E5E5E5"/>
              <w:right w:val="single" w:sz="8" w:color="E5E5E5"/>
            </w:tcBorders>
          </w:tcPr>
          <w:p>
            <w:pPr>
              <w:ind w:left="40"/>
              <w:spacing w:after="0" w:line="162" w:lineRule="exact"/>
              <w:rPr>
                <w:sz w:val="20"/>
                <w:szCs w:val="20"/>
                <w:color w:val="auto"/>
              </w:rPr>
            </w:pPr>
            <w:r>
              <w:rPr>
                <w:rFonts w:ascii="Arial" w:cs="Arial" w:eastAsia="Arial" w:hAnsi="Arial"/>
                <w:sz w:val="16"/>
                <w:szCs w:val="16"/>
                <w:color w:val="auto"/>
              </w:rPr>
              <w:t>Jed Milstein</w:t>
            </w:r>
          </w:p>
        </w:tc>
        <w:tc>
          <w:tcPr>
            <w:tcW w:w="640" w:type="dxa"/>
            <w:vAlign w:val="bottom"/>
            <w:tcBorders>
              <w:right w:val="single" w:sz="8" w:color="E5E5E5"/>
            </w:tcBorders>
          </w:tcPr>
          <w:p>
            <w:pPr>
              <w:ind w:left="120"/>
              <w:spacing w:after="0" w:line="162" w:lineRule="exact"/>
              <w:rPr>
                <w:sz w:val="20"/>
                <w:szCs w:val="20"/>
                <w:color w:val="auto"/>
              </w:rPr>
            </w:pPr>
            <w:r>
              <w:rPr>
                <w:rFonts w:ascii="Arial" w:cs="Arial" w:eastAsia="Arial" w:hAnsi="Arial"/>
                <w:sz w:val="16"/>
                <w:szCs w:val="16"/>
                <w:color w:val="auto"/>
              </w:rPr>
              <w:t>2024</w:t>
            </w:r>
          </w:p>
        </w:tc>
        <w:tc>
          <w:tcPr>
            <w:tcW w:w="100" w:type="dxa"/>
            <w:vAlign w:val="bottom"/>
          </w:tcPr>
          <w:p>
            <w:pPr>
              <w:jc w:val="right"/>
              <w:spacing w:after="0" w:line="162" w:lineRule="exact"/>
              <w:rPr>
                <w:sz w:val="20"/>
                <w:szCs w:val="20"/>
                <w:color w:val="auto"/>
              </w:rPr>
            </w:pPr>
            <w:r>
              <w:rPr>
                <w:rFonts w:ascii="Arial" w:cs="Arial" w:eastAsia="Arial" w:hAnsi="Arial"/>
                <w:sz w:val="16"/>
                <w:szCs w:val="16"/>
                <w:color w:val="auto"/>
                <w:w w:val="89"/>
              </w:rPr>
              <w:t>$</w:t>
            </w:r>
          </w:p>
        </w:tc>
        <w:tc>
          <w:tcPr>
            <w:tcW w:w="1020" w:type="dxa"/>
            <w:vAlign w:val="bottom"/>
            <w:tcBorders>
              <w:right w:val="single" w:sz="8" w:color="E5E5E5"/>
            </w:tcBorders>
          </w:tcPr>
          <w:p>
            <w:pPr>
              <w:jc w:val="right"/>
              <w:spacing w:after="0" w:line="162" w:lineRule="exact"/>
              <w:rPr>
                <w:sz w:val="20"/>
                <w:szCs w:val="20"/>
                <w:color w:val="auto"/>
              </w:rPr>
            </w:pPr>
            <w:r>
              <w:rPr>
                <w:rFonts w:ascii="Arial" w:cs="Arial" w:eastAsia="Arial" w:hAnsi="Arial"/>
                <w:sz w:val="16"/>
                <w:szCs w:val="16"/>
                <w:color w:val="auto"/>
              </w:rPr>
              <w:t>621,635</w:t>
            </w:r>
          </w:p>
        </w:tc>
        <w:tc>
          <w:tcPr>
            <w:tcW w:w="140" w:type="dxa"/>
            <w:vAlign w:val="bottom"/>
          </w:tcPr>
          <w:p>
            <w:pPr>
              <w:jc w:val="right"/>
              <w:spacing w:after="0" w:line="162" w:lineRule="exact"/>
              <w:rPr>
                <w:sz w:val="20"/>
                <w:szCs w:val="20"/>
                <w:color w:val="auto"/>
              </w:rPr>
            </w:pPr>
            <w:r>
              <w:rPr>
                <w:rFonts w:ascii="Arial" w:cs="Arial" w:eastAsia="Arial" w:hAnsi="Arial"/>
                <w:sz w:val="16"/>
                <w:szCs w:val="16"/>
                <w:color w:val="auto"/>
                <w:w w:val="89"/>
              </w:rPr>
              <w:t>$</w:t>
            </w:r>
          </w:p>
        </w:tc>
        <w:tc>
          <w:tcPr>
            <w:tcW w:w="760" w:type="dxa"/>
            <w:vAlign w:val="bottom"/>
            <w:tcBorders>
              <w:right w:val="single" w:sz="8" w:color="E5E5E5"/>
            </w:tcBorders>
          </w:tcPr>
          <w:p>
            <w:pPr>
              <w:ind w:left="500"/>
              <w:spacing w:after="0" w:line="162" w:lineRule="exact"/>
              <w:rPr>
                <w:sz w:val="20"/>
                <w:szCs w:val="20"/>
                <w:color w:val="auto"/>
              </w:rPr>
            </w:pPr>
            <w:r>
              <w:rPr>
                <w:rFonts w:ascii="Arial" w:cs="Arial" w:eastAsia="Arial" w:hAnsi="Arial"/>
                <w:sz w:val="16"/>
                <w:szCs w:val="16"/>
                <w:color w:val="auto"/>
              </w:rPr>
              <w:t>—</w:t>
            </w:r>
          </w:p>
        </w:tc>
        <w:tc>
          <w:tcPr>
            <w:tcW w:w="160" w:type="dxa"/>
            <w:vAlign w:val="bottom"/>
          </w:tcPr>
          <w:p>
            <w:pPr>
              <w:jc w:val="right"/>
              <w:spacing w:after="0" w:line="162" w:lineRule="exact"/>
              <w:rPr>
                <w:sz w:val="20"/>
                <w:szCs w:val="20"/>
                <w:color w:val="auto"/>
              </w:rPr>
            </w:pPr>
            <w:r>
              <w:rPr>
                <w:rFonts w:ascii="Arial" w:cs="Arial" w:eastAsia="Arial" w:hAnsi="Arial"/>
                <w:sz w:val="16"/>
                <w:szCs w:val="16"/>
                <w:color w:val="auto"/>
                <w:w w:val="89"/>
              </w:rPr>
              <w:t>$</w:t>
            </w:r>
          </w:p>
        </w:tc>
        <w:tc>
          <w:tcPr>
            <w:tcW w:w="1000" w:type="dxa"/>
            <w:vAlign w:val="bottom"/>
            <w:tcBorders>
              <w:right w:val="single" w:sz="8" w:color="E5E5E5"/>
            </w:tcBorders>
          </w:tcPr>
          <w:p>
            <w:pPr>
              <w:jc w:val="right"/>
              <w:ind w:right="19"/>
              <w:spacing w:after="0" w:line="162" w:lineRule="exact"/>
              <w:rPr>
                <w:sz w:val="20"/>
                <w:szCs w:val="20"/>
                <w:color w:val="auto"/>
              </w:rPr>
            </w:pPr>
            <w:r>
              <w:rPr>
                <w:rFonts w:ascii="Arial" w:cs="Arial" w:eastAsia="Arial" w:hAnsi="Arial"/>
                <w:sz w:val="16"/>
                <w:szCs w:val="16"/>
                <w:color w:val="auto"/>
              </w:rPr>
              <w:t>900,094</w:t>
            </w:r>
          </w:p>
        </w:tc>
        <w:tc>
          <w:tcPr>
            <w:tcW w:w="160" w:type="dxa"/>
            <w:vAlign w:val="bottom"/>
          </w:tcPr>
          <w:p>
            <w:pPr>
              <w:jc w:val="right"/>
              <w:spacing w:after="0" w:line="162" w:lineRule="exact"/>
              <w:rPr>
                <w:sz w:val="20"/>
                <w:szCs w:val="20"/>
                <w:color w:val="auto"/>
              </w:rPr>
            </w:pPr>
            <w:r>
              <w:rPr>
                <w:rFonts w:ascii="Arial" w:cs="Arial" w:eastAsia="Arial" w:hAnsi="Arial"/>
                <w:sz w:val="16"/>
                <w:szCs w:val="16"/>
                <w:color w:val="auto"/>
                <w:w w:val="89"/>
              </w:rPr>
              <w:t>$</w:t>
            </w:r>
          </w:p>
        </w:tc>
        <w:tc>
          <w:tcPr>
            <w:tcW w:w="1520" w:type="dxa"/>
            <w:vAlign w:val="bottom"/>
            <w:tcBorders>
              <w:right w:val="single" w:sz="8" w:color="E5E5E5"/>
            </w:tcBorders>
          </w:tcPr>
          <w:p>
            <w:pPr>
              <w:jc w:val="right"/>
              <w:spacing w:after="0" w:line="162" w:lineRule="exact"/>
              <w:rPr>
                <w:sz w:val="20"/>
                <w:szCs w:val="20"/>
                <w:color w:val="auto"/>
              </w:rPr>
            </w:pPr>
            <w:r>
              <w:rPr>
                <w:rFonts w:ascii="Arial" w:cs="Arial" w:eastAsia="Arial" w:hAnsi="Arial"/>
                <w:sz w:val="16"/>
                <w:szCs w:val="16"/>
                <w:color w:val="auto"/>
              </w:rPr>
              <w:t>504,688</w:t>
            </w:r>
          </w:p>
        </w:tc>
        <w:tc>
          <w:tcPr>
            <w:tcW w:w="140" w:type="dxa"/>
            <w:vAlign w:val="bottom"/>
          </w:tcPr>
          <w:p>
            <w:pPr>
              <w:jc w:val="right"/>
              <w:spacing w:after="0" w:line="162" w:lineRule="exact"/>
              <w:rPr>
                <w:sz w:val="20"/>
                <w:szCs w:val="20"/>
                <w:color w:val="auto"/>
              </w:rPr>
            </w:pPr>
            <w:r>
              <w:rPr>
                <w:rFonts w:ascii="Arial" w:cs="Arial" w:eastAsia="Arial" w:hAnsi="Arial"/>
                <w:sz w:val="16"/>
                <w:szCs w:val="16"/>
                <w:color w:val="auto"/>
                <w:w w:val="89"/>
              </w:rPr>
              <w:t>$</w:t>
            </w:r>
          </w:p>
        </w:tc>
        <w:tc>
          <w:tcPr>
            <w:tcW w:w="1360" w:type="dxa"/>
            <w:vAlign w:val="bottom"/>
            <w:tcBorders>
              <w:right w:val="single" w:sz="8" w:color="E5E5E5"/>
            </w:tcBorders>
          </w:tcPr>
          <w:p>
            <w:pPr>
              <w:jc w:val="right"/>
              <w:spacing w:after="0" w:line="162" w:lineRule="exact"/>
              <w:rPr>
                <w:sz w:val="20"/>
                <w:szCs w:val="20"/>
                <w:color w:val="auto"/>
              </w:rPr>
            </w:pPr>
            <w:r>
              <w:rPr>
                <w:rFonts w:ascii="Arial" w:cs="Arial" w:eastAsia="Arial" w:hAnsi="Arial"/>
                <w:sz w:val="16"/>
                <w:szCs w:val="16"/>
                <w:color w:val="auto"/>
              </w:rPr>
              <w:t>19,950</w:t>
            </w:r>
          </w:p>
        </w:tc>
        <w:tc>
          <w:tcPr>
            <w:tcW w:w="220" w:type="dxa"/>
            <w:vAlign w:val="bottom"/>
          </w:tcPr>
          <w:p>
            <w:pPr>
              <w:jc w:val="right"/>
              <w:ind w:right="39"/>
              <w:spacing w:after="0" w:line="162" w:lineRule="exact"/>
              <w:rPr>
                <w:sz w:val="20"/>
                <w:szCs w:val="20"/>
                <w:color w:val="auto"/>
              </w:rPr>
            </w:pPr>
            <w:r>
              <w:rPr>
                <w:rFonts w:ascii="Arial" w:cs="Arial" w:eastAsia="Arial" w:hAnsi="Arial"/>
                <w:sz w:val="16"/>
                <w:szCs w:val="16"/>
                <w:color w:val="auto"/>
                <w:w w:val="89"/>
              </w:rPr>
              <w:t>$</w:t>
            </w:r>
          </w:p>
        </w:tc>
        <w:tc>
          <w:tcPr>
            <w:tcW w:w="920" w:type="dxa"/>
            <w:vAlign w:val="bottom"/>
            <w:tcBorders>
              <w:right w:val="single" w:sz="8" w:color="E5E5E5"/>
            </w:tcBorders>
          </w:tcPr>
          <w:p>
            <w:pPr>
              <w:jc w:val="right"/>
              <w:ind w:right="19"/>
              <w:spacing w:after="0" w:line="162" w:lineRule="exact"/>
              <w:rPr>
                <w:sz w:val="20"/>
                <w:szCs w:val="20"/>
                <w:color w:val="auto"/>
              </w:rPr>
            </w:pPr>
            <w:r>
              <w:rPr>
                <w:rFonts w:ascii="Arial" w:cs="Arial" w:eastAsia="Arial" w:hAnsi="Arial"/>
                <w:sz w:val="16"/>
                <w:szCs w:val="16"/>
                <w:color w:val="auto"/>
              </w:rPr>
              <w:t>2,046,367</w:t>
            </w:r>
          </w:p>
        </w:tc>
        <w:tc>
          <w:tcPr>
            <w:tcW w:w="0" w:type="dxa"/>
            <w:vAlign w:val="bottom"/>
          </w:tcPr>
          <w:p>
            <w:pPr>
              <w:spacing w:after="0"/>
              <w:rPr>
                <w:sz w:val="1"/>
                <w:szCs w:val="1"/>
                <w:color w:val="auto"/>
              </w:rPr>
            </w:pPr>
          </w:p>
        </w:tc>
      </w:tr>
      <w:tr>
        <w:trPr>
          <w:trHeight w:val="95"/>
        </w:trPr>
        <w:tc>
          <w:tcPr>
            <w:tcW w:w="3120" w:type="dxa"/>
            <w:vAlign w:val="bottom"/>
            <w:tcBorders>
              <w:left w:val="single" w:sz="8" w:color="E5E5E5"/>
              <w:right w:val="single" w:sz="8" w:color="E5E5E5"/>
            </w:tcBorders>
            <w:vMerge w:val="restart"/>
          </w:tcPr>
          <w:p>
            <w:pPr>
              <w:ind w:left="120"/>
              <w:spacing w:after="0" w:line="162" w:lineRule="exact"/>
              <w:rPr>
                <w:sz w:val="20"/>
                <w:szCs w:val="20"/>
                <w:color w:val="auto"/>
              </w:rPr>
            </w:pPr>
            <w:r>
              <w:rPr>
                <w:rFonts w:ascii="Arial" w:cs="Arial" w:eastAsia="Arial" w:hAnsi="Arial"/>
                <w:sz w:val="16"/>
                <w:szCs w:val="16"/>
                <w:color w:val="auto"/>
              </w:rPr>
              <w:t>Senior Vice President &amp; Chief</w:t>
            </w:r>
          </w:p>
        </w:tc>
        <w:tc>
          <w:tcPr>
            <w:tcW w:w="640" w:type="dxa"/>
            <w:vAlign w:val="bottom"/>
            <w:tcBorders>
              <w:bottom w:val="single" w:sz="8" w:color="E5E5E5"/>
              <w:right w:val="single" w:sz="8" w:color="E5E5E5"/>
            </w:tcBorders>
          </w:tcPr>
          <w:p>
            <w:pPr>
              <w:spacing w:after="0"/>
              <w:rPr>
                <w:sz w:val="8"/>
                <w:szCs w:val="8"/>
                <w:color w:val="auto"/>
              </w:rPr>
            </w:pPr>
          </w:p>
        </w:tc>
        <w:tc>
          <w:tcPr>
            <w:tcW w:w="100" w:type="dxa"/>
            <w:vAlign w:val="bottom"/>
            <w:tcBorders>
              <w:bottom w:val="single" w:sz="8" w:color="E5E5E5"/>
            </w:tcBorders>
          </w:tcPr>
          <w:p>
            <w:pPr>
              <w:spacing w:after="0"/>
              <w:rPr>
                <w:sz w:val="8"/>
                <w:szCs w:val="8"/>
                <w:color w:val="auto"/>
              </w:rPr>
            </w:pPr>
          </w:p>
        </w:tc>
        <w:tc>
          <w:tcPr>
            <w:tcW w:w="1020" w:type="dxa"/>
            <w:vAlign w:val="bottom"/>
            <w:tcBorders>
              <w:bottom w:val="single" w:sz="8" w:color="E5E5E5"/>
              <w:right w:val="single" w:sz="8" w:color="E5E5E5"/>
            </w:tcBorders>
          </w:tcPr>
          <w:p>
            <w:pPr>
              <w:spacing w:after="0"/>
              <w:rPr>
                <w:sz w:val="8"/>
                <w:szCs w:val="8"/>
                <w:color w:val="auto"/>
              </w:rPr>
            </w:pPr>
          </w:p>
        </w:tc>
        <w:tc>
          <w:tcPr>
            <w:tcW w:w="140" w:type="dxa"/>
            <w:vAlign w:val="bottom"/>
            <w:tcBorders>
              <w:bottom w:val="single" w:sz="8" w:color="E5E5E5"/>
            </w:tcBorders>
          </w:tcPr>
          <w:p>
            <w:pPr>
              <w:spacing w:after="0"/>
              <w:rPr>
                <w:sz w:val="8"/>
                <w:szCs w:val="8"/>
                <w:color w:val="auto"/>
              </w:rPr>
            </w:pPr>
          </w:p>
        </w:tc>
        <w:tc>
          <w:tcPr>
            <w:tcW w:w="760" w:type="dxa"/>
            <w:vAlign w:val="bottom"/>
            <w:tcBorders>
              <w:bottom w:val="single" w:sz="8" w:color="E5E5E5"/>
              <w:right w:val="single" w:sz="8" w:color="E5E5E5"/>
            </w:tcBorders>
          </w:tcPr>
          <w:p>
            <w:pPr>
              <w:spacing w:after="0"/>
              <w:rPr>
                <w:sz w:val="8"/>
                <w:szCs w:val="8"/>
                <w:color w:val="auto"/>
              </w:rPr>
            </w:pPr>
          </w:p>
        </w:tc>
        <w:tc>
          <w:tcPr>
            <w:tcW w:w="160" w:type="dxa"/>
            <w:vAlign w:val="bottom"/>
            <w:tcBorders>
              <w:bottom w:val="single" w:sz="8" w:color="E5E5E5"/>
            </w:tcBorders>
          </w:tcPr>
          <w:p>
            <w:pPr>
              <w:spacing w:after="0"/>
              <w:rPr>
                <w:sz w:val="8"/>
                <w:szCs w:val="8"/>
                <w:color w:val="auto"/>
              </w:rPr>
            </w:pPr>
          </w:p>
        </w:tc>
        <w:tc>
          <w:tcPr>
            <w:tcW w:w="1000" w:type="dxa"/>
            <w:vAlign w:val="bottom"/>
            <w:tcBorders>
              <w:bottom w:val="single" w:sz="8" w:color="E5E5E5"/>
              <w:right w:val="single" w:sz="8" w:color="E5E5E5"/>
            </w:tcBorders>
          </w:tcPr>
          <w:p>
            <w:pPr>
              <w:spacing w:after="0"/>
              <w:rPr>
                <w:sz w:val="8"/>
                <w:szCs w:val="8"/>
                <w:color w:val="auto"/>
              </w:rPr>
            </w:pPr>
          </w:p>
        </w:tc>
        <w:tc>
          <w:tcPr>
            <w:tcW w:w="160" w:type="dxa"/>
            <w:vAlign w:val="bottom"/>
            <w:tcBorders>
              <w:bottom w:val="single" w:sz="8" w:color="E5E5E5"/>
            </w:tcBorders>
          </w:tcPr>
          <w:p>
            <w:pPr>
              <w:spacing w:after="0"/>
              <w:rPr>
                <w:sz w:val="8"/>
                <w:szCs w:val="8"/>
                <w:color w:val="auto"/>
              </w:rPr>
            </w:pPr>
          </w:p>
        </w:tc>
        <w:tc>
          <w:tcPr>
            <w:tcW w:w="1520" w:type="dxa"/>
            <w:vAlign w:val="bottom"/>
            <w:tcBorders>
              <w:bottom w:val="single" w:sz="8" w:color="E5E5E5"/>
              <w:right w:val="single" w:sz="8" w:color="E5E5E5"/>
            </w:tcBorders>
          </w:tcPr>
          <w:p>
            <w:pPr>
              <w:spacing w:after="0"/>
              <w:rPr>
                <w:sz w:val="8"/>
                <w:szCs w:val="8"/>
                <w:color w:val="auto"/>
              </w:rPr>
            </w:pPr>
          </w:p>
        </w:tc>
        <w:tc>
          <w:tcPr>
            <w:tcW w:w="140" w:type="dxa"/>
            <w:vAlign w:val="bottom"/>
            <w:tcBorders>
              <w:bottom w:val="single" w:sz="8" w:color="E5E5E5"/>
            </w:tcBorders>
          </w:tcPr>
          <w:p>
            <w:pPr>
              <w:spacing w:after="0"/>
              <w:rPr>
                <w:sz w:val="8"/>
                <w:szCs w:val="8"/>
                <w:color w:val="auto"/>
              </w:rPr>
            </w:pPr>
          </w:p>
        </w:tc>
        <w:tc>
          <w:tcPr>
            <w:tcW w:w="1360" w:type="dxa"/>
            <w:vAlign w:val="bottom"/>
            <w:tcBorders>
              <w:bottom w:val="single" w:sz="8" w:color="E5E5E5"/>
              <w:right w:val="single" w:sz="8" w:color="E5E5E5"/>
            </w:tcBorders>
          </w:tcPr>
          <w:p>
            <w:pPr>
              <w:spacing w:after="0"/>
              <w:rPr>
                <w:sz w:val="8"/>
                <w:szCs w:val="8"/>
                <w:color w:val="auto"/>
              </w:rPr>
            </w:pPr>
          </w:p>
        </w:tc>
        <w:tc>
          <w:tcPr>
            <w:tcW w:w="220" w:type="dxa"/>
            <w:vAlign w:val="bottom"/>
            <w:tcBorders>
              <w:bottom w:val="single" w:sz="8" w:color="E5E5E5"/>
            </w:tcBorders>
          </w:tcPr>
          <w:p>
            <w:pPr>
              <w:spacing w:after="0"/>
              <w:rPr>
                <w:sz w:val="8"/>
                <w:szCs w:val="8"/>
                <w:color w:val="auto"/>
              </w:rPr>
            </w:pPr>
          </w:p>
        </w:tc>
        <w:tc>
          <w:tcPr>
            <w:tcW w:w="920" w:type="dxa"/>
            <w:vAlign w:val="bottom"/>
            <w:tcBorders>
              <w:bottom w:val="single" w:sz="8" w:color="E5E5E5"/>
              <w:right w:val="single" w:sz="8" w:color="E5E5E5"/>
            </w:tcBorders>
          </w:tcPr>
          <w:p>
            <w:pPr>
              <w:spacing w:after="0"/>
              <w:rPr>
                <w:sz w:val="8"/>
                <w:szCs w:val="8"/>
                <w:color w:val="auto"/>
              </w:rPr>
            </w:pPr>
          </w:p>
        </w:tc>
        <w:tc>
          <w:tcPr>
            <w:tcW w:w="0" w:type="dxa"/>
            <w:vAlign w:val="bottom"/>
          </w:tcPr>
          <w:p>
            <w:pPr>
              <w:spacing w:after="0"/>
              <w:rPr>
                <w:sz w:val="1"/>
                <w:szCs w:val="1"/>
                <w:color w:val="auto"/>
              </w:rPr>
            </w:pPr>
          </w:p>
        </w:tc>
      </w:tr>
      <w:tr>
        <w:trPr>
          <w:trHeight w:val="48"/>
        </w:trPr>
        <w:tc>
          <w:tcPr>
            <w:tcW w:w="3120" w:type="dxa"/>
            <w:vAlign w:val="bottom"/>
            <w:tcBorders>
              <w:left w:val="single" w:sz="8" w:color="E5E5E5"/>
              <w:right w:val="single" w:sz="8" w:color="E5E5E5"/>
            </w:tcBorders>
            <w:vMerge w:val="continue"/>
          </w:tcPr>
          <w:p>
            <w:pPr>
              <w:spacing w:after="0"/>
              <w:rPr>
                <w:sz w:val="4"/>
                <w:szCs w:val="4"/>
                <w:color w:val="auto"/>
              </w:rPr>
            </w:pPr>
          </w:p>
        </w:tc>
        <w:tc>
          <w:tcPr>
            <w:tcW w:w="640" w:type="dxa"/>
            <w:vAlign w:val="bottom"/>
            <w:tcBorders>
              <w:right w:val="single" w:sz="8" w:color="E5E5E5"/>
            </w:tcBorders>
            <w:vMerge w:val="restart"/>
          </w:tcPr>
          <w:p>
            <w:pPr>
              <w:ind w:left="120"/>
              <w:spacing w:after="0"/>
              <w:rPr>
                <w:sz w:val="20"/>
                <w:szCs w:val="20"/>
                <w:color w:val="auto"/>
              </w:rPr>
            </w:pPr>
            <w:r>
              <w:rPr>
                <w:rFonts w:ascii="Arial" w:cs="Arial" w:eastAsia="Arial" w:hAnsi="Arial"/>
                <w:sz w:val="16"/>
                <w:szCs w:val="16"/>
                <w:color w:val="auto"/>
              </w:rPr>
              <w:t>2023</w:t>
            </w: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right w:val="single" w:sz="8" w:color="E5E5E5"/>
            </w:tcBorders>
            <w:vMerge w:val="restart"/>
          </w:tcPr>
          <w:p>
            <w:pPr>
              <w:jc w:val="right"/>
              <w:spacing w:after="0"/>
              <w:rPr>
                <w:sz w:val="20"/>
                <w:szCs w:val="20"/>
                <w:color w:val="auto"/>
              </w:rPr>
            </w:pPr>
            <w:r>
              <w:rPr>
                <w:rFonts w:ascii="Arial" w:cs="Arial" w:eastAsia="Arial" w:hAnsi="Arial"/>
                <w:sz w:val="16"/>
                <w:szCs w:val="16"/>
                <w:color w:val="auto"/>
              </w:rPr>
              <w:t>594,808</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right w:val="single" w:sz="8" w:color="E5E5E5"/>
            </w:tcBorders>
            <w:vMerge w:val="restart"/>
          </w:tcPr>
          <w:p>
            <w:pPr>
              <w:ind w:left="500"/>
              <w:spacing w:after="0"/>
              <w:rPr>
                <w:sz w:val="20"/>
                <w:szCs w:val="20"/>
                <w:color w:val="auto"/>
              </w:rPr>
            </w:pPr>
            <w:r>
              <w:rPr>
                <w:rFonts w:ascii="Arial" w:cs="Arial" w:eastAsia="Arial" w:hAnsi="Arial"/>
                <w:sz w:val="16"/>
                <w:szCs w:val="16"/>
                <w:color w:val="auto"/>
              </w:rPr>
              <w:t>—</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right w:val="single" w:sz="8" w:color="E5E5E5"/>
            </w:tcBorders>
            <w:vMerge w:val="restart"/>
          </w:tcPr>
          <w:p>
            <w:pPr>
              <w:jc w:val="right"/>
              <w:ind w:right="19"/>
              <w:spacing w:after="0"/>
              <w:rPr>
                <w:sz w:val="20"/>
                <w:szCs w:val="20"/>
                <w:color w:val="auto"/>
              </w:rPr>
            </w:pPr>
            <w:r>
              <w:rPr>
                <w:rFonts w:ascii="Arial" w:cs="Arial" w:eastAsia="Arial" w:hAnsi="Arial"/>
                <w:sz w:val="16"/>
                <w:szCs w:val="16"/>
                <w:color w:val="auto"/>
              </w:rPr>
              <w:t>699,971</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right w:val="single" w:sz="8" w:color="E5E5E5"/>
            </w:tcBorders>
            <w:vMerge w:val="restart"/>
          </w:tcPr>
          <w:p>
            <w:pPr>
              <w:jc w:val="right"/>
              <w:spacing w:after="0"/>
              <w:rPr>
                <w:sz w:val="20"/>
                <w:szCs w:val="20"/>
                <w:color w:val="auto"/>
              </w:rPr>
            </w:pPr>
            <w:r>
              <w:rPr>
                <w:rFonts w:ascii="Arial" w:cs="Arial" w:eastAsia="Arial" w:hAnsi="Arial"/>
                <w:sz w:val="16"/>
                <w:szCs w:val="16"/>
                <w:color w:val="auto"/>
              </w:rPr>
              <w:t>525,300</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right w:val="single" w:sz="8" w:color="E5E5E5"/>
            </w:tcBorders>
            <w:vMerge w:val="restart"/>
          </w:tcPr>
          <w:p>
            <w:pPr>
              <w:jc w:val="right"/>
              <w:spacing w:after="0"/>
              <w:rPr>
                <w:sz w:val="20"/>
                <w:szCs w:val="20"/>
                <w:color w:val="auto"/>
              </w:rPr>
            </w:pPr>
            <w:r>
              <w:rPr>
                <w:rFonts w:ascii="Arial" w:cs="Arial" w:eastAsia="Arial" w:hAnsi="Arial"/>
                <w:sz w:val="16"/>
                <w:szCs w:val="16"/>
                <w:color w:val="auto"/>
              </w:rPr>
              <w:t>19,500</w:t>
            </w: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tcBorders>
              <w:right w:val="single" w:sz="8" w:color="E5E5E5"/>
            </w:tcBorders>
            <w:vMerge w:val="restart"/>
          </w:tcPr>
          <w:p>
            <w:pPr>
              <w:jc w:val="right"/>
              <w:ind w:right="19"/>
              <w:spacing w:after="0"/>
              <w:rPr>
                <w:sz w:val="20"/>
                <w:szCs w:val="20"/>
                <w:color w:val="auto"/>
              </w:rPr>
            </w:pPr>
            <w:r>
              <w:rPr>
                <w:rFonts w:ascii="Arial" w:cs="Arial" w:eastAsia="Arial" w:hAnsi="Arial"/>
                <w:sz w:val="16"/>
                <w:szCs w:val="16"/>
                <w:color w:val="auto"/>
              </w:rPr>
              <w:t>1,839,579</w:t>
            </w:r>
          </w:p>
        </w:tc>
        <w:tc>
          <w:tcPr>
            <w:tcW w:w="0" w:type="dxa"/>
            <w:vAlign w:val="bottom"/>
          </w:tcPr>
          <w:p>
            <w:pPr>
              <w:spacing w:after="0"/>
              <w:rPr>
                <w:sz w:val="1"/>
                <w:szCs w:val="1"/>
                <w:color w:val="auto"/>
              </w:rPr>
            </w:pPr>
          </w:p>
        </w:tc>
      </w:tr>
      <w:tr>
        <w:trPr>
          <w:trHeight w:val="207"/>
        </w:trPr>
        <w:tc>
          <w:tcPr>
            <w:tcW w:w="3120" w:type="dxa"/>
            <w:vAlign w:val="bottom"/>
            <w:tcBorders>
              <w:left w:val="single" w:sz="8" w:color="E5E5E5"/>
              <w:right w:val="single" w:sz="8" w:color="E5E5E5"/>
            </w:tcBorders>
          </w:tcPr>
          <w:p>
            <w:pPr>
              <w:ind w:left="120"/>
              <w:spacing w:after="0" w:line="203" w:lineRule="exact"/>
              <w:rPr>
                <w:sz w:val="20"/>
                <w:szCs w:val="20"/>
                <w:color w:val="auto"/>
              </w:rPr>
            </w:pPr>
            <w:r>
              <w:rPr>
                <w:rFonts w:ascii="Arial" w:cs="Arial" w:eastAsia="Arial" w:hAnsi="Arial"/>
                <w:sz w:val="16"/>
                <w:szCs w:val="16"/>
                <w:color w:val="auto"/>
              </w:rPr>
              <w:t>Human Resources Officer</w:t>
            </w:r>
            <w:r>
              <w:rPr>
                <w:rFonts w:ascii="Arial" w:cs="Arial" w:eastAsia="Arial" w:hAnsi="Arial"/>
                <w:sz w:val="21"/>
                <w:szCs w:val="21"/>
                <w:color w:val="auto"/>
                <w:vertAlign w:val="superscript"/>
              </w:rPr>
              <w:t>(6)</w:t>
            </w:r>
          </w:p>
        </w:tc>
        <w:tc>
          <w:tcPr>
            <w:tcW w:w="640" w:type="dxa"/>
            <w:vAlign w:val="bottom"/>
            <w:tcBorders>
              <w:bottom w:val="single" w:sz="8" w:color="E5E5E5"/>
              <w:right w:val="single" w:sz="8" w:color="E5E5E5"/>
            </w:tcBorders>
            <w:vMerge w:val="continue"/>
          </w:tcPr>
          <w:p>
            <w:pPr>
              <w:spacing w:after="0"/>
              <w:rPr>
                <w:sz w:val="17"/>
                <w:szCs w:val="17"/>
                <w:color w:val="auto"/>
              </w:rPr>
            </w:pPr>
          </w:p>
        </w:tc>
        <w:tc>
          <w:tcPr>
            <w:tcW w:w="100" w:type="dxa"/>
            <w:vAlign w:val="bottom"/>
            <w:tcBorders>
              <w:bottom w:val="single" w:sz="8" w:color="E5E5E5"/>
            </w:tcBorders>
            <w:vMerge w:val="continue"/>
          </w:tcPr>
          <w:p>
            <w:pPr>
              <w:spacing w:after="0"/>
              <w:rPr>
                <w:sz w:val="17"/>
                <w:szCs w:val="17"/>
                <w:color w:val="auto"/>
              </w:rPr>
            </w:pPr>
          </w:p>
        </w:tc>
        <w:tc>
          <w:tcPr>
            <w:tcW w:w="1020" w:type="dxa"/>
            <w:vAlign w:val="bottom"/>
            <w:tcBorders>
              <w:bottom w:val="single" w:sz="8" w:color="E5E5E5"/>
              <w:right w:val="single" w:sz="8" w:color="E5E5E5"/>
            </w:tcBorders>
            <w:vMerge w:val="continue"/>
          </w:tcPr>
          <w:p>
            <w:pPr>
              <w:spacing w:after="0"/>
              <w:rPr>
                <w:sz w:val="17"/>
                <w:szCs w:val="17"/>
                <w:color w:val="auto"/>
              </w:rPr>
            </w:pPr>
          </w:p>
        </w:tc>
        <w:tc>
          <w:tcPr>
            <w:tcW w:w="140" w:type="dxa"/>
            <w:vAlign w:val="bottom"/>
            <w:tcBorders>
              <w:bottom w:val="single" w:sz="8" w:color="E5E5E5"/>
            </w:tcBorders>
            <w:vMerge w:val="continue"/>
          </w:tcPr>
          <w:p>
            <w:pPr>
              <w:spacing w:after="0"/>
              <w:rPr>
                <w:sz w:val="17"/>
                <w:szCs w:val="17"/>
                <w:color w:val="auto"/>
              </w:rPr>
            </w:pPr>
          </w:p>
        </w:tc>
        <w:tc>
          <w:tcPr>
            <w:tcW w:w="760" w:type="dxa"/>
            <w:vAlign w:val="bottom"/>
            <w:tcBorders>
              <w:bottom w:val="single" w:sz="8" w:color="E5E5E5"/>
              <w:right w:val="single" w:sz="8" w:color="E5E5E5"/>
            </w:tcBorders>
            <w:vMerge w:val="continue"/>
          </w:tcPr>
          <w:p>
            <w:pPr>
              <w:spacing w:after="0"/>
              <w:rPr>
                <w:sz w:val="17"/>
                <w:szCs w:val="17"/>
                <w:color w:val="auto"/>
              </w:rPr>
            </w:pPr>
          </w:p>
        </w:tc>
        <w:tc>
          <w:tcPr>
            <w:tcW w:w="160" w:type="dxa"/>
            <w:vAlign w:val="bottom"/>
            <w:tcBorders>
              <w:bottom w:val="single" w:sz="8" w:color="E5E5E5"/>
            </w:tcBorders>
            <w:vMerge w:val="continue"/>
          </w:tcPr>
          <w:p>
            <w:pPr>
              <w:spacing w:after="0"/>
              <w:rPr>
                <w:sz w:val="17"/>
                <w:szCs w:val="17"/>
                <w:color w:val="auto"/>
              </w:rPr>
            </w:pPr>
          </w:p>
        </w:tc>
        <w:tc>
          <w:tcPr>
            <w:tcW w:w="1000" w:type="dxa"/>
            <w:vAlign w:val="bottom"/>
            <w:tcBorders>
              <w:bottom w:val="single" w:sz="8" w:color="E5E5E5"/>
              <w:right w:val="single" w:sz="8" w:color="E5E5E5"/>
            </w:tcBorders>
            <w:vMerge w:val="continue"/>
          </w:tcPr>
          <w:p>
            <w:pPr>
              <w:spacing w:after="0"/>
              <w:rPr>
                <w:sz w:val="17"/>
                <w:szCs w:val="17"/>
                <w:color w:val="auto"/>
              </w:rPr>
            </w:pPr>
          </w:p>
        </w:tc>
        <w:tc>
          <w:tcPr>
            <w:tcW w:w="160" w:type="dxa"/>
            <w:vAlign w:val="bottom"/>
            <w:tcBorders>
              <w:bottom w:val="single" w:sz="8" w:color="E5E5E5"/>
            </w:tcBorders>
            <w:vMerge w:val="continue"/>
          </w:tcPr>
          <w:p>
            <w:pPr>
              <w:spacing w:after="0"/>
              <w:rPr>
                <w:sz w:val="17"/>
                <w:szCs w:val="17"/>
                <w:color w:val="auto"/>
              </w:rPr>
            </w:pPr>
          </w:p>
        </w:tc>
        <w:tc>
          <w:tcPr>
            <w:tcW w:w="1520" w:type="dxa"/>
            <w:vAlign w:val="bottom"/>
            <w:tcBorders>
              <w:bottom w:val="single" w:sz="8" w:color="E5E5E5"/>
              <w:right w:val="single" w:sz="8" w:color="E5E5E5"/>
            </w:tcBorders>
            <w:vMerge w:val="continue"/>
          </w:tcPr>
          <w:p>
            <w:pPr>
              <w:spacing w:after="0"/>
              <w:rPr>
                <w:sz w:val="17"/>
                <w:szCs w:val="17"/>
                <w:color w:val="auto"/>
              </w:rPr>
            </w:pPr>
          </w:p>
        </w:tc>
        <w:tc>
          <w:tcPr>
            <w:tcW w:w="140" w:type="dxa"/>
            <w:vAlign w:val="bottom"/>
            <w:tcBorders>
              <w:bottom w:val="single" w:sz="8" w:color="E5E5E5"/>
            </w:tcBorders>
            <w:vMerge w:val="continue"/>
          </w:tcPr>
          <w:p>
            <w:pPr>
              <w:spacing w:after="0"/>
              <w:rPr>
                <w:sz w:val="17"/>
                <w:szCs w:val="17"/>
                <w:color w:val="auto"/>
              </w:rPr>
            </w:pPr>
          </w:p>
        </w:tc>
        <w:tc>
          <w:tcPr>
            <w:tcW w:w="1360" w:type="dxa"/>
            <w:vAlign w:val="bottom"/>
            <w:tcBorders>
              <w:bottom w:val="single" w:sz="8" w:color="E5E5E5"/>
              <w:right w:val="single" w:sz="8" w:color="E5E5E5"/>
            </w:tcBorders>
            <w:vMerge w:val="continue"/>
          </w:tcPr>
          <w:p>
            <w:pPr>
              <w:spacing w:after="0"/>
              <w:rPr>
                <w:sz w:val="17"/>
                <w:szCs w:val="17"/>
                <w:color w:val="auto"/>
              </w:rPr>
            </w:pPr>
          </w:p>
        </w:tc>
        <w:tc>
          <w:tcPr>
            <w:tcW w:w="220" w:type="dxa"/>
            <w:vAlign w:val="bottom"/>
            <w:tcBorders>
              <w:bottom w:val="single" w:sz="8" w:color="E5E5E5"/>
            </w:tcBorders>
            <w:vMerge w:val="continue"/>
          </w:tcPr>
          <w:p>
            <w:pPr>
              <w:spacing w:after="0"/>
              <w:rPr>
                <w:sz w:val="17"/>
                <w:szCs w:val="17"/>
                <w:color w:val="auto"/>
              </w:rPr>
            </w:pPr>
          </w:p>
        </w:tc>
        <w:tc>
          <w:tcPr>
            <w:tcW w:w="920" w:type="dxa"/>
            <w:vAlign w:val="bottom"/>
            <w:tcBorders>
              <w:bottom w:val="single" w:sz="8" w:color="E5E5E5"/>
              <w:right w:val="single" w:sz="8" w:color="E5E5E5"/>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3120" w:type="dxa"/>
            <w:vAlign w:val="bottom"/>
            <w:tcBorders>
              <w:left w:val="single" w:sz="8" w:color="E5E5E5"/>
              <w:right w:val="single" w:sz="8" w:color="E5E5E5"/>
            </w:tcBorders>
          </w:tcPr>
          <w:p>
            <w:pPr>
              <w:spacing w:after="0"/>
              <w:rPr>
                <w:sz w:val="21"/>
                <w:szCs w:val="21"/>
                <w:color w:val="auto"/>
              </w:rPr>
            </w:pPr>
          </w:p>
        </w:tc>
        <w:tc>
          <w:tcPr>
            <w:tcW w:w="640" w:type="dxa"/>
            <w:vAlign w:val="bottom"/>
            <w:tcBorders>
              <w:right w:val="single" w:sz="8" w:color="E5E5E5"/>
            </w:tcBorders>
          </w:tcPr>
          <w:p>
            <w:pPr>
              <w:ind w:left="120"/>
              <w:spacing w:after="0"/>
              <w:rPr>
                <w:sz w:val="20"/>
                <w:szCs w:val="20"/>
                <w:color w:val="auto"/>
              </w:rPr>
            </w:pPr>
            <w:r>
              <w:rPr>
                <w:rFonts w:ascii="Arial" w:cs="Arial" w:eastAsia="Arial" w:hAnsi="Arial"/>
                <w:sz w:val="16"/>
                <w:szCs w:val="16"/>
                <w:color w:val="auto"/>
              </w:rPr>
              <w:t>2022</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right w:val="single" w:sz="8" w:color="E5E5E5"/>
            </w:tcBorders>
          </w:tcPr>
          <w:p>
            <w:pPr>
              <w:jc w:val="right"/>
              <w:spacing w:after="0"/>
              <w:rPr>
                <w:sz w:val="20"/>
                <w:szCs w:val="20"/>
                <w:color w:val="auto"/>
              </w:rPr>
            </w:pPr>
            <w:r>
              <w:rPr>
                <w:rFonts w:ascii="Arial" w:cs="Arial" w:eastAsia="Arial" w:hAnsi="Arial"/>
                <w:sz w:val="16"/>
                <w:szCs w:val="16"/>
                <w:color w:val="auto"/>
              </w:rPr>
              <w:t>552,692</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right w:val="single" w:sz="8" w:color="E5E5E5"/>
            </w:tcBorders>
          </w:tcPr>
          <w:p>
            <w:pPr>
              <w:ind w:left="50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right w:val="single" w:sz="8" w:color="E5E5E5"/>
            </w:tcBorders>
          </w:tcPr>
          <w:p>
            <w:pPr>
              <w:jc w:val="right"/>
              <w:ind w:right="19"/>
              <w:spacing w:after="0"/>
              <w:rPr>
                <w:sz w:val="20"/>
                <w:szCs w:val="20"/>
                <w:color w:val="auto"/>
              </w:rPr>
            </w:pPr>
            <w:r>
              <w:rPr>
                <w:rFonts w:ascii="Arial" w:cs="Arial" w:eastAsia="Arial" w:hAnsi="Arial"/>
                <w:sz w:val="16"/>
                <w:szCs w:val="16"/>
                <w:color w:val="auto"/>
              </w:rPr>
              <w:t>649,880</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right w:val="single" w:sz="8" w:color="E5E5E5"/>
            </w:tcBorders>
          </w:tcPr>
          <w:p>
            <w:pPr>
              <w:jc w:val="right"/>
              <w:spacing w:after="0"/>
              <w:rPr>
                <w:sz w:val="20"/>
                <w:szCs w:val="20"/>
                <w:color w:val="auto"/>
              </w:rPr>
            </w:pPr>
            <w:r>
              <w:rPr>
                <w:rFonts w:ascii="Arial" w:cs="Arial" w:eastAsia="Arial" w:hAnsi="Arial"/>
                <w:sz w:val="16"/>
                <w:szCs w:val="16"/>
                <w:color w:val="auto"/>
              </w:rPr>
              <w:t>943,500</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right w:val="single" w:sz="8" w:color="E5E5E5"/>
            </w:tcBorders>
          </w:tcPr>
          <w:p>
            <w:pPr>
              <w:jc w:val="right"/>
              <w:spacing w:after="0"/>
              <w:rPr>
                <w:sz w:val="20"/>
                <w:szCs w:val="20"/>
                <w:color w:val="auto"/>
              </w:rPr>
            </w:pPr>
            <w:r>
              <w:rPr>
                <w:rFonts w:ascii="Arial" w:cs="Arial" w:eastAsia="Arial" w:hAnsi="Arial"/>
                <w:sz w:val="16"/>
                <w:szCs w:val="16"/>
                <w:color w:val="auto"/>
              </w:rPr>
              <w:t>18,514</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tcBorders>
              <w:right w:val="single" w:sz="8" w:color="E5E5E5"/>
            </w:tcBorders>
          </w:tcPr>
          <w:p>
            <w:pPr>
              <w:jc w:val="right"/>
              <w:ind w:right="19"/>
              <w:spacing w:after="0"/>
              <w:rPr>
                <w:sz w:val="20"/>
                <w:szCs w:val="20"/>
                <w:color w:val="auto"/>
              </w:rPr>
            </w:pPr>
            <w:r>
              <w:rPr>
                <w:rFonts w:ascii="Arial" w:cs="Arial" w:eastAsia="Arial" w:hAnsi="Arial"/>
                <w:sz w:val="16"/>
                <w:szCs w:val="16"/>
                <w:color w:val="auto"/>
              </w:rPr>
              <w:t>2,164,586</w:t>
            </w:r>
          </w:p>
        </w:tc>
        <w:tc>
          <w:tcPr>
            <w:tcW w:w="0" w:type="dxa"/>
            <w:vAlign w:val="bottom"/>
          </w:tcPr>
          <w:p>
            <w:pPr>
              <w:spacing w:after="0"/>
              <w:rPr>
                <w:sz w:val="1"/>
                <w:szCs w:val="1"/>
                <w:color w:val="auto"/>
              </w:rPr>
            </w:pPr>
          </w:p>
        </w:tc>
      </w:tr>
      <w:tr>
        <w:trPr>
          <w:trHeight w:val="177"/>
        </w:trPr>
        <w:tc>
          <w:tcPr>
            <w:tcW w:w="3120" w:type="dxa"/>
            <w:vAlign w:val="bottom"/>
            <w:tcBorders>
              <w:left w:val="single" w:sz="8" w:color="E5E5E5"/>
              <w:right w:val="single" w:sz="8" w:color="E5E5E5"/>
            </w:tcBorders>
            <w:shd w:val="clear" w:color="auto" w:fill="DBDBDB"/>
          </w:tcPr>
          <w:p>
            <w:pPr>
              <w:ind w:left="40"/>
              <w:spacing w:after="0" w:line="177" w:lineRule="exact"/>
              <w:rPr>
                <w:sz w:val="20"/>
                <w:szCs w:val="20"/>
                <w:color w:val="auto"/>
              </w:rPr>
            </w:pPr>
            <w:r>
              <w:rPr>
                <w:rFonts w:ascii="Arial" w:cs="Arial" w:eastAsia="Arial" w:hAnsi="Arial"/>
                <w:sz w:val="16"/>
                <w:szCs w:val="16"/>
                <w:color w:val="auto"/>
              </w:rPr>
              <w:t>Dean Calloway</w:t>
            </w:r>
          </w:p>
        </w:tc>
        <w:tc>
          <w:tcPr>
            <w:tcW w:w="640" w:type="dxa"/>
            <w:vAlign w:val="bottom"/>
            <w:tcBorders>
              <w:right w:val="single" w:sz="8" w:color="E5E5E5"/>
            </w:tcBorders>
            <w:shd w:val="clear" w:color="auto" w:fill="DBDBDB"/>
          </w:tcPr>
          <w:p>
            <w:pPr>
              <w:ind w:left="120"/>
              <w:spacing w:after="0" w:line="177" w:lineRule="exact"/>
              <w:rPr>
                <w:sz w:val="20"/>
                <w:szCs w:val="20"/>
                <w:color w:val="auto"/>
              </w:rPr>
            </w:pPr>
            <w:r>
              <w:rPr>
                <w:rFonts w:ascii="Arial" w:cs="Arial" w:eastAsia="Arial" w:hAnsi="Arial"/>
                <w:sz w:val="16"/>
                <w:szCs w:val="16"/>
                <w:color w:val="auto"/>
              </w:rPr>
              <w:t>2024</w:t>
            </w:r>
          </w:p>
        </w:tc>
        <w:tc>
          <w:tcPr>
            <w:tcW w:w="100" w:type="dxa"/>
            <w:vAlign w:val="bottom"/>
            <w:shd w:val="clear" w:color="auto" w:fill="DBDBDB"/>
          </w:tcPr>
          <w:p>
            <w:pPr>
              <w:jc w:val="right"/>
              <w:spacing w:after="0" w:line="177" w:lineRule="exact"/>
              <w:rPr>
                <w:sz w:val="20"/>
                <w:szCs w:val="20"/>
                <w:color w:val="auto"/>
              </w:rPr>
            </w:pPr>
            <w:r>
              <w:rPr>
                <w:rFonts w:ascii="Arial" w:cs="Arial" w:eastAsia="Arial" w:hAnsi="Arial"/>
                <w:sz w:val="16"/>
                <w:szCs w:val="16"/>
                <w:color w:val="auto"/>
                <w:w w:val="89"/>
              </w:rPr>
              <w:t>$</w:t>
            </w:r>
          </w:p>
        </w:tc>
        <w:tc>
          <w:tcPr>
            <w:tcW w:w="1020" w:type="dxa"/>
            <w:vAlign w:val="bottom"/>
            <w:tcBorders>
              <w:right w:val="single" w:sz="8" w:color="E5E5E5"/>
            </w:tcBorders>
            <w:shd w:val="clear" w:color="auto" w:fill="DBDBDB"/>
          </w:tcPr>
          <w:p>
            <w:pPr>
              <w:jc w:val="right"/>
              <w:spacing w:after="0" w:line="177" w:lineRule="exact"/>
              <w:rPr>
                <w:sz w:val="20"/>
                <w:szCs w:val="20"/>
                <w:color w:val="auto"/>
              </w:rPr>
            </w:pPr>
            <w:r>
              <w:rPr>
                <w:rFonts w:ascii="Arial" w:cs="Arial" w:eastAsia="Arial" w:hAnsi="Arial"/>
                <w:sz w:val="16"/>
                <w:szCs w:val="16"/>
                <w:color w:val="auto"/>
              </w:rPr>
              <w:t>472,308</w:t>
            </w:r>
          </w:p>
        </w:tc>
        <w:tc>
          <w:tcPr>
            <w:tcW w:w="140" w:type="dxa"/>
            <w:vAlign w:val="bottom"/>
            <w:shd w:val="clear" w:color="auto" w:fill="DBDBDB"/>
          </w:tcPr>
          <w:p>
            <w:pPr>
              <w:jc w:val="right"/>
              <w:spacing w:after="0" w:line="177" w:lineRule="exact"/>
              <w:rPr>
                <w:sz w:val="20"/>
                <w:szCs w:val="20"/>
                <w:color w:val="auto"/>
              </w:rPr>
            </w:pPr>
            <w:r>
              <w:rPr>
                <w:rFonts w:ascii="Arial" w:cs="Arial" w:eastAsia="Arial" w:hAnsi="Arial"/>
                <w:sz w:val="16"/>
                <w:szCs w:val="16"/>
                <w:color w:val="auto"/>
                <w:w w:val="89"/>
              </w:rPr>
              <w:t>$</w:t>
            </w:r>
          </w:p>
        </w:tc>
        <w:tc>
          <w:tcPr>
            <w:tcW w:w="760" w:type="dxa"/>
            <w:vAlign w:val="bottom"/>
            <w:tcBorders>
              <w:right w:val="single" w:sz="8" w:color="E5E5E5"/>
            </w:tcBorders>
            <w:shd w:val="clear" w:color="auto" w:fill="DBDBDB"/>
          </w:tcPr>
          <w:p>
            <w:pPr>
              <w:ind w:left="500"/>
              <w:spacing w:after="0" w:line="177" w:lineRule="exact"/>
              <w:rPr>
                <w:sz w:val="20"/>
                <w:szCs w:val="20"/>
                <w:color w:val="auto"/>
              </w:rPr>
            </w:pPr>
            <w:r>
              <w:rPr>
                <w:rFonts w:ascii="Arial" w:cs="Arial" w:eastAsia="Arial" w:hAnsi="Arial"/>
                <w:sz w:val="16"/>
                <w:szCs w:val="16"/>
                <w:color w:val="auto"/>
              </w:rPr>
              <w:t>—</w:t>
            </w:r>
          </w:p>
        </w:tc>
        <w:tc>
          <w:tcPr>
            <w:tcW w:w="160" w:type="dxa"/>
            <w:vAlign w:val="bottom"/>
            <w:shd w:val="clear" w:color="auto" w:fill="DBDBDB"/>
          </w:tcPr>
          <w:p>
            <w:pPr>
              <w:jc w:val="right"/>
              <w:spacing w:after="0" w:line="177" w:lineRule="exact"/>
              <w:rPr>
                <w:sz w:val="20"/>
                <w:szCs w:val="20"/>
                <w:color w:val="auto"/>
              </w:rPr>
            </w:pPr>
            <w:r>
              <w:rPr>
                <w:rFonts w:ascii="Arial" w:cs="Arial" w:eastAsia="Arial" w:hAnsi="Arial"/>
                <w:sz w:val="16"/>
                <w:szCs w:val="16"/>
                <w:color w:val="auto"/>
                <w:w w:val="89"/>
              </w:rPr>
              <w:t>$</w:t>
            </w:r>
          </w:p>
        </w:tc>
        <w:tc>
          <w:tcPr>
            <w:tcW w:w="1000" w:type="dxa"/>
            <w:vAlign w:val="bottom"/>
            <w:tcBorders>
              <w:right w:val="single" w:sz="8" w:color="E5E5E5"/>
            </w:tcBorders>
            <w:shd w:val="clear" w:color="auto" w:fill="DBDBDB"/>
          </w:tcPr>
          <w:p>
            <w:pPr>
              <w:jc w:val="right"/>
              <w:ind w:right="19"/>
              <w:spacing w:after="0" w:line="177" w:lineRule="exact"/>
              <w:rPr>
                <w:sz w:val="20"/>
                <w:szCs w:val="20"/>
                <w:color w:val="auto"/>
              </w:rPr>
            </w:pPr>
            <w:r>
              <w:rPr>
                <w:rFonts w:ascii="Arial" w:cs="Arial" w:eastAsia="Arial" w:hAnsi="Arial"/>
                <w:sz w:val="16"/>
                <w:szCs w:val="16"/>
                <w:color w:val="auto"/>
              </w:rPr>
              <w:t>599,866</w:t>
            </w:r>
          </w:p>
        </w:tc>
        <w:tc>
          <w:tcPr>
            <w:tcW w:w="160" w:type="dxa"/>
            <w:vAlign w:val="bottom"/>
            <w:shd w:val="clear" w:color="auto" w:fill="DBDBDB"/>
          </w:tcPr>
          <w:p>
            <w:pPr>
              <w:jc w:val="right"/>
              <w:spacing w:after="0" w:line="177" w:lineRule="exact"/>
              <w:rPr>
                <w:sz w:val="20"/>
                <w:szCs w:val="20"/>
                <w:color w:val="auto"/>
              </w:rPr>
            </w:pPr>
            <w:r>
              <w:rPr>
                <w:rFonts w:ascii="Arial" w:cs="Arial" w:eastAsia="Arial" w:hAnsi="Arial"/>
                <w:sz w:val="16"/>
                <w:szCs w:val="16"/>
                <w:color w:val="auto"/>
                <w:w w:val="89"/>
              </w:rPr>
              <w:t>$</w:t>
            </w:r>
          </w:p>
        </w:tc>
        <w:tc>
          <w:tcPr>
            <w:tcW w:w="1520" w:type="dxa"/>
            <w:vAlign w:val="bottom"/>
            <w:tcBorders>
              <w:right w:val="single" w:sz="8" w:color="E5E5E5"/>
            </w:tcBorders>
            <w:shd w:val="clear" w:color="auto" w:fill="DBDBDB"/>
          </w:tcPr>
          <w:p>
            <w:pPr>
              <w:jc w:val="right"/>
              <w:spacing w:after="0" w:line="177" w:lineRule="exact"/>
              <w:rPr>
                <w:sz w:val="20"/>
                <w:szCs w:val="20"/>
                <w:color w:val="auto"/>
              </w:rPr>
            </w:pPr>
            <w:r>
              <w:rPr>
                <w:rFonts w:ascii="Arial" w:cs="Arial" w:eastAsia="Arial" w:hAnsi="Arial"/>
                <w:sz w:val="16"/>
                <w:szCs w:val="16"/>
                <w:color w:val="auto"/>
              </w:rPr>
              <w:t>281,055</w:t>
            </w:r>
          </w:p>
        </w:tc>
        <w:tc>
          <w:tcPr>
            <w:tcW w:w="140" w:type="dxa"/>
            <w:vAlign w:val="bottom"/>
            <w:shd w:val="clear" w:color="auto" w:fill="DBDBDB"/>
          </w:tcPr>
          <w:p>
            <w:pPr>
              <w:jc w:val="right"/>
              <w:spacing w:after="0" w:line="177" w:lineRule="exact"/>
              <w:rPr>
                <w:sz w:val="20"/>
                <w:szCs w:val="20"/>
                <w:color w:val="auto"/>
              </w:rPr>
            </w:pPr>
            <w:r>
              <w:rPr>
                <w:rFonts w:ascii="Arial" w:cs="Arial" w:eastAsia="Arial" w:hAnsi="Arial"/>
                <w:sz w:val="16"/>
                <w:szCs w:val="16"/>
                <w:color w:val="auto"/>
                <w:w w:val="89"/>
              </w:rPr>
              <w:t>$</w:t>
            </w:r>
          </w:p>
        </w:tc>
        <w:tc>
          <w:tcPr>
            <w:tcW w:w="1360" w:type="dxa"/>
            <w:vAlign w:val="bottom"/>
            <w:tcBorders>
              <w:right w:val="single" w:sz="8" w:color="E5E5E5"/>
            </w:tcBorders>
            <w:shd w:val="clear" w:color="auto" w:fill="DBDBDB"/>
          </w:tcPr>
          <w:p>
            <w:pPr>
              <w:jc w:val="right"/>
              <w:spacing w:after="0" w:line="177" w:lineRule="exact"/>
              <w:rPr>
                <w:sz w:val="20"/>
                <w:szCs w:val="20"/>
                <w:color w:val="auto"/>
              </w:rPr>
            </w:pPr>
            <w:r>
              <w:rPr>
                <w:rFonts w:ascii="Arial" w:cs="Arial" w:eastAsia="Arial" w:hAnsi="Arial"/>
                <w:sz w:val="16"/>
                <w:szCs w:val="16"/>
                <w:color w:val="auto"/>
              </w:rPr>
              <w:t>9,600</w:t>
            </w:r>
          </w:p>
        </w:tc>
        <w:tc>
          <w:tcPr>
            <w:tcW w:w="220" w:type="dxa"/>
            <w:vAlign w:val="bottom"/>
            <w:shd w:val="clear" w:color="auto" w:fill="DBDBDB"/>
          </w:tcPr>
          <w:p>
            <w:pPr>
              <w:jc w:val="right"/>
              <w:ind w:right="39"/>
              <w:spacing w:after="0" w:line="177" w:lineRule="exact"/>
              <w:rPr>
                <w:sz w:val="20"/>
                <w:szCs w:val="20"/>
                <w:color w:val="auto"/>
              </w:rPr>
            </w:pPr>
            <w:r>
              <w:rPr>
                <w:rFonts w:ascii="Arial" w:cs="Arial" w:eastAsia="Arial" w:hAnsi="Arial"/>
                <w:sz w:val="16"/>
                <w:szCs w:val="16"/>
                <w:color w:val="auto"/>
                <w:w w:val="89"/>
              </w:rPr>
              <w:t>$</w:t>
            </w:r>
          </w:p>
        </w:tc>
        <w:tc>
          <w:tcPr>
            <w:tcW w:w="920" w:type="dxa"/>
            <w:vAlign w:val="bottom"/>
            <w:tcBorders>
              <w:right w:val="single" w:sz="8" w:color="E5E5E5"/>
            </w:tcBorders>
            <w:shd w:val="clear" w:color="auto" w:fill="DBDBDB"/>
          </w:tcPr>
          <w:p>
            <w:pPr>
              <w:jc w:val="right"/>
              <w:ind w:right="19"/>
              <w:spacing w:after="0" w:line="177" w:lineRule="exact"/>
              <w:rPr>
                <w:sz w:val="20"/>
                <w:szCs w:val="20"/>
                <w:color w:val="auto"/>
              </w:rPr>
            </w:pPr>
            <w:r>
              <w:rPr>
                <w:rFonts w:ascii="Arial" w:cs="Arial" w:eastAsia="Arial" w:hAnsi="Arial"/>
                <w:sz w:val="16"/>
                <w:szCs w:val="16"/>
                <w:color w:val="auto"/>
              </w:rPr>
              <w:t>1,362,829</w:t>
            </w:r>
          </w:p>
        </w:tc>
        <w:tc>
          <w:tcPr>
            <w:tcW w:w="0" w:type="dxa"/>
            <w:vAlign w:val="bottom"/>
          </w:tcPr>
          <w:p>
            <w:pPr>
              <w:spacing w:after="0"/>
              <w:rPr>
                <w:sz w:val="1"/>
                <w:szCs w:val="1"/>
                <w:color w:val="auto"/>
              </w:rPr>
            </w:pPr>
          </w:p>
        </w:tc>
      </w:tr>
      <w:tr>
        <w:trPr>
          <w:trHeight w:val="162"/>
        </w:trPr>
        <w:tc>
          <w:tcPr>
            <w:tcW w:w="3120" w:type="dxa"/>
            <w:vAlign w:val="bottom"/>
            <w:tcBorders>
              <w:left w:val="single" w:sz="8" w:color="E5E5E5"/>
              <w:right w:val="single" w:sz="8" w:color="E5E5E5"/>
            </w:tcBorders>
            <w:shd w:val="clear" w:color="auto" w:fill="DBDBDB"/>
          </w:tcPr>
          <w:p>
            <w:pPr>
              <w:ind w:left="120"/>
              <w:spacing w:after="0" w:line="162" w:lineRule="exact"/>
              <w:rPr>
                <w:sz w:val="20"/>
                <w:szCs w:val="20"/>
                <w:color w:val="auto"/>
              </w:rPr>
            </w:pPr>
            <w:r>
              <w:rPr>
                <w:rFonts w:ascii="Arial" w:cs="Arial" w:eastAsia="Arial" w:hAnsi="Arial"/>
                <w:sz w:val="16"/>
                <w:szCs w:val="16"/>
                <w:color w:val="auto"/>
              </w:rPr>
              <w:t>Senior Vice President, General</w:t>
            </w:r>
          </w:p>
        </w:tc>
        <w:tc>
          <w:tcPr>
            <w:tcW w:w="640" w:type="dxa"/>
            <w:vAlign w:val="bottom"/>
            <w:tcBorders>
              <w:right w:val="single" w:sz="8" w:color="E5E5E5"/>
            </w:tcBorders>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020" w:type="dxa"/>
            <w:vAlign w:val="bottom"/>
            <w:tcBorders>
              <w:right w:val="single" w:sz="8" w:color="E5E5E5"/>
            </w:tcBorders>
            <w:shd w:val="clear" w:color="auto" w:fill="DBDBDB"/>
          </w:tcPr>
          <w:p>
            <w:pPr>
              <w:spacing w:after="0"/>
              <w:rPr>
                <w:sz w:val="14"/>
                <w:szCs w:val="14"/>
                <w:color w:val="auto"/>
              </w:rPr>
            </w:pPr>
          </w:p>
        </w:tc>
        <w:tc>
          <w:tcPr>
            <w:tcW w:w="140" w:type="dxa"/>
            <w:vAlign w:val="bottom"/>
            <w:shd w:val="clear" w:color="auto" w:fill="DBDBDB"/>
          </w:tcPr>
          <w:p>
            <w:pPr>
              <w:spacing w:after="0"/>
              <w:rPr>
                <w:sz w:val="14"/>
                <w:szCs w:val="14"/>
                <w:color w:val="auto"/>
              </w:rPr>
            </w:pPr>
          </w:p>
        </w:tc>
        <w:tc>
          <w:tcPr>
            <w:tcW w:w="760" w:type="dxa"/>
            <w:vAlign w:val="bottom"/>
            <w:tcBorders>
              <w:right w:val="single" w:sz="8" w:color="E5E5E5"/>
            </w:tcBorders>
            <w:shd w:val="clear" w:color="auto" w:fill="DBDBDB"/>
          </w:tcPr>
          <w:p>
            <w:pPr>
              <w:spacing w:after="0"/>
              <w:rPr>
                <w:sz w:val="14"/>
                <w:szCs w:val="14"/>
                <w:color w:val="auto"/>
              </w:rPr>
            </w:pPr>
          </w:p>
        </w:tc>
        <w:tc>
          <w:tcPr>
            <w:tcW w:w="160" w:type="dxa"/>
            <w:vAlign w:val="bottom"/>
            <w:shd w:val="clear" w:color="auto" w:fill="DBDBDB"/>
          </w:tcPr>
          <w:p>
            <w:pPr>
              <w:spacing w:after="0"/>
              <w:rPr>
                <w:sz w:val="14"/>
                <w:szCs w:val="14"/>
                <w:color w:val="auto"/>
              </w:rPr>
            </w:pPr>
          </w:p>
        </w:tc>
        <w:tc>
          <w:tcPr>
            <w:tcW w:w="1000" w:type="dxa"/>
            <w:vAlign w:val="bottom"/>
            <w:tcBorders>
              <w:right w:val="single" w:sz="8" w:color="E5E5E5"/>
            </w:tcBorders>
            <w:shd w:val="clear" w:color="auto" w:fill="DBDBDB"/>
          </w:tcPr>
          <w:p>
            <w:pPr>
              <w:spacing w:after="0"/>
              <w:rPr>
                <w:sz w:val="14"/>
                <w:szCs w:val="14"/>
                <w:color w:val="auto"/>
              </w:rPr>
            </w:pPr>
          </w:p>
        </w:tc>
        <w:tc>
          <w:tcPr>
            <w:tcW w:w="160" w:type="dxa"/>
            <w:vAlign w:val="bottom"/>
            <w:shd w:val="clear" w:color="auto" w:fill="DBDBDB"/>
          </w:tcPr>
          <w:p>
            <w:pPr>
              <w:spacing w:after="0"/>
              <w:rPr>
                <w:sz w:val="14"/>
                <w:szCs w:val="14"/>
                <w:color w:val="auto"/>
              </w:rPr>
            </w:pPr>
          </w:p>
        </w:tc>
        <w:tc>
          <w:tcPr>
            <w:tcW w:w="1520" w:type="dxa"/>
            <w:vAlign w:val="bottom"/>
            <w:tcBorders>
              <w:right w:val="single" w:sz="8" w:color="E5E5E5"/>
            </w:tcBorders>
            <w:shd w:val="clear" w:color="auto" w:fill="DBDBDB"/>
          </w:tcPr>
          <w:p>
            <w:pPr>
              <w:spacing w:after="0"/>
              <w:rPr>
                <w:sz w:val="14"/>
                <w:szCs w:val="14"/>
                <w:color w:val="auto"/>
              </w:rPr>
            </w:pPr>
          </w:p>
        </w:tc>
        <w:tc>
          <w:tcPr>
            <w:tcW w:w="140" w:type="dxa"/>
            <w:vAlign w:val="bottom"/>
            <w:shd w:val="clear" w:color="auto" w:fill="DBDBDB"/>
          </w:tcPr>
          <w:p>
            <w:pPr>
              <w:spacing w:after="0"/>
              <w:rPr>
                <w:sz w:val="14"/>
                <w:szCs w:val="14"/>
                <w:color w:val="auto"/>
              </w:rPr>
            </w:pPr>
          </w:p>
        </w:tc>
        <w:tc>
          <w:tcPr>
            <w:tcW w:w="1360" w:type="dxa"/>
            <w:vAlign w:val="bottom"/>
            <w:tcBorders>
              <w:right w:val="single" w:sz="8" w:color="E5E5E5"/>
            </w:tcBorders>
            <w:shd w:val="clear" w:color="auto" w:fill="DBDBDB"/>
          </w:tcPr>
          <w:p>
            <w:pPr>
              <w:spacing w:after="0"/>
              <w:rPr>
                <w:sz w:val="14"/>
                <w:szCs w:val="14"/>
                <w:color w:val="auto"/>
              </w:rPr>
            </w:pPr>
          </w:p>
        </w:tc>
        <w:tc>
          <w:tcPr>
            <w:tcW w:w="220" w:type="dxa"/>
            <w:vAlign w:val="bottom"/>
            <w:shd w:val="clear" w:color="auto" w:fill="DBDBDB"/>
          </w:tcPr>
          <w:p>
            <w:pPr>
              <w:spacing w:after="0"/>
              <w:rPr>
                <w:sz w:val="14"/>
                <w:szCs w:val="14"/>
                <w:color w:val="auto"/>
              </w:rPr>
            </w:pPr>
          </w:p>
        </w:tc>
        <w:tc>
          <w:tcPr>
            <w:tcW w:w="920" w:type="dxa"/>
            <w:vAlign w:val="bottom"/>
            <w:tcBorders>
              <w:right w:val="single" w:sz="8" w:color="E5E5E5"/>
            </w:tcBorders>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120" w:type="dxa"/>
            <w:vAlign w:val="bottom"/>
            <w:tcBorders>
              <w:left w:val="single" w:sz="8" w:color="E5E5E5"/>
              <w:right w:val="single" w:sz="8" w:color="E5E5E5"/>
            </w:tcBorders>
            <w:shd w:val="clear" w:color="auto" w:fill="DBDBDB"/>
          </w:tcPr>
          <w:p>
            <w:pPr>
              <w:ind w:left="120"/>
              <w:spacing w:after="0" w:line="216" w:lineRule="exact"/>
              <w:rPr>
                <w:sz w:val="20"/>
                <w:szCs w:val="20"/>
                <w:color w:val="auto"/>
              </w:rPr>
            </w:pPr>
            <w:r>
              <w:rPr>
                <w:rFonts w:ascii="Arial" w:cs="Arial" w:eastAsia="Arial" w:hAnsi="Arial"/>
                <w:sz w:val="16"/>
                <w:szCs w:val="16"/>
                <w:color w:val="auto"/>
              </w:rPr>
              <w:t>Counsel &amp; Secretary</w:t>
            </w:r>
            <w:r>
              <w:rPr>
                <w:rFonts w:ascii="Arial" w:cs="Arial" w:eastAsia="Arial" w:hAnsi="Arial"/>
                <w:sz w:val="21"/>
                <w:szCs w:val="21"/>
                <w:color w:val="auto"/>
                <w:vertAlign w:val="superscript"/>
              </w:rPr>
              <w:t>(7)</w:t>
            </w:r>
          </w:p>
        </w:tc>
        <w:tc>
          <w:tcPr>
            <w:tcW w:w="640" w:type="dxa"/>
            <w:vAlign w:val="bottom"/>
            <w:tcBorders>
              <w:right w:val="single" w:sz="8" w:color="E5E5E5"/>
            </w:tcBorders>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020" w:type="dxa"/>
            <w:vAlign w:val="bottom"/>
            <w:tcBorders>
              <w:right w:val="single" w:sz="8" w:color="E5E5E5"/>
            </w:tcBorders>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760" w:type="dxa"/>
            <w:vAlign w:val="bottom"/>
            <w:tcBorders>
              <w:right w:val="single" w:sz="8" w:color="E5E5E5"/>
            </w:tcBorders>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000" w:type="dxa"/>
            <w:vAlign w:val="bottom"/>
            <w:tcBorders>
              <w:right w:val="single" w:sz="8" w:color="E5E5E5"/>
            </w:tcBorders>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520" w:type="dxa"/>
            <w:vAlign w:val="bottom"/>
            <w:tcBorders>
              <w:right w:val="single" w:sz="8" w:color="E5E5E5"/>
            </w:tcBorders>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360" w:type="dxa"/>
            <w:vAlign w:val="bottom"/>
            <w:tcBorders>
              <w:right w:val="single" w:sz="8" w:color="E5E5E5"/>
            </w:tcBorders>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920" w:type="dxa"/>
            <w:vAlign w:val="bottom"/>
            <w:tcBorders>
              <w:right w:val="single" w:sz="8" w:color="E5E5E5"/>
            </w:tcBorders>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120" w:type="dxa"/>
            <w:vAlign w:val="bottom"/>
            <w:tcBorders>
              <w:left w:val="single" w:sz="8" w:color="E5E5E5"/>
              <w:right w:val="single" w:sz="8" w:color="E5E5E5"/>
            </w:tcBorders>
          </w:tcPr>
          <w:p>
            <w:pPr>
              <w:ind w:left="40"/>
              <w:spacing w:after="0"/>
              <w:rPr>
                <w:sz w:val="20"/>
                <w:szCs w:val="20"/>
                <w:color w:val="auto"/>
              </w:rPr>
            </w:pPr>
            <w:r>
              <w:rPr>
                <w:rFonts w:ascii="Arial" w:cs="Arial" w:eastAsia="Arial" w:hAnsi="Arial"/>
                <w:sz w:val="16"/>
                <w:szCs w:val="16"/>
                <w:color w:val="auto"/>
              </w:rPr>
              <w:t>George A. Villasana</w:t>
            </w:r>
          </w:p>
        </w:tc>
        <w:tc>
          <w:tcPr>
            <w:tcW w:w="640" w:type="dxa"/>
            <w:vAlign w:val="bottom"/>
            <w:tcBorders>
              <w:right w:val="single" w:sz="8" w:color="E5E5E5"/>
            </w:tcBorders>
          </w:tcPr>
          <w:p>
            <w:pPr>
              <w:ind w:left="120"/>
              <w:spacing w:after="0"/>
              <w:rPr>
                <w:sz w:val="20"/>
                <w:szCs w:val="20"/>
                <w:color w:val="auto"/>
              </w:rPr>
            </w:pPr>
            <w:r>
              <w:rPr>
                <w:rFonts w:ascii="Arial" w:cs="Arial" w:eastAsia="Arial" w:hAnsi="Arial"/>
                <w:sz w:val="16"/>
                <w:szCs w:val="16"/>
                <w:color w:val="auto"/>
              </w:rPr>
              <w:t>2024</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right w:val="single" w:sz="8" w:color="E5E5E5"/>
            </w:tcBorders>
          </w:tcPr>
          <w:p>
            <w:pPr>
              <w:jc w:val="right"/>
              <w:spacing w:after="0"/>
              <w:rPr>
                <w:sz w:val="20"/>
                <w:szCs w:val="20"/>
                <w:color w:val="auto"/>
              </w:rPr>
            </w:pPr>
            <w:r>
              <w:rPr>
                <w:rFonts w:ascii="Arial" w:cs="Arial" w:eastAsia="Arial" w:hAnsi="Arial"/>
                <w:sz w:val="16"/>
                <w:szCs w:val="16"/>
                <w:color w:val="auto"/>
              </w:rPr>
              <w:t>696,635</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right w:val="single" w:sz="8" w:color="E5E5E5"/>
            </w:tcBorders>
          </w:tcPr>
          <w:p>
            <w:pPr>
              <w:ind w:left="50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right w:val="single" w:sz="8" w:color="E5E5E5"/>
            </w:tcBorders>
          </w:tcPr>
          <w:p>
            <w:pPr>
              <w:jc w:val="right"/>
              <w:ind w:right="19"/>
              <w:spacing w:after="0"/>
              <w:rPr>
                <w:sz w:val="20"/>
                <w:szCs w:val="20"/>
                <w:color w:val="auto"/>
              </w:rPr>
            </w:pPr>
            <w:r>
              <w:rPr>
                <w:rFonts w:ascii="Arial" w:cs="Arial" w:eastAsia="Arial" w:hAnsi="Arial"/>
                <w:sz w:val="16"/>
                <w:szCs w:val="16"/>
                <w:color w:val="auto"/>
              </w:rPr>
              <w:t>949,978</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right w:val="single" w:sz="8" w:color="E5E5E5"/>
            </w:tcBorders>
          </w:tcPr>
          <w:p>
            <w:pPr>
              <w:jc w:val="right"/>
              <w:spacing w:after="0"/>
              <w:rPr>
                <w:sz w:val="20"/>
                <w:szCs w:val="20"/>
                <w:color w:val="auto"/>
              </w:rPr>
            </w:pPr>
            <w:r>
              <w:rPr>
                <w:rFonts w:ascii="Arial" w:cs="Arial" w:eastAsia="Arial" w:hAnsi="Arial"/>
                <w:sz w:val="16"/>
                <w:szCs w:val="16"/>
                <w:color w:val="auto"/>
              </w:rPr>
              <w:t>282,625</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right w:val="single" w:sz="8" w:color="E5E5E5"/>
            </w:tcBorders>
          </w:tcPr>
          <w:p>
            <w:pPr>
              <w:jc w:val="right"/>
              <w:spacing w:after="0"/>
              <w:rPr>
                <w:sz w:val="20"/>
                <w:szCs w:val="20"/>
                <w:color w:val="auto"/>
              </w:rPr>
            </w:pPr>
            <w:r>
              <w:rPr>
                <w:rFonts w:ascii="Arial" w:cs="Arial" w:eastAsia="Arial" w:hAnsi="Arial"/>
                <w:sz w:val="16"/>
                <w:szCs w:val="16"/>
                <w:color w:val="auto"/>
              </w:rPr>
              <w:t>11,180</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tcBorders>
              <w:right w:val="single" w:sz="8" w:color="E5E5E5"/>
            </w:tcBorders>
          </w:tcPr>
          <w:p>
            <w:pPr>
              <w:jc w:val="right"/>
              <w:ind w:right="19"/>
              <w:spacing w:after="0"/>
              <w:rPr>
                <w:sz w:val="20"/>
                <w:szCs w:val="20"/>
                <w:color w:val="auto"/>
              </w:rPr>
            </w:pPr>
            <w:r>
              <w:rPr>
                <w:rFonts w:ascii="Arial" w:cs="Arial" w:eastAsia="Arial" w:hAnsi="Arial"/>
                <w:sz w:val="16"/>
                <w:szCs w:val="16"/>
                <w:color w:val="auto"/>
              </w:rPr>
              <w:t>1,940,418</w:t>
            </w:r>
          </w:p>
        </w:tc>
        <w:tc>
          <w:tcPr>
            <w:tcW w:w="0" w:type="dxa"/>
            <w:vAlign w:val="bottom"/>
          </w:tcPr>
          <w:p>
            <w:pPr>
              <w:spacing w:after="0"/>
              <w:rPr>
                <w:sz w:val="1"/>
                <w:szCs w:val="1"/>
                <w:color w:val="auto"/>
              </w:rPr>
            </w:pPr>
          </w:p>
        </w:tc>
      </w:tr>
      <w:tr>
        <w:trPr>
          <w:trHeight w:val="54"/>
        </w:trPr>
        <w:tc>
          <w:tcPr>
            <w:tcW w:w="3120" w:type="dxa"/>
            <w:vAlign w:val="bottom"/>
            <w:tcBorders>
              <w:left w:val="single" w:sz="8" w:color="E5E5E5"/>
              <w:right w:val="single" w:sz="8" w:color="E5E5E5"/>
            </w:tcBorders>
            <w:vMerge w:val="restart"/>
          </w:tcPr>
          <w:p>
            <w:pPr>
              <w:ind w:left="120"/>
              <w:spacing w:after="0" w:line="122" w:lineRule="exact"/>
              <w:rPr>
                <w:sz w:val="20"/>
                <w:szCs w:val="20"/>
                <w:color w:val="auto"/>
              </w:rPr>
            </w:pPr>
            <w:r>
              <w:rPr>
                <w:rFonts w:ascii="Arial" w:cs="Arial" w:eastAsia="Arial" w:hAnsi="Arial"/>
                <w:sz w:val="14"/>
                <w:szCs w:val="14"/>
                <w:color w:val="auto"/>
              </w:rPr>
              <w:t>Former Senior Vice President,</w:t>
            </w:r>
          </w:p>
        </w:tc>
        <w:tc>
          <w:tcPr>
            <w:tcW w:w="640" w:type="dxa"/>
            <w:vAlign w:val="bottom"/>
            <w:tcBorders>
              <w:bottom w:val="single" w:sz="8" w:color="E5E5E5"/>
              <w:right w:val="single" w:sz="8" w:color="E5E5E5"/>
            </w:tcBorders>
          </w:tcPr>
          <w:p>
            <w:pPr>
              <w:spacing w:after="0"/>
              <w:rPr>
                <w:sz w:val="4"/>
                <w:szCs w:val="4"/>
                <w:color w:val="auto"/>
              </w:rPr>
            </w:pPr>
          </w:p>
        </w:tc>
        <w:tc>
          <w:tcPr>
            <w:tcW w:w="100" w:type="dxa"/>
            <w:vAlign w:val="bottom"/>
            <w:tcBorders>
              <w:bottom w:val="single" w:sz="8" w:color="E5E5E5"/>
            </w:tcBorders>
          </w:tcPr>
          <w:p>
            <w:pPr>
              <w:spacing w:after="0"/>
              <w:rPr>
                <w:sz w:val="4"/>
                <w:szCs w:val="4"/>
                <w:color w:val="auto"/>
              </w:rPr>
            </w:pPr>
          </w:p>
        </w:tc>
        <w:tc>
          <w:tcPr>
            <w:tcW w:w="1020" w:type="dxa"/>
            <w:vAlign w:val="bottom"/>
            <w:tcBorders>
              <w:bottom w:val="single" w:sz="8" w:color="E5E5E5"/>
              <w:right w:val="single" w:sz="8" w:color="E5E5E5"/>
            </w:tcBorders>
          </w:tcPr>
          <w:p>
            <w:pPr>
              <w:spacing w:after="0"/>
              <w:rPr>
                <w:sz w:val="4"/>
                <w:szCs w:val="4"/>
                <w:color w:val="auto"/>
              </w:rPr>
            </w:pPr>
          </w:p>
        </w:tc>
        <w:tc>
          <w:tcPr>
            <w:tcW w:w="140" w:type="dxa"/>
            <w:vAlign w:val="bottom"/>
            <w:tcBorders>
              <w:bottom w:val="single" w:sz="8" w:color="E5E5E5"/>
            </w:tcBorders>
          </w:tcPr>
          <w:p>
            <w:pPr>
              <w:spacing w:after="0"/>
              <w:rPr>
                <w:sz w:val="4"/>
                <w:szCs w:val="4"/>
                <w:color w:val="auto"/>
              </w:rPr>
            </w:pPr>
          </w:p>
        </w:tc>
        <w:tc>
          <w:tcPr>
            <w:tcW w:w="760" w:type="dxa"/>
            <w:vAlign w:val="bottom"/>
            <w:tcBorders>
              <w:bottom w:val="single" w:sz="8" w:color="E5E5E5"/>
              <w:right w:val="single" w:sz="8" w:color="E5E5E5"/>
            </w:tcBorders>
          </w:tcPr>
          <w:p>
            <w:pPr>
              <w:spacing w:after="0"/>
              <w:rPr>
                <w:sz w:val="4"/>
                <w:szCs w:val="4"/>
                <w:color w:val="auto"/>
              </w:rPr>
            </w:pPr>
          </w:p>
        </w:tc>
        <w:tc>
          <w:tcPr>
            <w:tcW w:w="160" w:type="dxa"/>
            <w:vAlign w:val="bottom"/>
            <w:tcBorders>
              <w:bottom w:val="single" w:sz="8" w:color="E5E5E5"/>
            </w:tcBorders>
          </w:tcPr>
          <w:p>
            <w:pPr>
              <w:spacing w:after="0"/>
              <w:rPr>
                <w:sz w:val="4"/>
                <w:szCs w:val="4"/>
                <w:color w:val="auto"/>
              </w:rPr>
            </w:pPr>
          </w:p>
        </w:tc>
        <w:tc>
          <w:tcPr>
            <w:tcW w:w="1000" w:type="dxa"/>
            <w:vAlign w:val="bottom"/>
            <w:tcBorders>
              <w:bottom w:val="single" w:sz="8" w:color="E5E5E5"/>
              <w:right w:val="single" w:sz="8" w:color="E5E5E5"/>
            </w:tcBorders>
          </w:tcPr>
          <w:p>
            <w:pPr>
              <w:spacing w:after="0"/>
              <w:rPr>
                <w:sz w:val="4"/>
                <w:szCs w:val="4"/>
                <w:color w:val="auto"/>
              </w:rPr>
            </w:pPr>
          </w:p>
        </w:tc>
        <w:tc>
          <w:tcPr>
            <w:tcW w:w="160" w:type="dxa"/>
            <w:vAlign w:val="bottom"/>
            <w:tcBorders>
              <w:bottom w:val="single" w:sz="8" w:color="E5E5E5"/>
            </w:tcBorders>
          </w:tcPr>
          <w:p>
            <w:pPr>
              <w:spacing w:after="0"/>
              <w:rPr>
                <w:sz w:val="4"/>
                <w:szCs w:val="4"/>
                <w:color w:val="auto"/>
              </w:rPr>
            </w:pPr>
          </w:p>
        </w:tc>
        <w:tc>
          <w:tcPr>
            <w:tcW w:w="1520" w:type="dxa"/>
            <w:vAlign w:val="bottom"/>
            <w:tcBorders>
              <w:bottom w:val="single" w:sz="8" w:color="E5E5E5"/>
              <w:right w:val="single" w:sz="8" w:color="E5E5E5"/>
            </w:tcBorders>
          </w:tcPr>
          <w:p>
            <w:pPr>
              <w:spacing w:after="0"/>
              <w:rPr>
                <w:sz w:val="4"/>
                <w:szCs w:val="4"/>
                <w:color w:val="auto"/>
              </w:rPr>
            </w:pPr>
          </w:p>
        </w:tc>
        <w:tc>
          <w:tcPr>
            <w:tcW w:w="140" w:type="dxa"/>
            <w:vAlign w:val="bottom"/>
            <w:tcBorders>
              <w:bottom w:val="single" w:sz="8" w:color="E5E5E5"/>
            </w:tcBorders>
          </w:tcPr>
          <w:p>
            <w:pPr>
              <w:spacing w:after="0"/>
              <w:rPr>
                <w:sz w:val="4"/>
                <w:szCs w:val="4"/>
                <w:color w:val="auto"/>
              </w:rPr>
            </w:pPr>
          </w:p>
        </w:tc>
        <w:tc>
          <w:tcPr>
            <w:tcW w:w="1360" w:type="dxa"/>
            <w:vAlign w:val="bottom"/>
            <w:tcBorders>
              <w:bottom w:val="single" w:sz="8" w:color="E5E5E5"/>
              <w:right w:val="single" w:sz="8" w:color="E5E5E5"/>
            </w:tcBorders>
          </w:tcPr>
          <w:p>
            <w:pPr>
              <w:spacing w:after="0"/>
              <w:rPr>
                <w:sz w:val="4"/>
                <w:szCs w:val="4"/>
                <w:color w:val="auto"/>
              </w:rPr>
            </w:pPr>
          </w:p>
        </w:tc>
        <w:tc>
          <w:tcPr>
            <w:tcW w:w="220" w:type="dxa"/>
            <w:vAlign w:val="bottom"/>
            <w:tcBorders>
              <w:bottom w:val="single" w:sz="8" w:color="E5E5E5"/>
            </w:tcBorders>
          </w:tcPr>
          <w:p>
            <w:pPr>
              <w:spacing w:after="0"/>
              <w:rPr>
                <w:sz w:val="4"/>
                <w:szCs w:val="4"/>
                <w:color w:val="auto"/>
              </w:rPr>
            </w:pPr>
          </w:p>
        </w:tc>
        <w:tc>
          <w:tcPr>
            <w:tcW w:w="920" w:type="dxa"/>
            <w:vAlign w:val="bottom"/>
            <w:tcBorders>
              <w:bottom w:val="single" w:sz="8" w:color="E5E5E5"/>
              <w:right w:val="single" w:sz="8" w:color="E5E5E5"/>
            </w:tcBorders>
          </w:tcPr>
          <w:p>
            <w:pPr>
              <w:spacing w:after="0"/>
              <w:rPr>
                <w:sz w:val="4"/>
                <w:szCs w:val="4"/>
                <w:color w:val="auto"/>
              </w:rPr>
            </w:pPr>
          </w:p>
        </w:tc>
        <w:tc>
          <w:tcPr>
            <w:tcW w:w="0" w:type="dxa"/>
            <w:vAlign w:val="bottom"/>
          </w:tcPr>
          <w:p>
            <w:pPr>
              <w:spacing w:after="0"/>
              <w:rPr>
                <w:sz w:val="1"/>
                <w:szCs w:val="1"/>
                <w:color w:val="auto"/>
              </w:rPr>
            </w:pPr>
          </w:p>
        </w:tc>
      </w:tr>
      <w:tr>
        <w:trPr>
          <w:trHeight w:val="48"/>
        </w:trPr>
        <w:tc>
          <w:tcPr>
            <w:tcW w:w="3120" w:type="dxa"/>
            <w:vAlign w:val="bottom"/>
            <w:tcBorders>
              <w:left w:val="single" w:sz="8" w:color="E5E5E5"/>
              <w:right w:val="single" w:sz="8" w:color="E5E5E5"/>
            </w:tcBorders>
            <w:vMerge w:val="continue"/>
          </w:tcPr>
          <w:p>
            <w:pPr>
              <w:spacing w:after="0"/>
              <w:rPr>
                <w:sz w:val="4"/>
                <w:szCs w:val="4"/>
                <w:color w:val="auto"/>
              </w:rPr>
            </w:pPr>
          </w:p>
        </w:tc>
        <w:tc>
          <w:tcPr>
            <w:tcW w:w="640" w:type="dxa"/>
            <w:vAlign w:val="bottom"/>
            <w:tcBorders>
              <w:right w:val="single" w:sz="8" w:color="E5E5E5"/>
            </w:tcBorders>
            <w:vMerge w:val="restart"/>
          </w:tcPr>
          <w:p>
            <w:pPr>
              <w:ind w:left="120"/>
              <w:spacing w:after="0"/>
              <w:rPr>
                <w:sz w:val="20"/>
                <w:szCs w:val="20"/>
                <w:color w:val="auto"/>
              </w:rPr>
            </w:pPr>
            <w:r>
              <w:rPr>
                <w:rFonts w:ascii="Arial" w:cs="Arial" w:eastAsia="Arial" w:hAnsi="Arial"/>
                <w:sz w:val="16"/>
                <w:szCs w:val="16"/>
                <w:color w:val="auto"/>
              </w:rPr>
              <w:t>2023</w:t>
            </w: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right w:val="single" w:sz="8" w:color="E5E5E5"/>
            </w:tcBorders>
            <w:vMerge w:val="restart"/>
          </w:tcPr>
          <w:p>
            <w:pPr>
              <w:jc w:val="right"/>
              <w:spacing w:after="0"/>
              <w:rPr>
                <w:sz w:val="20"/>
                <w:szCs w:val="20"/>
                <w:color w:val="auto"/>
              </w:rPr>
            </w:pPr>
            <w:r>
              <w:rPr>
                <w:rFonts w:ascii="Arial" w:cs="Arial" w:eastAsia="Arial" w:hAnsi="Arial"/>
                <w:sz w:val="16"/>
                <w:szCs w:val="16"/>
                <w:color w:val="auto"/>
              </w:rPr>
              <w:t>669,231</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right w:val="single" w:sz="8" w:color="E5E5E5"/>
            </w:tcBorders>
            <w:vMerge w:val="restart"/>
          </w:tcPr>
          <w:p>
            <w:pPr>
              <w:ind w:left="500"/>
              <w:spacing w:after="0"/>
              <w:rPr>
                <w:sz w:val="20"/>
                <w:szCs w:val="20"/>
                <w:color w:val="auto"/>
              </w:rPr>
            </w:pPr>
            <w:r>
              <w:rPr>
                <w:rFonts w:ascii="Arial" w:cs="Arial" w:eastAsia="Arial" w:hAnsi="Arial"/>
                <w:sz w:val="16"/>
                <w:szCs w:val="16"/>
                <w:color w:val="auto"/>
              </w:rPr>
              <w:t>—</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right w:val="single" w:sz="8" w:color="E5E5E5"/>
            </w:tcBorders>
            <w:vMerge w:val="restart"/>
          </w:tcPr>
          <w:p>
            <w:pPr>
              <w:jc w:val="right"/>
              <w:ind w:right="19"/>
              <w:spacing w:after="0"/>
              <w:rPr>
                <w:sz w:val="20"/>
                <w:szCs w:val="20"/>
                <w:color w:val="auto"/>
              </w:rPr>
            </w:pPr>
            <w:r>
              <w:rPr>
                <w:rFonts w:ascii="Arial" w:cs="Arial" w:eastAsia="Arial" w:hAnsi="Arial"/>
                <w:sz w:val="16"/>
                <w:szCs w:val="16"/>
                <w:color w:val="auto"/>
              </w:rPr>
              <w:t>800,067</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right w:val="single" w:sz="8" w:color="E5E5E5"/>
            </w:tcBorders>
            <w:vMerge w:val="restart"/>
          </w:tcPr>
          <w:p>
            <w:pPr>
              <w:jc w:val="right"/>
              <w:spacing w:after="0"/>
              <w:rPr>
                <w:sz w:val="20"/>
                <w:szCs w:val="20"/>
                <w:color w:val="auto"/>
              </w:rPr>
            </w:pPr>
            <w:r>
              <w:rPr>
                <w:rFonts w:ascii="Arial" w:cs="Arial" w:eastAsia="Arial" w:hAnsi="Arial"/>
                <w:sz w:val="16"/>
                <w:szCs w:val="16"/>
                <w:color w:val="auto"/>
              </w:rPr>
              <w:t>590,963</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right w:val="single" w:sz="8" w:color="E5E5E5"/>
            </w:tcBorders>
            <w:vMerge w:val="restart"/>
          </w:tcPr>
          <w:p>
            <w:pPr>
              <w:jc w:val="right"/>
              <w:spacing w:after="0"/>
              <w:rPr>
                <w:sz w:val="20"/>
                <w:szCs w:val="20"/>
                <w:color w:val="auto"/>
              </w:rPr>
            </w:pPr>
            <w:r>
              <w:rPr>
                <w:rFonts w:ascii="Arial" w:cs="Arial" w:eastAsia="Arial" w:hAnsi="Arial"/>
                <w:sz w:val="16"/>
                <w:szCs w:val="16"/>
                <w:color w:val="auto"/>
              </w:rPr>
              <w:t>11,065</w:t>
            </w: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tcBorders>
              <w:right w:val="single" w:sz="8" w:color="E5E5E5"/>
            </w:tcBorders>
            <w:vMerge w:val="restart"/>
          </w:tcPr>
          <w:p>
            <w:pPr>
              <w:jc w:val="right"/>
              <w:ind w:right="19"/>
              <w:spacing w:after="0"/>
              <w:rPr>
                <w:sz w:val="20"/>
                <w:szCs w:val="20"/>
                <w:color w:val="auto"/>
              </w:rPr>
            </w:pPr>
            <w:r>
              <w:rPr>
                <w:rFonts w:ascii="Arial" w:cs="Arial" w:eastAsia="Arial" w:hAnsi="Arial"/>
                <w:sz w:val="16"/>
                <w:szCs w:val="16"/>
                <w:color w:val="auto"/>
              </w:rPr>
              <w:t>2,071,326</w:t>
            </w:r>
          </w:p>
        </w:tc>
        <w:tc>
          <w:tcPr>
            <w:tcW w:w="0" w:type="dxa"/>
            <w:vAlign w:val="bottom"/>
          </w:tcPr>
          <w:p>
            <w:pPr>
              <w:spacing w:after="0"/>
              <w:rPr>
                <w:sz w:val="1"/>
                <w:szCs w:val="1"/>
                <w:color w:val="auto"/>
              </w:rPr>
            </w:pPr>
          </w:p>
        </w:tc>
      </w:tr>
      <w:tr>
        <w:trPr>
          <w:trHeight w:val="208"/>
        </w:trPr>
        <w:tc>
          <w:tcPr>
            <w:tcW w:w="3120" w:type="dxa"/>
            <w:vAlign w:val="bottom"/>
            <w:tcBorders>
              <w:left w:val="single" w:sz="8" w:color="E5E5E5"/>
              <w:right w:val="single" w:sz="8" w:color="E5E5E5"/>
            </w:tcBorders>
          </w:tcPr>
          <w:p>
            <w:pPr>
              <w:ind w:left="120"/>
              <w:spacing w:after="0" w:line="203" w:lineRule="exact"/>
              <w:rPr>
                <w:sz w:val="20"/>
                <w:szCs w:val="20"/>
                <w:color w:val="auto"/>
              </w:rPr>
            </w:pPr>
            <w:r>
              <w:rPr>
                <w:rFonts w:ascii="Arial" w:cs="Arial" w:eastAsia="Arial" w:hAnsi="Arial"/>
                <w:sz w:val="16"/>
                <w:szCs w:val="16"/>
                <w:color w:val="auto"/>
              </w:rPr>
              <w:t>Chief Legal &amp; Officer &amp; Secretary</w:t>
            </w:r>
            <w:r>
              <w:rPr>
                <w:rFonts w:ascii="Arial" w:cs="Arial" w:eastAsia="Arial" w:hAnsi="Arial"/>
                <w:sz w:val="21"/>
                <w:szCs w:val="21"/>
                <w:color w:val="auto"/>
                <w:vertAlign w:val="superscript"/>
              </w:rPr>
              <w:t>(8)</w:t>
            </w:r>
          </w:p>
        </w:tc>
        <w:tc>
          <w:tcPr>
            <w:tcW w:w="640" w:type="dxa"/>
            <w:vAlign w:val="bottom"/>
            <w:tcBorders>
              <w:bottom w:val="single" w:sz="8" w:color="E5E5E5"/>
              <w:right w:val="single" w:sz="8" w:color="E5E5E5"/>
            </w:tcBorders>
            <w:vMerge w:val="continue"/>
          </w:tcPr>
          <w:p>
            <w:pPr>
              <w:spacing w:after="0"/>
              <w:rPr>
                <w:sz w:val="17"/>
                <w:szCs w:val="17"/>
                <w:color w:val="auto"/>
              </w:rPr>
            </w:pPr>
          </w:p>
        </w:tc>
        <w:tc>
          <w:tcPr>
            <w:tcW w:w="100" w:type="dxa"/>
            <w:vAlign w:val="bottom"/>
            <w:tcBorders>
              <w:bottom w:val="single" w:sz="8" w:color="E5E5E5"/>
            </w:tcBorders>
            <w:vMerge w:val="continue"/>
          </w:tcPr>
          <w:p>
            <w:pPr>
              <w:spacing w:after="0"/>
              <w:rPr>
                <w:sz w:val="17"/>
                <w:szCs w:val="17"/>
                <w:color w:val="auto"/>
              </w:rPr>
            </w:pPr>
          </w:p>
        </w:tc>
        <w:tc>
          <w:tcPr>
            <w:tcW w:w="1020" w:type="dxa"/>
            <w:vAlign w:val="bottom"/>
            <w:tcBorders>
              <w:bottom w:val="single" w:sz="8" w:color="E5E5E5"/>
              <w:right w:val="single" w:sz="8" w:color="E5E5E5"/>
            </w:tcBorders>
            <w:vMerge w:val="continue"/>
          </w:tcPr>
          <w:p>
            <w:pPr>
              <w:spacing w:after="0"/>
              <w:rPr>
                <w:sz w:val="17"/>
                <w:szCs w:val="17"/>
                <w:color w:val="auto"/>
              </w:rPr>
            </w:pPr>
          </w:p>
        </w:tc>
        <w:tc>
          <w:tcPr>
            <w:tcW w:w="140" w:type="dxa"/>
            <w:vAlign w:val="bottom"/>
            <w:tcBorders>
              <w:bottom w:val="single" w:sz="8" w:color="E5E5E5"/>
            </w:tcBorders>
            <w:vMerge w:val="continue"/>
          </w:tcPr>
          <w:p>
            <w:pPr>
              <w:spacing w:after="0"/>
              <w:rPr>
                <w:sz w:val="17"/>
                <w:szCs w:val="17"/>
                <w:color w:val="auto"/>
              </w:rPr>
            </w:pPr>
          </w:p>
        </w:tc>
        <w:tc>
          <w:tcPr>
            <w:tcW w:w="760" w:type="dxa"/>
            <w:vAlign w:val="bottom"/>
            <w:tcBorders>
              <w:bottom w:val="single" w:sz="8" w:color="E5E5E5"/>
              <w:right w:val="single" w:sz="8" w:color="E5E5E5"/>
            </w:tcBorders>
            <w:vMerge w:val="continue"/>
          </w:tcPr>
          <w:p>
            <w:pPr>
              <w:spacing w:after="0"/>
              <w:rPr>
                <w:sz w:val="17"/>
                <w:szCs w:val="17"/>
                <w:color w:val="auto"/>
              </w:rPr>
            </w:pPr>
          </w:p>
        </w:tc>
        <w:tc>
          <w:tcPr>
            <w:tcW w:w="160" w:type="dxa"/>
            <w:vAlign w:val="bottom"/>
            <w:tcBorders>
              <w:bottom w:val="single" w:sz="8" w:color="E5E5E5"/>
            </w:tcBorders>
            <w:vMerge w:val="continue"/>
          </w:tcPr>
          <w:p>
            <w:pPr>
              <w:spacing w:after="0"/>
              <w:rPr>
                <w:sz w:val="17"/>
                <w:szCs w:val="17"/>
                <w:color w:val="auto"/>
              </w:rPr>
            </w:pPr>
          </w:p>
        </w:tc>
        <w:tc>
          <w:tcPr>
            <w:tcW w:w="1000" w:type="dxa"/>
            <w:vAlign w:val="bottom"/>
            <w:tcBorders>
              <w:bottom w:val="single" w:sz="8" w:color="E5E5E5"/>
              <w:right w:val="single" w:sz="8" w:color="E5E5E5"/>
            </w:tcBorders>
            <w:vMerge w:val="continue"/>
          </w:tcPr>
          <w:p>
            <w:pPr>
              <w:spacing w:after="0"/>
              <w:rPr>
                <w:sz w:val="17"/>
                <w:szCs w:val="17"/>
                <w:color w:val="auto"/>
              </w:rPr>
            </w:pPr>
          </w:p>
        </w:tc>
        <w:tc>
          <w:tcPr>
            <w:tcW w:w="160" w:type="dxa"/>
            <w:vAlign w:val="bottom"/>
            <w:tcBorders>
              <w:bottom w:val="single" w:sz="8" w:color="E5E5E5"/>
            </w:tcBorders>
            <w:vMerge w:val="continue"/>
          </w:tcPr>
          <w:p>
            <w:pPr>
              <w:spacing w:after="0"/>
              <w:rPr>
                <w:sz w:val="17"/>
                <w:szCs w:val="17"/>
                <w:color w:val="auto"/>
              </w:rPr>
            </w:pPr>
          </w:p>
        </w:tc>
        <w:tc>
          <w:tcPr>
            <w:tcW w:w="1520" w:type="dxa"/>
            <w:vAlign w:val="bottom"/>
            <w:tcBorders>
              <w:bottom w:val="single" w:sz="8" w:color="E5E5E5"/>
              <w:right w:val="single" w:sz="8" w:color="E5E5E5"/>
            </w:tcBorders>
            <w:vMerge w:val="continue"/>
          </w:tcPr>
          <w:p>
            <w:pPr>
              <w:spacing w:after="0"/>
              <w:rPr>
                <w:sz w:val="17"/>
                <w:szCs w:val="17"/>
                <w:color w:val="auto"/>
              </w:rPr>
            </w:pPr>
          </w:p>
        </w:tc>
        <w:tc>
          <w:tcPr>
            <w:tcW w:w="140" w:type="dxa"/>
            <w:vAlign w:val="bottom"/>
            <w:tcBorders>
              <w:bottom w:val="single" w:sz="8" w:color="E5E5E5"/>
            </w:tcBorders>
            <w:vMerge w:val="continue"/>
          </w:tcPr>
          <w:p>
            <w:pPr>
              <w:spacing w:after="0"/>
              <w:rPr>
                <w:sz w:val="17"/>
                <w:szCs w:val="17"/>
                <w:color w:val="auto"/>
              </w:rPr>
            </w:pPr>
          </w:p>
        </w:tc>
        <w:tc>
          <w:tcPr>
            <w:tcW w:w="1360" w:type="dxa"/>
            <w:vAlign w:val="bottom"/>
            <w:tcBorders>
              <w:bottom w:val="single" w:sz="8" w:color="E5E5E5"/>
              <w:right w:val="single" w:sz="8" w:color="E5E5E5"/>
            </w:tcBorders>
            <w:vMerge w:val="continue"/>
          </w:tcPr>
          <w:p>
            <w:pPr>
              <w:spacing w:after="0"/>
              <w:rPr>
                <w:sz w:val="17"/>
                <w:szCs w:val="17"/>
                <w:color w:val="auto"/>
              </w:rPr>
            </w:pPr>
          </w:p>
        </w:tc>
        <w:tc>
          <w:tcPr>
            <w:tcW w:w="220" w:type="dxa"/>
            <w:vAlign w:val="bottom"/>
            <w:tcBorders>
              <w:bottom w:val="single" w:sz="8" w:color="E5E5E5"/>
            </w:tcBorders>
            <w:vMerge w:val="continue"/>
          </w:tcPr>
          <w:p>
            <w:pPr>
              <w:spacing w:after="0"/>
              <w:rPr>
                <w:sz w:val="17"/>
                <w:szCs w:val="17"/>
                <w:color w:val="auto"/>
              </w:rPr>
            </w:pPr>
          </w:p>
        </w:tc>
        <w:tc>
          <w:tcPr>
            <w:tcW w:w="920" w:type="dxa"/>
            <w:vAlign w:val="bottom"/>
            <w:tcBorders>
              <w:bottom w:val="single" w:sz="8" w:color="E5E5E5"/>
              <w:right w:val="single" w:sz="8" w:color="E5E5E5"/>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3120" w:type="dxa"/>
            <w:vAlign w:val="bottom"/>
            <w:tcBorders>
              <w:left w:val="single" w:sz="8" w:color="E5E5E5"/>
              <w:right w:val="single" w:sz="8" w:color="E5E5E5"/>
            </w:tcBorders>
          </w:tcPr>
          <w:p>
            <w:pPr>
              <w:spacing w:after="0"/>
              <w:rPr>
                <w:sz w:val="21"/>
                <w:szCs w:val="21"/>
                <w:color w:val="auto"/>
              </w:rPr>
            </w:pPr>
          </w:p>
        </w:tc>
        <w:tc>
          <w:tcPr>
            <w:tcW w:w="640" w:type="dxa"/>
            <w:vAlign w:val="bottom"/>
            <w:tcBorders>
              <w:right w:val="single" w:sz="8" w:color="E5E5E5"/>
            </w:tcBorders>
          </w:tcPr>
          <w:p>
            <w:pPr>
              <w:ind w:left="120"/>
              <w:spacing w:after="0"/>
              <w:rPr>
                <w:sz w:val="20"/>
                <w:szCs w:val="20"/>
                <w:color w:val="auto"/>
              </w:rPr>
            </w:pPr>
            <w:r>
              <w:rPr>
                <w:rFonts w:ascii="Arial" w:cs="Arial" w:eastAsia="Arial" w:hAnsi="Arial"/>
                <w:sz w:val="16"/>
                <w:szCs w:val="16"/>
                <w:color w:val="auto"/>
              </w:rPr>
              <w:t>2022</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right w:val="single" w:sz="8" w:color="E5E5E5"/>
            </w:tcBorders>
          </w:tcPr>
          <w:p>
            <w:pPr>
              <w:jc w:val="right"/>
              <w:spacing w:after="0"/>
              <w:rPr>
                <w:sz w:val="20"/>
                <w:szCs w:val="20"/>
                <w:color w:val="auto"/>
              </w:rPr>
            </w:pPr>
            <w:r>
              <w:rPr>
                <w:rFonts w:ascii="Arial" w:cs="Arial" w:eastAsia="Arial" w:hAnsi="Arial"/>
                <w:sz w:val="16"/>
                <w:szCs w:val="16"/>
                <w:color w:val="auto"/>
              </w:rPr>
              <w:t>622,692</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right w:val="single" w:sz="8" w:color="E5E5E5"/>
            </w:tcBorders>
          </w:tcPr>
          <w:p>
            <w:pPr>
              <w:ind w:left="50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right w:val="single" w:sz="8" w:color="E5E5E5"/>
            </w:tcBorders>
          </w:tcPr>
          <w:p>
            <w:pPr>
              <w:jc w:val="right"/>
              <w:ind w:right="19"/>
              <w:spacing w:after="0"/>
              <w:rPr>
                <w:sz w:val="20"/>
                <w:szCs w:val="20"/>
                <w:color w:val="auto"/>
              </w:rPr>
            </w:pPr>
            <w:r>
              <w:rPr>
                <w:rFonts w:ascii="Arial" w:cs="Arial" w:eastAsia="Arial" w:hAnsi="Arial"/>
                <w:sz w:val="16"/>
                <w:szCs w:val="16"/>
                <w:color w:val="auto"/>
              </w:rPr>
              <w:t>749,819</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right w:val="single" w:sz="8" w:color="E5E5E5"/>
            </w:tcBorders>
          </w:tcPr>
          <w:p>
            <w:pPr>
              <w:jc w:val="right"/>
              <w:spacing w:after="0"/>
              <w:rPr>
                <w:sz w:val="20"/>
                <w:szCs w:val="20"/>
                <w:color w:val="auto"/>
              </w:rPr>
            </w:pPr>
            <w:r>
              <w:rPr>
                <w:rFonts w:ascii="Arial" w:cs="Arial" w:eastAsia="Arial" w:hAnsi="Arial"/>
                <w:sz w:val="16"/>
                <w:szCs w:val="16"/>
                <w:color w:val="auto"/>
              </w:rPr>
              <w:t>1,062,500</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right w:val="single" w:sz="8" w:color="E5E5E5"/>
            </w:tcBorders>
          </w:tcPr>
          <w:p>
            <w:pPr>
              <w:jc w:val="right"/>
              <w:spacing w:after="0"/>
              <w:rPr>
                <w:sz w:val="20"/>
                <w:szCs w:val="20"/>
                <w:color w:val="auto"/>
              </w:rPr>
            </w:pPr>
            <w:r>
              <w:rPr>
                <w:rFonts w:ascii="Arial" w:cs="Arial" w:eastAsia="Arial" w:hAnsi="Arial"/>
                <w:sz w:val="16"/>
                <w:szCs w:val="16"/>
                <w:color w:val="auto"/>
              </w:rPr>
              <w:t>17,056</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tcBorders>
              <w:right w:val="single" w:sz="8" w:color="E5E5E5"/>
            </w:tcBorders>
          </w:tcPr>
          <w:p>
            <w:pPr>
              <w:jc w:val="right"/>
              <w:ind w:right="19"/>
              <w:spacing w:after="0"/>
              <w:rPr>
                <w:sz w:val="20"/>
                <w:szCs w:val="20"/>
                <w:color w:val="auto"/>
              </w:rPr>
            </w:pPr>
            <w:r>
              <w:rPr>
                <w:rFonts w:ascii="Arial" w:cs="Arial" w:eastAsia="Arial" w:hAnsi="Arial"/>
                <w:sz w:val="16"/>
                <w:szCs w:val="16"/>
                <w:color w:val="auto"/>
              </w:rPr>
              <w:t>2,452,067</w:t>
            </w:r>
          </w:p>
        </w:tc>
        <w:tc>
          <w:tcPr>
            <w:tcW w:w="0" w:type="dxa"/>
            <w:vAlign w:val="bottom"/>
          </w:tcPr>
          <w:p>
            <w:pPr>
              <w:spacing w:after="0"/>
              <w:rPr>
                <w:sz w:val="1"/>
                <w:szCs w:val="1"/>
                <w:color w:val="auto"/>
              </w:rPr>
            </w:pPr>
          </w:p>
        </w:tc>
      </w:tr>
      <w:tr>
        <w:trPr>
          <w:trHeight w:val="177"/>
        </w:trPr>
        <w:tc>
          <w:tcPr>
            <w:tcW w:w="3120" w:type="dxa"/>
            <w:vAlign w:val="bottom"/>
            <w:tcBorders>
              <w:left w:val="single" w:sz="8" w:color="E5E5E5"/>
              <w:right w:val="single" w:sz="8" w:color="E5E5E5"/>
            </w:tcBorders>
            <w:shd w:val="clear" w:color="auto" w:fill="DBDBDB"/>
          </w:tcPr>
          <w:p>
            <w:pPr>
              <w:ind w:left="40"/>
              <w:spacing w:after="0" w:line="177" w:lineRule="exact"/>
              <w:rPr>
                <w:sz w:val="20"/>
                <w:szCs w:val="20"/>
                <w:color w:val="auto"/>
              </w:rPr>
            </w:pPr>
            <w:r>
              <w:rPr>
                <w:rFonts w:ascii="Arial" w:cs="Arial" w:eastAsia="Arial" w:hAnsi="Arial"/>
                <w:sz w:val="16"/>
                <w:szCs w:val="16"/>
                <w:color w:val="auto"/>
              </w:rPr>
              <w:t>Miran Maric,</w:t>
            </w:r>
          </w:p>
        </w:tc>
        <w:tc>
          <w:tcPr>
            <w:tcW w:w="640" w:type="dxa"/>
            <w:vAlign w:val="bottom"/>
            <w:tcBorders>
              <w:right w:val="single" w:sz="8" w:color="E5E5E5"/>
            </w:tcBorders>
            <w:shd w:val="clear" w:color="auto" w:fill="DBDBDB"/>
          </w:tcPr>
          <w:p>
            <w:pPr>
              <w:ind w:left="120"/>
              <w:spacing w:after="0" w:line="177" w:lineRule="exact"/>
              <w:rPr>
                <w:sz w:val="20"/>
                <w:szCs w:val="20"/>
                <w:color w:val="auto"/>
              </w:rPr>
            </w:pPr>
            <w:r>
              <w:rPr>
                <w:rFonts w:ascii="Arial" w:cs="Arial" w:eastAsia="Arial" w:hAnsi="Arial"/>
                <w:sz w:val="16"/>
                <w:szCs w:val="16"/>
                <w:color w:val="auto"/>
              </w:rPr>
              <w:t>2024</w:t>
            </w:r>
          </w:p>
        </w:tc>
        <w:tc>
          <w:tcPr>
            <w:tcW w:w="100" w:type="dxa"/>
            <w:vAlign w:val="bottom"/>
            <w:shd w:val="clear" w:color="auto" w:fill="DBDBDB"/>
          </w:tcPr>
          <w:p>
            <w:pPr>
              <w:jc w:val="right"/>
              <w:spacing w:after="0" w:line="177" w:lineRule="exact"/>
              <w:rPr>
                <w:sz w:val="20"/>
                <w:szCs w:val="20"/>
                <w:color w:val="auto"/>
              </w:rPr>
            </w:pPr>
            <w:r>
              <w:rPr>
                <w:rFonts w:ascii="Arial" w:cs="Arial" w:eastAsia="Arial" w:hAnsi="Arial"/>
                <w:sz w:val="16"/>
                <w:szCs w:val="16"/>
                <w:color w:val="auto"/>
                <w:w w:val="89"/>
              </w:rPr>
              <w:t>$</w:t>
            </w:r>
          </w:p>
        </w:tc>
        <w:tc>
          <w:tcPr>
            <w:tcW w:w="1020" w:type="dxa"/>
            <w:vAlign w:val="bottom"/>
            <w:tcBorders>
              <w:right w:val="single" w:sz="8" w:color="E5E5E5"/>
            </w:tcBorders>
            <w:shd w:val="clear" w:color="auto" w:fill="DBDBDB"/>
          </w:tcPr>
          <w:p>
            <w:pPr>
              <w:jc w:val="right"/>
              <w:spacing w:after="0" w:line="177" w:lineRule="exact"/>
              <w:rPr>
                <w:sz w:val="20"/>
                <w:szCs w:val="20"/>
                <w:color w:val="auto"/>
              </w:rPr>
            </w:pPr>
            <w:r>
              <w:rPr>
                <w:rFonts w:ascii="Arial" w:cs="Arial" w:eastAsia="Arial" w:hAnsi="Arial"/>
                <w:sz w:val="16"/>
                <w:szCs w:val="16"/>
                <w:color w:val="auto"/>
              </w:rPr>
              <w:t>520,719</w:t>
            </w:r>
          </w:p>
        </w:tc>
        <w:tc>
          <w:tcPr>
            <w:tcW w:w="140" w:type="dxa"/>
            <w:vAlign w:val="bottom"/>
            <w:shd w:val="clear" w:color="auto" w:fill="DBDBDB"/>
          </w:tcPr>
          <w:p>
            <w:pPr>
              <w:jc w:val="right"/>
              <w:spacing w:after="0" w:line="177" w:lineRule="exact"/>
              <w:rPr>
                <w:sz w:val="20"/>
                <w:szCs w:val="20"/>
                <w:color w:val="auto"/>
              </w:rPr>
            </w:pPr>
            <w:r>
              <w:rPr>
                <w:rFonts w:ascii="Arial" w:cs="Arial" w:eastAsia="Arial" w:hAnsi="Arial"/>
                <w:sz w:val="16"/>
                <w:szCs w:val="16"/>
                <w:color w:val="auto"/>
                <w:w w:val="89"/>
              </w:rPr>
              <w:t>$</w:t>
            </w:r>
          </w:p>
        </w:tc>
        <w:tc>
          <w:tcPr>
            <w:tcW w:w="760" w:type="dxa"/>
            <w:vAlign w:val="bottom"/>
            <w:tcBorders>
              <w:right w:val="single" w:sz="8" w:color="E5E5E5"/>
            </w:tcBorders>
            <w:shd w:val="clear" w:color="auto" w:fill="DBDBDB"/>
          </w:tcPr>
          <w:p>
            <w:pPr>
              <w:ind w:left="500"/>
              <w:spacing w:after="0" w:line="177" w:lineRule="exact"/>
              <w:rPr>
                <w:sz w:val="20"/>
                <w:szCs w:val="20"/>
                <w:color w:val="auto"/>
              </w:rPr>
            </w:pPr>
            <w:r>
              <w:rPr>
                <w:rFonts w:ascii="Arial" w:cs="Arial" w:eastAsia="Arial" w:hAnsi="Arial"/>
                <w:sz w:val="16"/>
                <w:szCs w:val="16"/>
                <w:color w:val="auto"/>
              </w:rPr>
              <w:t>—</w:t>
            </w:r>
          </w:p>
        </w:tc>
        <w:tc>
          <w:tcPr>
            <w:tcW w:w="160" w:type="dxa"/>
            <w:vAlign w:val="bottom"/>
            <w:shd w:val="clear" w:color="auto" w:fill="DBDBDB"/>
          </w:tcPr>
          <w:p>
            <w:pPr>
              <w:jc w:val="right"/>
              <w:spacing w:after="0" w:line="177" w:lineRule="exact"/>
              <w:rPr>
                <w:sz w:val="20"/>
                <w:szCs w:val="20"/>
                <w:color w:val="auto"/>
              </w:rPr>
            </w:pPr>
            <w:r>
              <w:rPr>
                <w:rFonts w:ascii="Arial" w:cs="Arial" w:eastAsia="Arial" w:hAnsi="Arial"/>
                <w:sz w:val="16"/>
                <w:szCs w:val="16"/>
                <w:color w:val="auto"/>
                <w:w w:val="89"/>
              </w:rPr>
              <w:t>$</w:t>
            </w:r>
          </w:p>
        </w:tc>
        <w:tc>
          <w:tcPr>
            <w:tcW w:w="1000" w:type="dxa"/>
            <w:vAlign w:val="bottom"/>
            <w:tcBorders>
              <w:right w:val="single" w:sz="8" w:color="E5E5E5"/>
            </w:tcBorders>
            <w:shd w:val="clear" w:color="auto" w:fill="DBDBDB"/>
          </w:tcPr>
          <w:p>
            <w:pPr>
              <w:jc w:val="right"/>
              <w:ind w:right="19"/>
              <w:spacing w:after="0" w:line="177" w:lineRule="exact"/>
              <w:rPr>
                <w:sz w:val="20"/>
                <w:szCs w:val="20"/>
                <w:color w:val="auto"/>
              </w:rPr>
            </w:pPr>
            <w:r>
              <w:rPr>
                <w:rFonts w:ascii="Arial" w:cs="Arial" w:eastAsia="Arial" w:hAnsi="Arial"/>
                <w:sz w:val="16"/>
                <w:szCs w:val="16"/>
                <w:color w:val="auto"/>
              </w:rPr>
              <w:t>800,107</w:t>
            </w:r>
          </w:p>
        </w:tc>
        <w:tc>
          <w:tcPr>
            <w:tcW w:w="160" w:type="dxa"/>
            <w:vAlign w:val="bottom"/>
            <w:shd w:val="clear" w:color="auto" w:fill="DBDBDB"/>
          </w:tcPr>
          <w:p>
            <w:pPr>
              <w:jc w:val="right"/>
              <w:spacing w:after="0" w:line="177" w:lineRule="exact"/>
              <w:rPr>
                <w:sz w:val="20"/>
                <w:szCs w:val="20"/>
                <w:color w:val="auto"/>
              </w:rPr>
            </w:pPr>
            <w:r>
              <w:rPr>
                <w:rFonts w:ascii="Arial" w:cs="Arial" w:eastAsia="Arial" w:hAnsi="Arial"/>
                <w:sz w:val="16"/>
                <w:szCs w:val="16"/>
                <w:color w:val="auto"/>
                <w:w w:val="89"/>
              </w:rPr>
              <w:t>$</w:t>
            </w:r>
          </w:p>
        </w:tc>
        <w:tc>
          <w:tcPr>
            <w:tcW w:w="1520" w:type="dxa"/>
            <w:vAlign w:val="bottom"/>
            <w:tcBorders>
              <w:right w:val="single" w:sz="8" w:color="E5E5E5"/>
            </w:tcBorders>
            <w:shd w:val="clear" w:color="auto" w:fill="DBDBDB"/>
          </w:tcPr>
          <w:p>
            <w:pPr>
              <w:jc w:val="right"/>
              <w:spacing w:after="0" w:line="177" w:lineRule="exact"/>
              <w:rPr>
                <w:sz w:val="20"/>
                <w:szCs w:val="20"/>
                <w:color w:val="auto"/>
              </w:rPr>
            </w:pPr>
            <w:r>
              <w:rPr>
                <w:rFonts w:ascii="Arial" w:cs="Arial" w:eastAsia="Arial" w:hAnsi="Arial"/>
                <w:sz w:val="16"/>
                <w:szCs w:val="16"/>
                <w:color w:val="auto"/>
              </w:rPr>
              <w:t>422,283</w:t>
            </w:r>
          </w:p>
        </w:tc>
        <w:tc>
          <w:tcPr>
            <w:tcW w:w="140" w:type="dxa"/>
            <w:vAlign w:val="bottom"/>
            <w:shd w:val="clear" w:color="auto" w:fill="DBDBDB"/>
          </w:tcPr>
          <w:p>
            <w:pPr>
              <w:jc w:val="right"/>
              <w:spacing w:after="0" w:line="177" w:lineRule="exact"/>
              <w:rPr>
                <w:sz w:val="20"/>
                <w:szCs w:val="20"/>
                <w:color w:val="auto"/>
              </w:rPr>
            </w:pPr>
            <w:r>
              <w:rPr>
                <w:rFonts w:ascii="Arial" w:cs="Arial" w:eastAsia="Arial" w:hAnsi="Arial"/>
                <w:sz w:val="16"/>
                <w:szCs w:val="16"/>
                <w:color w:val="auto"/>
                <w:w w:val="89"/>
              </w:rPr>
              <w:t>$</w:t>
            </w:r>
          </w:p>
        </w:tc>
        <w:tc>
          <w:tcPr>
            <w:tcW w:w="1360" w:type="dxa"/>
            <w:vAlign w:val="bottom"/>
            <w:tcBorders>
              <w:right w:val="single" w:sz="8" w:color="E5E5E5"/>
            </w:tcBorders>
            <w:shd w:val="clear" w:color="auto" w:fill="DBDBDB"/>
          </w:tcPr>
          <w:p>
            <w:pPr>
              <w:jc w:val="right"/>
              <w:spacing w:after="0" w:line="177" w:lineRule="exact"/>
              <w:rPr>
                <w:sz w:val="20"/>
                <w:szCs w:val="20"/>
                <w:color w:val="auto"/>
              </w:rPr>
            </w:pPr>
            <w:r>
              <w:rPr>
                <w:rFonts w:ascii="Arial" w:cs="Arial" w:eastAsia="Arial" w:hAnsi="Arial"/>
                <w:sz w:val="16"/>
                <w:szCs w:val="16"/>
                <w:color w:val="auto"/>
              </w:rPr>
              <w:t>17,652</w:t>
            </w:r>
          </w:p>
        </w:tc>
        <w:tc>
          <w:tcPr>
            <w:tcW w:w="220" w:type="dxa"/>
            <w:vAlign w:val="bottom"/>
            <w:shd w:val="clear" w:color="auto" w:fill="DBDBDB"/>
          </w:tcPr>
          <w:p>
            <w:pPr>
              <w:jc w:val="right"/>
              <w:ind w:right="39"/>
              <w:spacing w:after="0" w:line="177" w:lineRule="exact"/>
              <w:rPr>
                <w:sz w:val="20"/>
                <w:szCs w:val="20"/>
                <w:color w:val="auto"/>
              </w:rPr>
            </w:pPr>
            <w:r>
              <w:rPr>
                <w:rFonts w:ascii="Arial" w:cs="Arial" w:eastAsia="Arial" w:hAnsi="Arial"/>
                <w:sz w:val="16"/>
                <w:szCs w:val="16"/>
                <w:color w:val="auto"/>
                <w:w w:val="89"/>
              </w:rPr>
              <w:t>$</w:t>
            </w:r>
          </w:p>
        </w:tc>
        <w:tc>
          <w:tcPr>
            <w:tcW w:w="920" w:type="dxa"/>
            <w:vAlign w:val="bottom"/>
            <w:tcBorders>
              <w:right w:val="single" w:sz="8" w:color="E5E5E5"/>
            </w:tcBorders>
            <w:shd w:val="clear" w:color="auto" w:fill="DBDBDB"/>
          </w:tcPr>
          <w:p>
            <w:pPr>
              <w:jc w:val="right"/>
              <w:ind w:right="19"/>
              <w:spacing w:after="0" w:line="177" w:lineRule="exact"/>
              <w:rPr>
                <w:sz w:val="20"/>
                <w:szCs w:val="20"/>
                <w:color w:val="auto"/>
              </w:rPr>
            </w:pPr>
            <w:r>
              <w:rPr>
                <w:rFonts w:ascii="Arial" w:cs="Arial" w:eastAsia="Arial" w:hAnsi="Arial"/>
                <w:sz w:val="16"/>
                <w:szCs w:val="16"/>
                <w:color w:val="auto"/>
              </w:rPr>
              <w:t>1,760,761</w:t>
            </w:r>
          </w:p>
        </w:tc>
        <w:tc>
          <w:tcPr>
            <w:tcW w:w="0" w:type="dxa"/>
            <w:vAlign w:val="bottom"/>
          </w:tcPr>
          <w:p>
            <w:pPr>
              <w:spacing w:after="0"/>
              <w:rPr>
                <w:sz w:val="1"/>
                <w:szCs w:val="1"/>
                <w:color w:val="auto"/>
              </w:rPr>
            </w:pPr>
          </w:p>
        </w:tc>
      </w:tr>
      <w:tr>
        <w:trPr>
          <w:trHeight w:val="162"/>
        </w:trPr>
        <w:tc>
          <w:tcPr>
            <w:tcW w:w="3120" w:type="dxa"/>
            <w:vAlign w:val="bottom"/>
            <w:tcBorders>
              <w:left w:val="single" w:sz="8" w:color="E5E5E5"/>
              <w:right w:val="single" w:sz="8" w:color="E5E5E5"/>
            </w:tcBorders>
            <w:shd w:val="clear" w:color="auto" w:fill="DBDBDB"/>
          </w:tcPr>
          <w:p>
            <w:pPr>
              <w:ind w:left="40"/>
              <w:spacing w:after="0" w:line="162" w:lineRule="exact"/>
              <w:rPr>
                <w:sz w:val="20"/>
                <w:szCs w:val="20"/>
                <w:color w:val="auto"/>
              </w:rPr>
            </w:pPr>
            <w:r>
              <w:rPr>
                <w:rFonts w:ascii="Arial" w:cs="Arial" w:eastAsia="Arial" w:hAnsi="Arial"/>
                <w:sz w:val="16"/>
                <w:szCs w:val="16"/>
                <w:color w:val="auto"/>
              </w:rPr>
              <w:t>Former Senior Vice President, Strategy &amp;</w:t>
            </w:r>
          </w:p>
        </w:tc>
        <w:tc>
          <w:tcPr>
            <w:tcW w:w="640" w:type="dxa"/>
            <w:vAlign w:val="bottom"/>
            <w:tcBorders>
              <w:right w:val="single" w:sz="8" w:color="E5E5E5"/>
            </w:tcBorders>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020" w:type="dxa"/>
            <w:vAlign w:val="bottom"/>
            <w:tcBorders>
              <w:right w:val="single" w:sz="8" w:color="E5E5E5"/>
            </w:tcBorders>
            <w:shd w:val="clear" w:color="auto" w:fill="DBDBDB"/>
          </w:tcPr>
          <w:p>
            <w:pPr>
              <w:spacing w:after="0"/>
              <w:rPr>
                <w:sz w:val="14"/>
                <w:szCs w:val="14"/>
                <w:color w:val="auto"/>
              </w:rPr>
            </w:pPr>
          </w:p>
        </w:tc>
        <w:tc>
          <w:tcPr>
            <w:tcW w:w="140" w:type="dxa"/>
            <w:vAlign w:val="bottom"/>
            <w:shd w:val="clear" w:color="auto" w:fill="DBDBDB"/>
          </w:tcPr>
          <w:p>
            <w:pPr>
              <w:spacing w:after="0"/>
              <w:rPr>
                <w:sz w:val="14"/>
                <w:szCs w:val="14"/>
                <w:color w:val="auto"/>
              </w:rPr>
            </w:pPr>
          </w:p>
        </w:tc>
        <w:tc>
          <w:tcPr>
            <w:tcW w:w="760" w:type="dxa"/>
            <w:vAlign w:val="bottom"/>
            <w:tcBorders>
              <w:right w:val="single" w:sz="8" w:color="E5E5E5"/>
            </w:tcBorders>
            <w:shd w:val="clear" w:color="auto" w:fill="DBDBDB"/>
          </w:tcPr>
          <w:p>
            <w:pPr>
              <w:spacing w:after="0"/>
              <w:rPr>
                <w:sz w:val="14"/>
                <w:szCs w:val="14"/>
                <w:color w:val="auto"/>
              </w:rPr>
            </w:pPr>
          </w:p>
        </w:tc>
        <w:tc>
          <w:tcPr>
            <w:tcW w:w="160" w:type="dxa"/>
            <w:vAlign w:val="bottom"/>
            <w:shd w:val="clear" w:color="auto" w:fill="DBDBDB"/>
          </w:tcPr>
          <w:p>
            <w:pPr>
              <w:spacing w:after="0"/>
              <w:rPr>
                <w:sz w:val="14"/>
                <w:szCs w:val="14"/>
                <w:color w:val="auto"/>
              </w:rPr>
            </w:pPr>
          </w:p>
        </w:tc>
        <w:tc>
          <w:tcPr>
            <w:tcW w:w="1000" w:type="dxa"/>
            <w:vAlign w:val="bottom"/>
            <w:tcBorders>
              <w:right w:val="single" w:sz="8" w:color="E5E5E5"/>
            </w:tcBorders>
            <w:shd w:val="clear" w:color="auto" w:fill="DBDBDB"/>
          </w:tcPr>
          <w:p>
            <w:pPr>
              <w:spacing w:after="0"/>
              <w:rPr>
                <w:sz w:val="14"/>
                <w:szCs w:val="14"/>
                <w:color w:val="auto"/>
              </w:rPr>
            </w:pPr>
          </w:p>
        </w:tc>
        <w:tc>
          <w:tcPr>
            <w:tcW w:w="160" w:type="dxa"/>
            <w:vAlign w:val="bottom"/>
            <w:shd w:val="clear" w:color="auto" w:fill="DBDBDB"/>
          </w:tcPr>
          <w:p>
            <w:pPr>
              <w:spacing w:after="0"/>
              <w:rPr>
                <w:sz w:val="14"/>
                <w:szCs w:val="14"/>
                <w:color w:val="auto"/>
              </w:rPr>
            </w:pPr>
          </w:p>
        </w:tc>
        <w:tc>
          <w:tcPr>
            <w:tcW w:w="1520" w:type="dxa"/>
            <w:vAlign w:val="bottom"/>
            <w:tcBorders>
              <w:right w:val="single" w:sz="8" w:color="E5E5E5"/>
            </w:tcBorders>
            <w:shd w:val="clear" w:color="auto" w:fill="DBDBDB"/>
          </w:tcPr>
          <w:p>
            <w:pPr>
              <w:spacing w:after="0"/>
              <w:rPr>
                <w:sz w:val="14"/>
                <w:szCs w:val="14"/>
                <w:color w:val="auto"/>
              </w:rPr>
            </w:pPr>
          </w:p>
        </w:tc>
        <w:tc>
          <w:tcPr>
            <w:tcW w:w="140" w:type="dxa"/>
            <w:vAlign w:val="bottom"/>
            <w:shd w:val="clear" w:color="auto" w:fill="DBDBDB"/>
          </w:tcPr>
          <w:p>
            <w:pPr>
              <w:spacing w:after="0"/>
              <w:rPr>
                <w:sz w:val="14"/>
                <w:szCs w:val="14"/>
                <w:color w:val="auto"/>
              </w:rPr>
            </w:pPr>
          </w:p>
        </w:tc>
        <w:tc>
          <w:tcPr>
            <w:tcW w:w="1360" w:type="dxa"/>
            <w:vAlign w:val="bottom"/>
            <w:tcBorders>
              <w:right w:val="single" w:sz="8" w:color="E5E5E5"/>
            </w:tcBorders>
            <w:shd w:val="clear" w:color="auto" w:fill="DBDBDB"/>
          </w:tcPr>
          <w:p>
            <w:pPr>
              <w:spacing w:after="0"/>
              <w:rPr>
                <w:sz w:val="14"/>
                <w:szCs w:val="14"/>
                <w:color w:val="auto"/>
              </w:rPr>
            </w:pPr>
          </w:p>
        </w:tc>
        <w:tc>
          <w:tcPr>
            <w:tcW w:w="220" w:type="dxa"/>
            <w:vAlign w:val="bottom"/>
            <w:shd w:val="clear" w:color="auto" w:fill="DBDBDB"/>
          </w:tcPr>
          <w:p>
            <w:pPr>
              <w:spacing w:after="0"/>
              <w:rPr>
                <w:sz w:val="14"/>
                <w:szCs w:val="14"/>
                <w:color w:val="auto"/>
              </w:rPr>
            </w:pPr>
          </w:p>
        </w:tc>
        <w:tc>
          <w:tcPr>
            <w:tcW w:w="920" w:type="dxa"/>
            <w:vAlign w:val="bottom"/>
            <w:tcBorders>
              <w:right w:val="single" w:sz="8" w:color="E5E5E5"/>
            </w:tcBorders>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120" w:type="dxa"/>
            <w:vAlign w:val="bottom"/>
            <w:tcBorders>
              <w:left w:val="single" w:sz="8" w:color="E5E5E5"/>
              <w:right w:val="single" w:sz="8" w:color="E5E5E5"/>
            </w:tcBorders>
            <w:shd w:val="clear" w:color="auto" w:fill="DBDBDB"/>
          </w:tcPr>
          <w:p>
            <w:pPr>
              <w:ind w:left="40"/>
              <w:spacing w:after="0" w:line="216" w:lineRule="exact"/>
              <w:rPr>
                <w:sz w:val="20"/>
                <w:szCs w:val="20"/>
                <w:color w:val="auto"/>
              </w:rPr>
            </w:pPr>
            <w:r>
              <w:rPr>
                <w:rFonts w:ascii="Arial" w:cs="Arial" w:eastAsia="Arial" w:hAnsi="Arial"/>
                <w:sz w:val="16"/>
                <w:szCs w:val="16"/>
                <w:color w:val="auto"/>
              </w:rPr>
              <w:t>Innovation</w:t>
            </w:r>
            <w:r>
              <w:rPr>
                <w:rFonts w:ascii="Arial" w:cs="Arial" w:eastAsia="Arial" w:hAnsi="Arial"/>
                <w:sz w:val="21"/>
                <w:szCs w:val="21"/>
                <w:color w:val="auto"/>
                <w:vertAlign w:val="superscript"/>
              </w:rPr>
              <w:t>(9)</w:t>
            </w:r>
          </w:p>
        </w:tc>
        <w:tc>
          <w:tcPr>
            <w:tcW w:w="640" w:type="dxa"/>
            <w:vAlign w:val="bottom"/>
            <w:tcBorders>
              <w:right w:val="single" w:sz="8" w:color="E5E5E5"/>
            </w:tcBorders>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020" w:type="dxa"/>
            <w:vAlign w:val="bottom"/>
            <w:tcBorders>
              <w:right w:val="single" w:sz="8" w:color="E5E5E5"/>
            </w:tcBorders>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760" w:type="dxa"/>
            <w:vAlign w:val="bottom"/>
            <w:tcBorders>
              <w:right w:val="single" w:sz="8" w:color="E5E5E5"/>
            </w:tcBorders>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000" w:type="dxa"/>
            <w:vAlign w:val="bottom"/>
            <w:tcBorders>
              <w:right w:val="single" w:sz="8" w:color="E5E5E5"/>
            </w:tcBorders>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520" w:type="dxa"/>
            <w:vAlign w:val="bottom"/>
            <w:tcBorders>
              <w:right w:val="single" w:sz="8" w:color="E5E5E5"/>
            </w:tcBorders>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360" w:type="dxa"/>
            <w:vAlign w:val="bottom"/>
            <w:tcBorders>
              <w:right w:val="single" w:sz="8" w:color="E5E5E5"/>
            </w:tcBorders>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920" w:type="dxa"/>
            <w:vAlign w:val="bottom"/>
            <w:tcBorders>
              <w:right w:val="single" w:sz="8" w:color="E5E5E5"/>
            </w:tcBorders>
            <w:shd w:val="clear" w:color="auto" w:fill="DBDBDB"/>
          </w:tcPr>
          <w:p>
            <w:pPr>
              <w:spacing w:after="0"/>
              <w:rPr>
                <w:sz w:val="19"/>
                <w:szCs w:val="19"/>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340" w:right="40" w:hanging="332"/>
        <w:spacing w:after="0" w:line="257" w:lineRule="auto"/>
        <w:tabs>
          <w:tab w:leader="none" w:pos="335"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amounts in this column represent the aggregate grant date fair value computed in accordance with FASB ASC Topic 718 for awards of performance share units and shares of restricted stock units for the fiscal years ended December 31, 2024, 2023 and 2022, as described in the “Compensation Discussion &amp; Analysis—Review of 2024 Total Compensation—Equity-Based Compensation Opportunities” discussion and in footnotes 2 and 3 of the “2024 Grants of Plan-Based Awards" table below. For a more detailed discussion of the assumptions used to determine the valuation of the stock awards set forth in this column, please see a discussion of such valuation in Note 22 in the Notes to the Consolidated Financial Statements in our Annual Report on Form 10-K for the year ended December 31, 2024, filed with the SEC on February 26, 2025. The maximum possible value of performance awards at the grant date (based on the assumption that the highest level of performance is achieved) granted to each of our named executive officers in 2024 was as follows: Mr. Hult: $5,399,910; Mr. Welch: $900,202; Mr. Clara: $900,202; Mr. Milstein: $810,084; Mr. Calloway: $224,806; Mr. Villasana: $854,980; and Mr. Maric: $719,966. For additional information on the actual number of performance share unit awards granted, see the discussion under “Compensation Discussion &amp; Analysis–Review of 2024 Total Compensation–Equity-Based Compensation Opportunities” above.</w:t>
      </w:r>
    </w:p>
    <w:p>
      <w:pPr>
        <w:spacing w:after="0" w:line="216" w:lineRule="exact"/>
        <w:rPr>
          <w:rFonts w:ascii="Arial" w:cs="Arial" w:eastAsia="Arial" w:hAnsi="Arial"/>
          <w:sz w:val="16"/>
          <w:szCs w:val="16"/>
          <w:color w:val="auto"/>
        </w:rPr>
      </w:pPr>
    </w:p>
    <w:p>
      <w:pPr>
        <w:ind w:left="340" w:right="200" w:hanging="332"/>
        <w:spacing w:after="0" w:line="290" w:lineRule="auto"/>
        <w:tabs>
          <w:tab w:leader="none" w:pos="335"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amounts in this column represent the actual amount earned by, and paid to, the named executive officers under the applicable year’s annual cash incentive plan.</w:t>
      </w:r>
    </w:p>
    <w:p>
      <w:pPr>
        <w:ind w:left="340" w:right="20" w:hanging="332"/>
        <w:spacing w:after="0" w:line="286" w:lineRule="auto"/>
        <w:tabs>
          <w:tab w:leader="none" w:pos="335" w:val="left"/>
        </w:tabs>
        <w:numPr>
          <w:ilvl w:val="0"/>
          <w:numId w:val="51"/>
        </w:numPr>
        <w:rPr>
          <w:rFonts w:ascii="Arial" w:cs="Arial" w:eastAsia="Arial" w:hAnsi="Arial"/>
          <w:sz w:val="16"/>
          <w:szCs w:val="16"/>
          <w:color w:val="auto"/>
        </w:rPr>
      </w:pPr>
      <w:r>
        <w:rPr>
          <w:rFonts w:ascii="Arial" w:cs="Arial" w:eastAsia="Arial" w:hAnsi="Arial"/>
          <w:sz w:val="16"/>
          <w:szCs w:val="16"/>
          <w:color w:val="auto"/>
        </w:rPr>
        <w:t>All Other Compensation represents (i) the aggregate incremental cost of $12,750 associated with the use of one demonstrator vehicle; (ii) an automobile allowance of $9,600; and (iii) 401(k) match contributions.</w:t>
      </w:r>
    </w:p>
    <w:p>
      <w:pPr>
        <w:spacing w:after="0" w:line="7" w:lineRule="exact"/>
        <w:rPr>
          <w:rFonts w:ascii="Arial" w:cs="Arial" w:eastAsia="Arial" w:hAnsi="Arial"/>
          <w:sz w:val="16"/>
          <w:szCs w:val="16"/>
          <w:color w:val="auto"/>
        </w:rPr>
      </w:pPr>
    </w:p>
    <w:p>
      <w:pPr>
        <w:ind w:left="340" w:right="780" w:hanging="332"/>
        <w:spacing w:after="0" w:line="286" w:lineRule="auto"/>
        <w:tabs>
          <w:tab w:leader="none" w:pos="335" w:val="left"/>
        </w:tabs>
        <w:numPr>
          <w:ilvl w:val="0"/>
          <w:numId w:val="51"/>
        </w:numPr>
        <w:rPr>
          <w:rFonts w:ascii="Arial" w:cs="Arial" w:eastAsia="Arial" w:hAnsi="Arial"/>
          <w:sz w:val="16"/>
          <w:szCs w:val="16"/>
          <w:color w:val="auto"/>
        </w:rPr>
      </w:pPr>
      <w:r>
        <w:rPr>
          <w:rFonts w:ascii="Arial" w:cs="Arial" w:eastAsia="Arial" w:hAnsi="Arial"/>
          <w:sz w:val="16"/>
          <w:szCs w:val="16"/>
          <w:color w:val="auto"/>
        </w:rPr>
        <w:t>All Other Compensation represents (i) the aggregate incremental cost of $12,716 associated with the use of one demonstrator vehicle, (ii) and automobile allowance of $923 and (iii) 401(k) match contributions.</w:t>
      </w:r>
    </w:p>
    <w:p>
      <w:pPr>
        <w:spacing w:after="0" w:line="7" w:lineRule="exact"/>
        <w:rPr>
          <w:rFonts w:ascii="Arial" w:cs="Arial" w:eastAsia="Arial" w:hAnsi="Arial"/>
          <w:sz w:val="16"/>
          <w:szCs w:val="16"/>
          <w:color w:val="auto"/>
        </w:rPr>
      </w:pPr>
    </w:p>
    <w:p>
      <w:pPr>
        <w:ind w:left="340" w:right="280" w:hanging="332"/>
        <w:spacing w:after="0" w:line="281" w:lineRule="auto"/>
        <w:tabs>
          <w:tab w:leader="none" w:pos="335" w:val="left"/>
        </w:tabs>
        <w:numPr>
          <w:ilvl w:val="0"/>
          <w:numId w:val="51"/>
        </w:numPr>
        <w:rPr>
          <w:rFonts w:ascii="Arial" w:cs="Arial" w:eastAsia="Arial" w:hAnsi="Arial"/>
          <w:sz w:val="16"/>
          <w:szCs w:val="16"/>
          <w:color w:val="auto"/>
        </w:rPr>
      </w:pPr>
      <w:r>
        <w:rPr>
          <w:rFonts w:ascii="Arial" w:cs="Arial" w:eastAsia="Arial" w:hAnsi="Arial"/>
          <w:sz w:val="16"/>
          <w:szCs w:val="16"/>
          <w:color w:val="auto"/>
        </w:rPr>
        <w:t>All Other Compensation represents (i) the aggregate incremental cost of $16,897 associated with the use of one demonstrator vehicle; and (ii) 401(k) match contributions.</w:t>
      </w:r>
    </w:p>
    <w:p>
      <w:pPr>
        <w:spacing w:after="0" w:line="1" w:lineRule="exact"/>
        <w:rPr>
          <w:rFonts w:ascii="Arial" w:cs="Arial" w:eastAsia="Arial" w:hAnsi="Arial"/>
          <w:sz w:val="16"/>
          <w:szCs w:val="16"/>
          <w:color w:val="auto"/>
        </w:rPr>
      </w:pPr>
    </w:p>
    <w:p>
      <w:pPr>
        <w:ind w:left="320" w:hanging="312"/>
        <w:spacing w:after="0"/>
        <w:tabs>
          <w:tab w:leader="none" w:pos="3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All Other Compensation represents (i) an automobile allowance of $9,600; and (ii) 401(k) match contributions.</w:t>
      </w:r>
    </w:p>
    <w:p>
      <w:pPr>
        <w:sectPr>
          <w:pgSz w:w="11900" w:h="16838" w:orient="portrait"/>
          <w:cols w:equalWidth="0" w:num="1">
            <w:col w:w="11260"/>
          </w:cols>
          <w:pgMar w:left="320" w:top="122" w:right="319" w:bottom="1440" w:gutter="0" w:footer="0" w:header="0"/>
        </w:sectPr>
      </w:pPr>
    </w:p>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3" w:lineRule="exact"/>
        <w:rPr>
          <w:sz w:val="20"/>
          <w:szCs w:val="20"/>
          <w:color w:val="auto"/>
        </w:rPr>
      </w:pPr>
    </w:p>
    <w:p>
      <w:pPr>
        <w:ind w:left="340" w:right="320" w:hanging="332"/>
        <w:spacing w:after="0" w:line="275" w:lineRule="auto"/>
        <w:tabs>
          <w:tab w:leader="none" w:pos="335" w:val="left"/>
        </w:tabs>
        <w:numPr>
          <w:ilvl w:val="0"/>
          <w:numId w:val="52"/>
        </w:numPr>
        <w:rPr>
          <w:rFonts w:ascii="Arial" w:cs="Arial" w:eastAsia="Arial" w:hAnsi="Arial"/>
          <w:sz w:val="16"/>
          <w:szCs w:val="16"/>
          <w:color w:val="auto"/>
        </w:rPr>
      </w:pPr>
      <w:r>
        <w:rPr>
          <w:rFonts w:ascii="Arial" w:cs="Arial" w:eastAsia="Arial" w:hAnsi="Arial"/>
          <w:sz w:val="16"/>
          <w:szCs w:val="16"/>
          <w:color w:val="auto"/>
        </w:rPr>
        <w:t>Mr. Calloway was promoted to Senior Vice President, General Counsel &amp; Secretary effective July 1, 2024. Salary and Non-Equity Incentive Plan Compensation are prorated for the time in his previous and new position. Stock Awards includes his regular annual grant and a one-time promotion grant. All Other Compensation represents an automobile allowance of $9,600.</w:t>
      </w:r>
    </w:p>
    <w:p>
      <w:pPr>
        <w:spacing w:after="0" w:line="2" w:lineRule="exact"/>
        <w:rPr>
          <w:rFonts w:ascii="Arial" w:cs="Arial" w:eastAsia="Arial" w:hAnsi="Arial"/>
          <w:sz w:val="16"/>
          <w:szCs w:val="16"/>
          <w:color w:val="auto"/>
        </w:rPr>
      </w:pPr>
    </w:p>
    <w:p>
      <w:pPr>
        <w:ind w:left="340" w:right="40" w:hanging="332"/>
        <w:spacing w:after="0" w:line="265" w:lineRule="auto"/>
        <w:tabs>
          <w:tab w:leader="none" w:pos="335" w:val="left"/>
        </w:tabs>
        <w:numPr>
          <w:ilvl w:val="0"/>
          <w:numId w:val="52"/>
        </w:numPr>
        <w:rPr>
          <w:rFonts w:ascii="Arial" w:cs="Arial" w:eastAsia="Arial" w:hAnsi="Arial"/>
          <w:sz w:val="16"/>
          <w:szCs w:val="16"/>
          <w:color w:val="auto"/>
        </w:rPr>
      </w:pPr>
      <w:r>
        <w:rPr>
          <w:rFonts w:ascii="Arial" w:cs="Arial" w:eastAsia="Arial" w:hAnsi="Arial"/>
          <w:sz w:val="16"/>
          <w:szCs w:val="16"/>
          <w:color w:val="auto"/>
        </w:rPr>
        <w:t>Mr. Villasana retired as Senior Vice President, Chief Legal Officer &amp; Secretary effective June 30, 2024. Salary and Non-Equity Incentive Plan Compensation include amounts in accordance with executive’s Transition and Retirement Agreement. See the discussion under “Potential Payments Upon Termination or Change in Control–Severance and Transition Agreements” below. All Other Compensation represents (i) an automobile allowance of $9,600; and (ii) 401(k) match contributions.</w:t>
      </w:r>
    </w:p>
    <w:p>
      <w:pPr>
        <w:spacing w:after="0" w:line="24" w:lineRule="exact"/>
        <w:rPr>
          <w:rFonts w:ascii="Arial" w:cs="Arial" w:eastAsia="Arial" w:hAnsi="Arial"/>
          <w:sz w:val="16"/>
          <w:szCs w:val="16"/>
          <w:color w:val="auto"/>
        </w:rPr>
      </w:pPr>
    </w:p>
    <w:p>
      <w:pPr>
        <w:ind w:left="340" w:hanging="332"/>
        <w:spacing w:after="0" w:line="275" w:lineRule="auto"/>
        <w:tabs>
          <w:tab w:leader="none" w:pos="335" w:val="left"/>
        </w:tabs>
        <w:numPr>
          <w:ilvl w:val="0"/>
          <w:numId w:val="52"/>
        </w:numPr>
        <w:rPr>
          <w:rFonts w:ascii="Arial" w:cs="Arial" w:eastAsia="Arial" w:hAnsi="Arial"/>
          <w:sz w:val="16"/>
          <w:szCs w:val="16"/>
          <w:color w:val="auto"/>
        </w:rPr>
      </w:pPr>
      <w:r>
        <w:rPr>
          <w:rFonts w:ascii="Arial" w:cs="Arial" w:eastAsia="Arial" w:hAnsi="Arial"/>
          <w:sz w:val="16"/>
          <w:szCs w:val="16"/>
          <w:color w:val="auto"/>
        </w:rPr>
        <w:t>Mr. Maric resigned as Senior Vice President, Strategy &amp; Innovation effective November 14, 2024. Upon Mr. Maric's voluntary termination, he forfeited all unvested performance share units and restricted share units granted during 2024. All Other Compensation represents (ii) an automobile allowance of $8,493; and (iii) 401(k) match contributions.</w:t>
      </w:r>
    </w:p>
    <w:p>
      <w:pPr>
        <w:spacing w:after="0" w:line="3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2024 Grants of Plan-Based Awards</w:t>
      </w:r>
    </w:p>
    <w:p>
      <w:pPr>
        <w:spacing w:after="0" w:line="68" w:lineRule="exact"/>
        <w:rPr>
          <w:sz w:val="20"/>
          <w:szCs w:val="20"/>
          <w:color w:val="auto"/>
        </w:rPr>
      </w:pPr>
    </w:p>
    <w:tbl>
      <w:tblPr>
        <w:tblLayout w:type="fixed"/>
        <w:tblInd w:w="10" w:type="dxa"/>
        <w:tblCellMar>
          <w:top w:w="0" w:type="dxa"/>
          <w:left w:w="0" w:type="dxa"/>
          <w:bottom w:w="0" w:type="dxa"/>
          <w:right w:w="0" w:type="dxa"/>
        </w:tblCellMar>
      </w:tblPr>
      <w:tr>
        <w:trPr>
          <w:trHeight w:val="399"/>
        </w:trPr>
        <w:tc>
          <w:tcPr>
            <w:tcW w:w="980" w:type="dxa"/>
            <w:vAlign w:val="bottom"/>
            <w:tcBorders>
              <w:left w:val="single" w:sz="8" w:color="E5E5E5"/>
              <w:right w:val="single" w:sz="8" w:color="E5E5E5"/>
            </w:tcBorders>
            <w:shd w:val="clear" w:color="auto" w:fill="D91E18"/>
          </w:tcPr>
          <w:p>
            <w:pPr>
              <w:spacing w:after="0"/>
              <w:rPr>
                <w:sz w:val="24"/>
                <w:szCs w:val="24"/>
                <w:color w:val="auto"/>
              </w:rPr>
            </w:pPr>
          </w:p>
        </w:tc>
        <w:tc>
          <w:tcPr>
            <w:tcW w:w="740" w:type="dxa"/>
            <w:vAlign w:val="bottom"/>
            <w:tcBorders>
              <w:right w:val="single" w:sz="8" w:color="E5E5E5"/>
            </w:tcBorders>
            <w:shd w:val="clear" w:color="auto" w:fill="D91E18"/>
          </w:tcPr>
          <w:p>
            <w:pPr>
              <w:spacing w:after="0"/>
              <w:rPr>
                <w:sz w:val="24"/>
                <w:szCs w:val="24"/>
                <w:color w:val="auto"/>
              </w:rPr>
            </w:pPr>
          </w:p>
        </w:tc>
        <w:tc>
          <w:tcPr>
            <w:tcW w:w="960" w:type="dxa"/>
            <w:vAlign w:val="bottom"/>
            <w:tcBorders>
              <w:right w:val="single" w:sz="8" w:color="E5E5E5"/>
            </w:tcBorders>
            <w:shd w:val="clear" w:color="auto" w:fill="D91E18"/>
          </w:tcPr>
          <w:p>
            <w:pPr>
              <w:spacing w:after="0"/>
              <w:rPr>
                <w:sz w:val="24"/>
                <w:szCs w:val="24"/>
                <w:color w:val="auto"/>
              </w:rPr>
            </w:pPr>
          </w:p>
        </w:tc>
        <w:tc>
          <w:tcPr>
            <w:tcW w:w="100" w:type="dxa"/>
            <w:vAlign w:val="bottom"/>
            <w:shd w:val="clear" w:color="auto" w:fill="D91E18"/>
          </w:tcPr>
          <w:p>
            <w:pPr>
              <w:spacing w:after="0"/>
              <w:rPr>
                <w:sz w:val="24"/>
                <w:szCs w:val="24"/>
                <w:color w:val="auto"/>
              </w:rPr>
            </w:pPr>
          </w:p>
        </w:tc>
        <w:tc>
          <w:tcPr>
            <w:tcW w:w="3260" w:type="dxa"/>
            <w:vAlign w:val="bottom"/>
            <w:tcBorders>
              <w:right w:val="single" w:sz="8" w:color="E5E5E5"/>
            </w:tcBorders>
            <w:gridSpan w:val="5"/>
            <w:vMerge w:val="restart"/>
            <w:shd w:val="clear" w:color="auto" w:fill="D91E18"/>
          </w:tcPr>
          <w:p>
            <w:pPr>
              <w:jc w:val="right"/>
              <w:ind w:right="79"/>
              <w:spacing w:after="0"/>
              <w:rPr>
                <w:sz w:val="20"/>
                <w:szCs w:val="20"/>
                <w:color w:val="auto"/>
              </w:rPr>
            </w:pPr>
            <w:r>
              <w:rPr>
                <w:rFonts w:ascii="Arial" w:cs="Arial" w:eastAsia="Arial" w:hAnsi="Arial"/>
                <w:sz w:val="16"/>
                <w:szCs w:val="16"/>
                <w:b w:val="1"/>
                <w:bCs w:val="1"/>
                <w:color w:val="FFFFFF"/>
              </w:rPr>
              <w:t>Estimated Possible Payouts Under Non-</w:t>
            </w:r>
          </w:p>
        </w:tc>
        <w:tc>
          <w:tcPr>
            <w:tcW w:w="2840" w:type="dxa"/>
            <w:vAlign w:val="bottom"/>
            <w:tcBorders>
              <w:right w:val="single" w:sz="8" w:color="E5E5E5"/>
            </w:tcBorders>
            <w:gridSpan w:val="3"/>
            <w:shd w:val="clear" w:color="auto" w:fill="D91E18"/>
          </w:tcPr>
          <w:p>
            <w:pPr>
              <w:jc w:val="center"/>
              <w:spacing w:after="0"/>
              <w:rPr>
                <w:sz w:val="20"/>
                <w:szCs w:val="20"/>
                <w:color w:val="auto"/>
              </w:rPr>
            </w:pPr>
            <w:r>
              <w:rPr>
                <w:rFonts w:ascii="Arial" w:cs="Arial" w:eastAsia="Arial" w:hAnsi="Arial"/>
                <w:sz w:val="16"/>
                <w:szCs w:val="16"/>
                <w:b w:val="1"/>
                <w:bCs w:val="1"/>
                <w:color w:val="FFFFFF"/>
              </w:rPr>
              <w:t>Estimated Future Payouts Under</w:t>
            </w:r>
          </w:p>
        </w:tc>
        <w:tc>
          <w:tcPr>
            <w:tcW w:w="1220" w:type="dxa"/>
            <w:vAlign w:val="bottom"/>
            <w:tcBorders>
              <w:right w:val="single" w:sz="8" w:color="E5E5E5"/>
            </w:tcBorders>
            <w:shd w:val="clear" w:color="auto" w:fill="D91E18"/>
          </w:tcPr>
          <w:p>
            <w:pPr>
              <w:jc w:val="center"/>
              <w:spacing w:after="0"/>
              <w:rPr>
                <w:sz w:val="20"/>
                <w:szCs w:val="20"/>
                <w:color w:val="auto"/>
              </w:rPr>
            </w:pPr>
            <w:r>
              <w:rPr>
                <w:rFonts w:ascii="Arial" w:cs="Arial" w:eastAsia="Arial" w:hAnsi="Arial"/>
                <w:sz w:val="16"/>
                <w:szCs w:val="16"/>
                <w:b w:val="1"/>
                <w:bCs w:val="1"/>
                <w:color w:val="FFFFFF"/>
              </w:rPr>
              <w:t>All Other</w:t>
            </w:r>
          </w:p>
        </w:tc>
        <w:tc>
          <w:tcPr>
            <w:tcW w:w="120" w:type="dxa"/>
            <w:vAlign w:val="bottom"/>
            <w:shd w:val="clear" w:color="auto" w:fill="D91E18"/>
          </w:tcPr>
          <w:p>
            <w:pPr>
              <w:spacing w:after="0"/>
              <w:rPr>
                <w:sz w:val="24"/>
                <w:szCs w:val="24"/>
                <w:color w:val="auto"/>
              </w:rPr>
            </w:pPr>
          </w:p>
        </w:tc>
        <w:tc>
          <w:tcPr>
            <w:tcW w:w="1040" w:type="dxa"/>
            <w:vAlign w:val="bottom"/>
            <w:tcBorders>
              <w:right w:val="single" w:sz="8" w:color="E5E5E5"/>
            </w:tcBorders>
            <w:vMerge w:val="restart"/>
            <w:shd w:val="clear" w:color="auto" w:fill="D91E18"/>
          </w:tcPr>
          <w:p>
            <w:pPr>
              <w:jc w:val="center"/>
              <w:ind w:right="63"/>
              <w:spacing w:after="0"/>
              <w:rPr>
                <w:sz w:val="20"/>
                <w:szCs w:val="20"/>
                <w:color w:val="auto"/>
              </w:rPr>
            </w:pPr>
            <w:r>
              <w:rPr>
                <w:rFonts w:ascii="Arial" w:cs="Arial" w:eastAsia="Arial" w:hAnsi="Arial"/>
                <w:sz w:val="16"/>
                <w:szCs w:val="16"/>
                <w:b w:val="1"/>
                <w:bCs w:val="1"/>
                <w:color w:val="FFFFFF"/>
              </w:rPr>
              <w:t>Grant Date</w:t>
            </w:r>
          </w:p>
        </w:tc>
        <w:tc>
          <w:tcPr>
            <w:tcW w:w="0" w:type="dxa"/>
            <w:vAlign w:val="bottom"/>
          </w:tcPr>
          <w:p>
            <w:pPr>
              <w:spacing w:after="0"/>
              <w:rPr>
                <w:sz w:val="1"/>
                <w:szCs w:val="1"/>
                <w:color w:val="auto"/>
              </w:rPr>
            </w:pPr>
          </w:p>
        </w:tc>
      </w:tr>
      <w:tr>
        <w:trPr>
          <w:trHeight w:val="162"/>
        </w:trPr>
        <w:tc>
          <w:tcPr>
            <w:tcW w:w="980" w:type="dxa"/>
            <w:vAlign w:val="bottom"/>
            <w:tcBorders>
              <w:left w:val="single" w:sz="8" w:color="E5E5E5"/>
              <w:right w:val="single" w:sz="8" w:color="E5E5E5"/>
            </w:tcBorders>
            <w:shd w:val="clear" w:color="auto" w:fill="D91E18"/>
          </w:tcPr>
          <w:p>
            <w:pPr>
              <w:spacing w:after="0"/>
              <w:rPr>
                <w:sz w:val="14"/>
                <w:szCs w:val="14"/>
                <w:color w:val="auto"/>
              </w:rPr>
            </w:pPr>
          </w:p>
        </w:tc>
        <w:tc>
          <w:tcPr>
            <w:tcW w:w="740" w:type="dxa"/>
            <w:vAlign w:val="bottom"/>
            <w:tcBorders>
              <w:right w:val="single" w:sz="8" w:color="E5E5E5"/>
            </w:tcBorders>
            <w:shd w:val="clear" w:color="auto" w:fill="D91E18"/>
          </w:tcPr>
          <w:p>
            <w:pPr>
              <w:spacing w:after="0"/>
              <w:rPr>
                <w:sz w:val="14"/>
                <w:szCs w:val="14"/>
                <w:color w:val="auto"/>
              </w:rPr>
            </w:pPr>
          </w:p>
        </w:tc>
        <w:tc>
          <w:tcPr>
            <w:tcW w:w="960" w:type="dxa"/>
            <w:vAlign w:val="bottom"/>
            <w:tcBorders>
              <w:right w:val="single" w:sz="8" w:color="E5E5E5"/>
            </w:tcBorders>
            <w:shd w:val="clear" w:color="auto" w:fill="D91E18"/>
          </w:tcPr>
          <w:p>
            <w:pPr>
              <w:spacing w:after="0"/>
              <w:rPr>
                <w:sz w:val="14"/>
                <w:szCs w:val="14"/>
                <w:color w:val="auto"/>
              </w:rPr>
            </w:pPr>
          </w:p>
        </w:tc>
        <w:tc>
          <w:tcPr>
            <w:tcW w:w="100" w:type="dxa"/>
            <w:vAlign w:val="bottom"/>
            <w:shd w:val="clear" w:color="auto" w:fill="D91E18"/>
          </w:tcPr>
          <w:p>
            <w:pPr>
              <w:spacing w:after="0"/>
              <w:rPr>
                <w:sz w:val="14"/>
                <w:szCs w:val="14"/>
                <w:color w:val="auto"/>
              </w:rPr>
            </w:pPr>
          </w:p>
        </w:tc>
        <w:tc>
          <w:tcPr>
            <w:tcW w:w="3260" w:type="dxa"/>
            <w:vAlign w:val="bottom"/>
            <w:tcBorders>
              <w:right w:val="single" w:sz="8" w:color="E5E5E5"/>
            </w:tcBorders>
            <w:gridSpan w:val="5"/>
            <w:vMerge w:val="continue"/>
            <w:shd w:val="clear" w:color="auto" w:fill="D91E18"/>
          </w:tcPr>
          <w:p>
            <w:pPr>
              <w:spacing w:after="0"/>
              <w:rPr>
                <w:sz w:val="14"/>
                <w:szCs w:val="14"/>
                <w:color w:val="auto"/>
              </w:rPr>
            </w:pPr>
          </w:p>
        </w:tc>
        <w:tc>
          <w:tcPr>
            <w:tcW w:w="2840" w:type="dxa"/>
            <w:vAlign w:val="bottom"/>
            <w:tcBorders>
              <w:right w:val="single" w:sz="8" w:color="E5E5E5"/>
            </w:tcBorders>
            <w:gridSpan w:val="3"/>
            <w:shd w:val="clear" w:color="auto" w:fill="D91E18"/>
          </w:tcPr>
          <w:p>
            <w:pPr>
              <w:jc w:val="center"/>
              <w:spacing w:after="0" w:line="162" w:lineRule="exact"/>
              <w:rPr>
                <w:sz w:val="20"/>
                <w:szCs w:val="20"/>
                <w:color w:val="auto"/>
              </w:rPr>
            </w:pPr>
            <w:r>
              <w:rPr>
                <w:rFonts w:ascii="Arial" w:cs="Arial" w:eastAsia="Arial" w:hAnsi="Arial"/>
                <w:sz w:val="14"/>
                <w:szCs w:val="14"/>
                <w:b w:val="1"/>
                <w:bCs w:val="1"/>
                <w:color w:val="FFFFFF"/>
              </w:rPr>
              <w:t>Equity Incentive Plan Awards</w:t>
            </w:r>
            <w:r>
              <w:rPr>
                <w:rFonts w:ascii="Arial" w:cs="Arial" w:eastAsia="Arial" w:hAnsi="Arial"/>
                <w:sz w:val="18"/>
                <w:szCs w:val="18"/>
                <w:b w:val="1"/>
                <w:bCs w:val="1"/>
                <w:color w:val="FFFFFF"/>
                <w:vertAlign w:val="superscript"/>
              </w:rPr>
              <w:t>(2)</w:t>
            </w:r>
            <w:r>
              <w:rPr>
                <w:rFonts w:ascii="Arial" w:cs="Arial" w:eastAsia="Arial" w:hAnsi="Arial"/>
                <w:sz w:val="14"/>
                <w:szCs w:val="14"/>
                <w:b w:val="1"/>
                <w:bCs w:val="1"/>
                <w:color w:val="FFFFFF"/>
              </w:rPr>
              <w:t xml:space="preserve"> (# of</w:t>
            </w:r>
          </w:p>
        </w:tc>
        <w:tc>
          <w:tcPr>
            <w:tcW w:w="1220" w:type="dxa"/>
            <w:vAlign w:val="bottom"/>
            <w:tcBorders>
              <w:right w:val="single" w:sz="8" w:color="E5E5E5"/>
            </w:tcBorders>
            <w:shd w:val="clear" w:color="auto" w:fill="D91E18"/>
          </w:tcPr>
          <w:p>
            <w:pPr>
              <w:jc w:val="center"/>
              <w:spacing w:after="0" w:line="162" w:lineRule="exact"/>
              <w:rPr>
                <w:sz w:val="20"/>
                <w:szCs w:val="20"/>
                <w:color w:val="auto"/>
              </w:rPr>
            </w:pPr>
            <w:r>
              <w:rPr>
                <w:rFonts w:ascii="Arial" w:cs="Arial" w:eastAsia="Arial" w:hAnsi="Arial"/>
                <w:sz w:val="16"/>
                <w:szCs w:val="16"/>
                <w:b w:val="1"/>
                <w:bCs w:val="1"/>
                <w:color w:val="FFFFFF"/>
              </w:rPr>
              <w:t>Stock Awards:</w:t>
            </w:r>
          </w:p>
        </w:tc>
        <w:tc>
          <w:tcPr>
            <w:tcW w:w="120" w:type="dxa"/>
            <w:vAlign w:val="bottom"/>
            <w:shd w:val="clear" w:color="auto" w:fill="D91E18"/>
          </w:tcPr>
          <w:p>
            <w:pPr>
              <w:spacing w:after="0"/>
              <w:rPr>
                <w:sz w:val="14"/>
                <w:szCs w:val="14"/>
                <w:color w:val="auto"/>
              </w:rPr>
            </w:pPr>
          </w:p>
        </w:tc>
        <w:tc>
          <w:tcPr>
            <w:tcW w:w="1040" w:type="dxa"/>
            <w:vAlign w:val="bottom"/>
            <w:tcBorders>
              <w:right w:val="single" w:sz="8" w:color="E5E5E5"/>
            </w:tcBorders>
            <w:vMerge w:val="continue"/>
            <w:shd w:val="clear" w:color="auto" w:fill="D91E18"/>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980" w:type="dxa"/>
            <w:vAlign w:val="bottom"/>
            <w:tcBorders>
              <w:left w:val="single" w:sz="8" w:color="E5E5E5"/>
              <w:right w:val="single" w:sz="8" w:color="E5E5E5"/>
            </w:tcBorders>
            <w:shd w:val="clear" w:color="auto" w:fill="D91E18"/>
          </w:tcPr>
          <w:p>
            <w:pPr>
              <w:spacing w:after="0"/>
              <w:rPr>
                <w:sz w:val="18"/>
                <w:szCs w:val="18"/>
                <w:color w:val="auto"/>
              </w:rPr>
            </w:pPr>
          </w:p>
        </w:tc>
        <w:tc>
          <w:tcPr>
            <w:tcW w:w="740" w:type="dxa"/>
            <w:vAlign w:val="bottom"/>
            <w:tcBorders>
              <w:right w:val="single" w:sz="8" w:color="E5E5E5"/>
            </w:tcBorders>
            <w:shd w:val="clear" w:color="auto" w:fill="D91E18"/>
          </w:tcPr>
          <w:p>
            <w:pPr>
              <w:spacing w:after="0"/>
              <w:rPr>
                <w:sz w:val="18"/>
                <w:szCs w:val="18"/>
                <w:color w:val="auto"/>
              </w:rPr>
            </w:pPr>
          </w:p>
        </w:tc>
        <w:tc>
          <w:tcPr>
            <w:tcW w:w="960" w:type="dxa"/>
            <w:vAlign w:val="bottom"/>
            <w:tcBorders>
              <w:right w:val="single" w:sz="8" w:color="E5E5E5"/>
            </w:tcBorders>
            <w:shd w:val="clear" w:color="auto" w:fill="D91E18"/>
          </w:tcPr>
          <w:p>
            <w:pPr>
              <w:spacing w:after="0"/>
              <w:rPr>
                <w:sz w:val="18"/>
                <w:szCs w:val="18"/>
                <w:color w:val="auto"/>
              </w:rPr>
            </w:pPr>
          </w:p>
        </w:tc>
        <w:tc>
          <w:tcPr>
            <w:tcW w:w="100" w:type="dxa"/>
            <w:vAlign w:val="bottom"/>
            <w:shd w:val="clear" w:color="auto" w:fill="D91E18"/>
          </w:tcPr>
          <w:p>
            <w:pPr>
              <w:spacing w:after="0"/>
              <w:rPr>
                <w:sz w:val="18"/>
                <w:szCs w:val="18"/>
                <w:color w:val="auto"/>
              </w:rPr>
            </w:pPr>
          </w:p>
        </w:tc>
        <w:tc>
          <w:tcPr>
            <w:tcW w:w="3260" w:type="dxa"/>
            <w:vAlign w:val="bottom"/>
            <w:tcBorders>
              <w:right w:val="single" w:sz="8" w:color="E5E5E5"/>
            </w:tcBorders>
            <w:gridSpan w:val="5"/>
            <w:shd w:val="clear" w:color="auto" w:fill="D91E18"/>
          </w:tcPr>
          <w:p>
            <w:pPr>
              <w:jc w:val="right"/>
              <w:ind w:right="419"/>
              <w:spacing w:after="0" w:line="162" w:lineRule="exact"/>
              <w:rPr>
                <w:sz w:val="20"/>
                <w:szCs w:val="20"/>
                <w:color w:val="auto"/>
              </w:rPr>
            </w:pPr>
            <w:r>
              <w:rPr>
                <w:rFonts w:ascii="Arial" w:cs="Arial" w:eastAsia="Arial" w:hAnsi="Arial"/>
                <w:sz w:val="14"/>
                <w:szCs w:val="14"/>
                <w:b w:val="1"/>
                <w:bCs w:val="1"/>
                <w:color w:val="FFFFFF"/>
              </w:rPr>
              <w:t>Equity Incentive Plan Awards</w:t>
            </w:r>
            <w:r>
              <w:rPr>
                <w:rFonts w:ascii="Arial" w:cs="Arial" w:eastAsia="Arial" w:hAnsi="Arial"/>
                <w:sz w:val="18"/>
                <w:szCs w:val="18"/>
                <w:b w:val="1"/>
                <w:bCs w:val="1"/>
                <w:color w:val="FFFFFF"/>
                <w:vertAlign w:val="superscript"/>
              </w:rPr>
              <w:t>(1)</w:t>
            </w:r>
          </w:p>
        </w:tc>
        <w:tc>
          <w:tcPr>
            <w:tcW w:w="1040" w:type="dxa"/>
            <w:vAlign w:val="bottom"/>
            <w:tcBorders>
              <w:right w:val="single" w:sz="8" w:color="D91E18"/>
            </w:tcBorders>
            <w:shd w:val="clear" w:color="auto" w:fill="D91E18"/>
          </w:tcPr>
          <w:p>
            <w:pPr>
              <w:spacing w:after="0"/>
              <w:rPr>
                <w:sz w:val="18"/>
                <w:szCs w:val="18"/>
                <w:color w:val="auto"/>
              </w:rPr>
            </w:pPr>
          </w:p>
        </w:tc>
        <w:tc>
          <w:tcPr>
            <w:tcW w:w="760" w:type="dxa"/>
            <w:vAlign w:val="bottom"/>
            <w:tcBorders>
              <w:right w:val="single" w:sz="8" w:color="D91E18"/>
            </w:tcBorders>
            <w:shd w:val="clear" w:color="auto" w:fill="D91E18"/>
          </w:tcPr>
          <w:p>
            <w:pPr>
              <w:jc w:val="center"/>
              <w:spacing w:after="0" w:line="162" w:lineRule="exact"/>
              <w:rPr>
                <w:sz w:val="20"/>
                <w:szCs w:val="20"/>
                <w:color w:val="auto"/>
              </w:rPr>
            </w:pPr>
            <w:r>
              <w:rPr>
                <w:rFonts w:ascii="Arial" w:cs="Arial" w:eastAsia="Arial" w:hAnsi="Arial"/>
                <w:sz w:val="16"/>
                <w:szCs w:val="16"/>
                <w:b w:val="1"/>
                <w:bCs w:val="1"/>
                <w:color w:val="FFFFFF"/>
                <w:w w:val="98"/>
              </w:rPr>
              <w:t>shares)</w:t>
            </w:r>
          </w:p>
        </w:tc>
        <w:tc>
          <w:tcPr>
            <w:tcW w:w="1040" w:type="dxa"/>
            <w:vAlign w:val="bottom"/>
            <w:tcBorders>
              <w:right w:val="single" w:sz="8" w:color="E5E5E5"/>
            </w:tcBorders>
            <w:shd w:val="clear" w:color="auto" w:fill="D91E18"/>
          </w:tcPr>
          <w:p>
            <w:pPr>
              <w:spacing w:after="0"/>
              <w:rPr>
                <w:sz w:val="18"/>
                <w:szCs w:val="18"/>
                <w:color w:val="auto"/>
              </w:rPr>
            </w:pPr>
          </w:p>
        </w:tc>
        <w:tc>
          <w:tcPr>
            <w:tcW w:w="1220" w:type="dxa"/>
            <w:vAlign w:val="bottom"/>
            <w:tcBorders>
              <w:right w:val="single" w:sz="8" w:color="E5E5E5"/>
            </w:tcBorders>
            <w:shd w:val="clear" w:color="auto" w:fill="D91E18"/>
          </w:tcPr>
          <w:p>
            <w:pPr>
              <w:jc w:val="center"/>
              <w:spacing w:after="0" w:line="162" w:lineRule="exact"/>
              <w:rPr>
                <w:sz w:val="20"/>
                <w:szCs w:val="20"/>
                <w:color w:val="auto"/>
              </w:rPr>
            </w:pPr>
            <w:r>
              <w:rPr>
                <w:rFonts w:ascii="Arial" w:cs="Arial" w:eastAsia="Arial" w:hAnsi="Arial"/>
                <w:sz w:val="16"/>
                <w:szCs w:val="16"/>
                <w:b w:val="1"/>
                <w:bCs w:val="1"/>
                <w:color w:val="FFFFFF"/>
              </w:rPr>
              <w:t>Number of</w:t>
            </w:r>
          </w:p>
        </w:tc>
        <w:tc>
          <w:tcPr>
            <w:tcW w:w="1160" w:type="dxa"/>
            <w:vAlign w:val="bottom"/>
            <w:tcBorders>
              <w:right w:val="single" w:sz="8" w:color="E5E5E5"/>
            </w:tcBorders>
            <w:gridSpan w:val="2"/>
            <w:shd w:val="clear" w:color="auto" w:fill="D91E18"/>
          </w:tcPr>
          <w:p>
            <w:pPr>
              <w:jc w:val="center"/>
              <w:spacing w:after="0" w:line="162" w:lineRule="exact"/>
              <w:rPr>
                <w:sz w:val="20"/>
                <w:szCs w:val="20"/>
                <w:color w:val="auto"/>
              </w:rPr>
            </w:pPr>
            <w:r>
              <w:rPr>
                <w:rFonts w:ascii="Arial" w:cs="Arial" w:eastAsia="Arial" w:hAnsi="Arial"/>
                <w:sz w:val="16"/>
                <w:szCs w:val="16"/>
                <w:b w:val="1"/>
                <w:bCs w:val="1"/>
                <w:color w:val="FFFFFF"/>
                <w:w w:val="99"/>
              </w:rPr>
              <w:t>Fair Value of</w:t>
            </w:r>
          </w:p>
        </w:tc>
        <w:tc>
          <w:tcPr>
            <w:tcW w:w="0" w:type="dxa"/>
            <w:vAlign w:val="bottom"/>
          </w:tcPr>
          <w:p>
            <w:pPr>
              <w:spacing w:after="0"/>
              <w:rPr>
                <w:sz w:val="1"/>
                <w:szCs w:val="1"/>
                <w:color w:val="auto"/>
              </w:rPr>
            </w:pPr>
          </w:p>
        </w:tc>
      </w:tr>
      <w:tr>
        <w:trPr>
          <w:trHeight w:val="20"/>
        </w:trPr>
        <w:tc>
          <w:tcPr>
            <w:tcW w:w="980" w:type="dxa"/>
            <w:vAlign w:val="bottom"/>
            <w:tcBorders>
              <w:top w:val="single" w:sz="8" w:color="D91E18"/>
              <w:left w:val="single" w:sz="8" w:color="E5E5E5"/>
              <w:right w:val="single" w:sz="8" w:color="E5E5E5"/>
            </w:tcBorders>
            <w:shd w:val="clear" w:color="auto" w:fill="D91E18"/>
          </w:tcPr>
          <w:p>
            <w:pPr>
              <w:spacing w:after="0" w:line="20" w:lineRule="exact"/>
              <w:rPr>
                <w:sz w:val="1"/>
                <w:szCs w:val="1"/>
                <w:color w:val="auto"/>
              </w:rPr>
            </w:pPr>
          </w:p>
        </w:tc>
        <w:tc>
          <w:tcPr>
            <w:tcW w:w="740" w:type="dxa"/>
            <w:vAlign w:val="bottom"/>
            <w:tcBorders>
              <w:top w:val="single" w:sz="8" w:color="D91E18"/>
              <w:right w:val="single" w:sz="8" w:color="E5E5E5"/>
            </w:tcBorders>
            <w:vMerge w:val="restart"/>
            <w:shd w:val="clear" w:color="auto" w:fill="D91E18"/>
          </w:tcPr>
          <w:p>
            <w:pPr>
              <w:jc w:val="right"/>
              <w:ind w:right="79"/>
              <w:spacing w:after="0" w:line="183" w:lineRule="exact"/>
              <w:rPr>
                <w:sz w:val="20"/>
                <w:szCs w:val="20"/>
                <w:color w:val="auto"/>
              </w:rPr>
            </w:pPr>
            <w:r>
              <w:rPr>
                <w:rFonts w:ascii="Arial" w:cs="Arial" w:eastAsia="Arial" w:hAnsi="Arial"/>
                <w:sz w:val="16"/>
                <w:szCs w:val="16"/>
                <w:b w:val="1"/>
                <w:bCs w:val="1"/>
                <w:color w:val="FFFFFF"/>
              </w:rPr>
              <w:t>Grant</w:t>
            </w:r>
          </w:p>
        </w:tc>
        <w:tc>
          <w:tcPr>
            <w:tcW w:w="960" w:type="dxa"/>
            <w:vAlign w:val="bottom"/>
            <w:tcBorders>
              <w:top w:val="single" w:sz="8" w:color="D91E18"/>
              <w:right w:val="single" w:sz="8" w:color="E5E5E5"/>
            </w:tcBorders>
            <w:vMerge w:val="restart"/>
            <w:shd w:val="clear" w:color="auto" w:fill="D91E18"/>
          </w:tcPr>
          <w:p>
            <w:pPr>
              <w:jc w:val="right"/>
              <w:ind w:right="59"/>
              <w:spacing w:after="0" w:line="183" w:lineRule="exact"/>
              <w:rPr>
                <w:sz w:val="20"/>
                <w:szCs w:val="20"/>
                <w:color w:val="auto"/>
              </w:rPr>
            </w:pPr>
            <w:r>
              <w:rPr>
                <w:rFonts w:ascii="Arial" w:cs="Arial" w:eastAsia="Arial" w:hAnsi="Arial"/>
                <w:sz w:val="16"/>
                <w:szCs w:val="16"/>
                <w:b w:val="1"/>
                <w:bCs w:val="1"/>
                <w:color w:val="FFFFFF"/>
              </w:rPr>
              <w:t>Approval</w:t>
            </w:r>
          </w:p>
        </w:tc>
        <w:tc>
          <w:tcPr>
            <w:tcW w:w="100" w:type="dxa"/>
            <w:vAlign w:val="bottom"/>
            <w:tcBorders>
              <w:top w:val="single" w:sz="8" w:color="D91E18"/>
            </w:tcBorders>
            <w:shd w:val="clear" w:color="auto" w:fill="D91E18"/>
          </w:tcPr>
          <w:p>
            <w:pPr>
              <w:spacing w:after="0" w:line="20" w:lineRule="exact"/>
              <w:rPr>
                <w:sz w:val="1"/>
                <w:szCs w:val="1"/>
                <w:color w:val="auto"/>
              </w:rPr>
            </w:pPr>
          </w:p>
        </w:tc>
        <w:tc>
          <w:tcPr>
            <w:tcW w:w="980" w:type="dxa"/>
            <w:vAlign w:val="bottom"/>
            <w:tcBorders>
              <w:top w:val="single" w:sz="8" w:color="D91E18"/>
              <w:right w:val="single" w:sz="8" w:color="E5E5E5"/>
            </w:tcBorders>
            <w:vMerge w:val="restart"/>
            <w:shd w:val="clear" w:color="auto" w:fill="D91E18"/>
          </w:tcPr>
          <w:p>
            <w:pPr>
              <w:jc w:val="right"/>
              <w:ind w:right="320"/>
              <w:spacing w:after="0" w:line="183" w:lineRule="exact"/>
              <w:rPr>
                <w:sz w:val="20"/>
                <w:szCs w:val="20"/>
                <w:color w:val="auto"/>
              </w:rPr>
            </w:pPr>
            <w:r>
              <w:rPr>
                <w:rFonts w:ascii="Arial" w:cs="Arial" w:eastAsia="Arial" w:hAnsi="Arial"/>
                <w:sz w:val="16"/>
                <w:szCs w:val="16"/>
                <w:b w:val="1"/>
                <w:bCs w:val="1"/>
                <w:color w:val="FFFFFF"/>
              </w:rPr>
              <w:t>50%</w:t>
            </w:r>
          </w:p>
        </w:tc>
        <w:tc>
          <w:tcPr>
            <w:tcW w:w="200" w:type="dxa"/>
            <w:vAlign w:val="bottom"/>
            <w:tcBorders>
              <w:top w:val="single" w:sz="8" w:color="D91E18"/>
            </w:tcBorders>
            <w:shd w:val="clear" w:color="auto" w:fill="D91E18"/>
          </w:tcPr>
          <w:p>
            <w:pPr>
              <w:spacing w:after="0" w:line="20" w:lineRule="exact"/>
              <w:rPr>
                <w:sz w:val="1"/>
                <w:szCs w:val="1"/>
                <w:color w:val="auto"/>
              </w:rPr>
            </w:pPr>
          </w:p>
        </w:tc>
        <w:tc>
          <w:tcPr>
            <w:tcW w:w="920" w:type="dxa"/>
            <w:vAlign w:val="bottom"/>
            <w:tcBorders>
              <w:top w:val="single" w:sz="8" w:color="D91E18"/>
              <w:right w:val="single" w:sz="8" w:color="E5E5E5"/>
            </w:tcBorders>
            <w:shd w:val="clear" w:color="auto" w:fill="D91E18"/>
          </w:tcPr>
          <w:p>
            <w:pPr>
              <w:spacing w:after="0" w:line="20" w:lineRule="exact"/>
              <w:rPr>
                <w:sz w:val="1"/>
                <w:szCs w:val="1"/>
                <w:color w:val="auto"/>
              </w:rPr>
            </w:pPr>
          </w:p>
        </w:tc>
        <w:tc>
          <w:tcPr>
            <w:tcW w:w="140" w:type="dxa"/>
            <w:vAlign w:val="bottom"/>
            <w:tcBorders>
              <w:top w:val="single" w:sz="8" w:color="D91E18"/>
            </w:tcBorders>
            <w:shd w:val="clear" w:color="auto" w:fill="D91E18"/>
          </w:tcPr>
          <w:p>
            <w:pPr>
              <w:spacing w:after="0" w:line="20" w:lineRule="exact"/>
              <w:rPr>
                <w:sz w:val="1"/>
                <w:szCs w:val="1"/>
                <w:color w:val="auto"/>
              </w:rPr>
            </w:pPr>
          </w:p>
        </w:tc>
        <w:tc>
          <w:tcPr>
            <w:tcW w:w="1020" w:type="dxa"/>
            <w:vAlign w:val="bottom"/>
            <w:tcBorders>
              <w:top w:val="single" w:sz="8" w:color="D91E18"/>
              <w:right w:val="single" w:sz="8" w:color="E5E5E5"/>
            </w:tcBorders>
            <w:vMerge w:val="restart"/>
            <w:shd w:val="clear" w:color="auto" w:fill="D91E18"/>
          </w:tcPr>
          <w:p>
            <w:pPr>
              <w:jc w:val="right"/>
              <w:ind w:right="319"/>
              <w:spacing w:after="0" w:line="183" w:lineRule="exact"/>
              <w:rPr>
                <w:sz w:val="20"/>
                <w:szCs w:val="20"/>
                <w:color w:val="auto"/>
              </w:rPr>
            </w:pPr>
            <w:r>
              <w:rPr>
                <w:rFonts w:ascii="Arial" w:cs="Arial" w:eastAsia="Arial" w:hAnsi="Arial"/>
                <w:sz w:val="16"/>
                <w:szCs w:val="16"/>
                <w:b w:val="1"/>
                <w:bCs w:val="1"/>
                <w:color w:val="FFFFFF"/>
              </w:rPr>
              <w:t>200%</w:t>
            </w:r>
          </w:p>
        </w:tc>
        <w:tc>
          <w:tcPr>
            <w:tcW w:w="1040" w:type="dxa"/>
            <w:vAlign w:val="bottom"/>
            <w:tcBorders>
              <w:top w:val="single" w:sz="8" w:color="D91E18"/>
              <w:right w:val="single" w:sz="8" w:color="E5E5E5"/>
            </w:tcBorders>
            <w:shd w:val="clear" w:color="auto" w:fill="D91E18"/>
          </w:tcPr>
          <w:p>
            <w:pPr>
              <w:spacing w:after="0" w:line="20" w:lineRule="exact"/>
              <w:rPr>
                <w:sz w:val="1"/>
                <w:szCs w:val="1"/>
                <w:color w:val="auto"/>
              </w:rPr>
            </w:pPr>
          </w:p>
        </w:tc>
        <w:tc>
          <w:tcPr>
            <w:tcW w:w="760" w:type="dxa"/>
            <w:vAlign w:val="bottom"/>
            <w:tcBorders>
              <w:top w:val="single" w:sz="8" w:color="D91E18"/>
              <w:right w:val="single" w:sz="8" w:color="E5E5E5"/>
            </w:tcBorders>
            <w:shd w:val="clear" w:color="auto" w:fill="D91E18"/>
          </w:tcPr>
          <w:p>
            <w:pPr>
              <w:spacing w:after="0" w:line="20" w:lineRule="exact"/>
              <w:rPr>
                <w:sz w:val="1"/>
                <w:szCs w:val="1"/>
                <w:color w:val="auto"/>
              </w:rPr>
            </w:pPr>
          </w:p>
        </w:tc>
        <w:tc>
          <w:tcPr>
            <w:tcW w:w="1040" w:type="dxa"/>
            <w:vAlign w:val="bottom"/>
            <w:tcBorders>
              <w:top w:val="single" w:sz="8" w:color="D91E18"/>
              <w:right w:val="single" w:sz="8" w:color="E5E5E5"/>
            </w:tcBorders>
            <w:shd w:val="clear" w:color="auto" w:fill="D91E18"/>
          </w:tcPr>
          <w:p>
            <w:pPr>
              <w:spacing w:after="0" w:line="20" w:lineRule="exact"/>
              <w:rPr>
                <w:sz w:val="1"/>
                <w:szCs w:val="1"/>
                <w:color w:val="auto"/>
              </w:rPr>
            </w:pPr>
          </w:p>
        </w:tc>
        <w:tc>
          <w:tcPr>
            <w:tcW w:w="1220" w:type="dxa"/>
            <w:vAlign w:val="bottom"/>
            <w:tcBorders>
              <w:top w:val="single" w:sz="8" w:color="D91E18"/>
              <w:right w:val="single" w:sz="8" w:color="E5E5E5"/>
            </w:tcBorders>
            <w:shd w:val="clear" w:color="auto" w:fill="D91E18"/>
          </w:tcPr>
          <w:p>
            <w:pPr>
              <w:jc w:val="center"/>
              <w:spacing w:after="0" w:line="21" w:lineRule="exact"/>
              <w:rPr>
                <w:sz w:val="20"/>
                <w:szCs w:val="20"/>
                <w:color w:val="auto"/>
              </w:rPr>
            </w:pPr>
            <w:r>
              <w:rPr>
                <w:rFonts w:ascii="Arial" w:cs="Arial" w:eastAsia="Arial" w:hAnsi="Arial"/>
                <w:sz w:val="2"/>
                <w:szCs w:val="2"/>
                <w:b w:val="1"/>
                <w:bCs w:val="1"/>
                <w:color w:val="FFFFFF"/>
              </w:rPr>
              <w:t>Shares of</w:t>
            </w:r>
          </w:p>
        </w:tc>
        <w:tc>
          <w:tcPr>
            <w:tcW w:w="120" w:type="dxa"/>
            <w:vAlign w:val="bottom"/>
            <w:tcBorders>
              <w:top w:val="single" w:sz="8" w:color="D91E18"/>
            </w:tcBorders>
            <w:shd w:val="clear" w:color="auto" w:fill="D91E18"/>
          </w:tcPr>
          <w:p>
            <w:pPr>
              <w:spacing w:after="0" w:line="20" w:lineRule="exact"/>
              <w:rPr>
                <w:sz w:val="1"/>
                <w:szCs w:val="1"/>
                <w:color w:val="auto"/>
              </w:rPr>
            </w:pPr>
          </w:p>
        </w:tc>
        <w:tc>
          <w:tcPr>
            <w:tcW w:w="1040" w:type="dxa"/>
            <w:vAlign w:val="bottom"/>
            <w:tcBorders>
              <w:top w:val="single" w:sz="8" w:color="D91E18"/>
              <w:right w:val="single" w:sz="8" w:color="E5E5E5"/>
            </w:tcBorders>
            <w:shd w:val="clear" w:color="auto" w:fill="D91E18"/>
          </w:tcPr>
          <w:p>
            <w:pPr>
              <w:jc w:val="center"/>
              <w:ind w:right="63"/>
              <w:spacing w:after="0" w:line="21" w:lineRule="exact"/>
              <w:rPr>
                <w:sz w:val="20"/>
                <w:szCs w:val="20"/>
                <w:color w:val="auto"/>
              </w:rPr>
            </w:pPr>
            <w:r>
              <w:rPr>
                <w:rFonts w:ascii="Arial" w:cs="Arial" w:eastAsia="Arial" w:hAnsi="Arial"/>
                <w:sz w:val="2"/>
                <w:szCs w:val="2"/>
                <w:b w:val="1"/>
                <w:bCs w:val="1"/>
                <w:color w:val="FFFFFF"/>
              </w:rPr>
              <w:t>Stock and</w:t>
            </w:r>
          </w:p>
        </w:tc>
        <w:tc>
          <w:tcPr>
            <w:tcW w:w="0" w:type="dxa"/>
            <w:vAlign w:val="bottom"/>
          </w:tcPr>
          <w:p>
            <w:pPr>
              <w:spacing w:after="0" w:line="20" w:lineRule="exact"/>
              <w:rPr>
                <w:sz w:val="1"/>
                <w:szCs w:val="1"/>
                <w:color w:val="auto"/>
              </w:rPr>
            </w:pPr>
          </w:p>
        </w:tc>
      </w:tr>
      <w:tr>
        <w:trPr>
          <w:trHeight w:val="162"/>
        </w:trPr>
        <w:tc>
          <w:tcPr>
            <w:tcW w:w="980" w:type="dxa"/>
            <w:vAlign w:val="bottom"/>
            <w:tcBorders>
              <w:left w:val="single" w:sz="8" w:color="E5E5E5"/>
              <w:right w:val="single" w:sz="8" w:color="E5E5E5"/>
            </w:tcBorders>
            <w:vMerge w:val="restart"/>
            <w:shd w:val="clear" w:color="auto" w:fill="D91E18"/>
          </w:tcPr>
          <w:p>
            <w:pPr>
              <w:ind w:left="40"/>
              <w:spacing w:after="0"/>
              <w:rPr>
                <w:sz w:val="20"/>
                <w:szCs w:val="20"/>
                <w:color w:val="auto"/>
              </w:rPr>
            </w:pPr>
            <w:r>
              <w:rPr>
                <w:rFonts w:ascii="Arial" w:cs="Arial" w:eastAsia="Arial" w:hAnsi="Arial"/>
                <w:sz w:val="16"/>
                <w:szCs w:val="16"/>
                <w:b w:val="1"/>
                <w:bCs w:val="1"/>
                <w:color w:val="FFFFFF"/>
              </w:rPr>
              <w:t>Name</w:t>
            </w:r>
          </w:p>
        </w:tc>
        <w:tc>
          <w:tcPr>
            <w:tcW w:w="740" w:type="dxa"/>
            <w:vAlign w:val="bottom"/>
            <w:tcBorders>
              <w:right w:val="single" w:sz="8" w:color="E5E5E5"/>
            </w:tcBorders>
            <w:vMerge w:val="continue"/>
            <w:shd w:val="clear" w:color="auto" w:fill="D91E18"/>
          </w:tcPr>
          <w:p>
            <w:pPr>
              <w:spacing w:after="0"/>
              <w:rPr>
                <w:sz w:val="14"/>
                <w:szCs w:val="14"/>
                <w:color w:val="auto"/>
              </w:rPr>
            </w:pPr>
          </w:p>
        </w:tc>
        <w:tc>
          <w:tcPr>
            <w:tcW w:w="960" w:type="dxa"/>
            <w:vAlign w:val="bottom"/>
            <w:tcBorders>
              <w:right w:val="single" w:sz="8" w:color="E5E5E5"/>
            </w:tcBorders>
            <w:vMerge w:val="continue"/>
            <w:shd w:val="clear" w:color="auto" w:fill="D91E18"/>
          </w:tcPr>
          <w:p>
            <w:pPr>
              <w:spacing w:after="0"/>
              <w:rPr>
                <w:sz w:val="14"/>
                <w:szCs w:val="14"/>
                <w:color w:val="auto"/>
              </w:rPr>
            </w:pPr>
          </w:p>
        </w:tc>
        <w:tc>
          <w:tcPr>
            <w:tcW w:w="100" w:type="dxa"/>
            <w:vAlign w:val="bottom"/>
            <w:shd w:val="clear" w:color="auto" w:fill="D91E18"/>
          </w:tcPr>
          <w:p>
            <w:pPr>
              <w:spacing w:after="0"/>
              <w:rPr>
                <w:sz w:val="14"/>
                <w:szCs w:val="14"/>
                <w:color w:val="auto"/>
              </w:rPr>
            </w:pPr>
          </w:p>
        </w:tc>
        <w:tc>
          <w:tcPr>
            <w:tcW w:w="980" w:type="dxa"/>
            <w:vAlign w:val="bottom"/>
            <w:tcBorders>
              <w:right w:val="single" w:sz="8" w:color="E5E5E5"/>
            </w:tcBorders>
            <w:vMerge w:val="continue"/>
            <w:shd w:val="clear" w:color="auto" w:fill="D91E18"/>
          </w:tcPr>
          <w:p>
            <w:pPr>
              <w:spacing w:after="0"/>
              <w:rPr>
                <w:sz w:val="14"/>
                <w:szCs w:val="14"/>
                <w:color w:val="auto"/>
              </w:rPr>
            </w:pPr>
          </w:p>
        </w:tc>
        <w:tc>
          <w:tcPr>
            <w:tcW w:w="1120" w:type="dxa"/>
            <w:vAlign w:val="bottom"/>
            <w:tcBorders>
              <w:right w:val="single" w:sz="8" w:color="E5E5E5"/>
            </w:tcBorders>
            <w:gridSpan w:val="2"/>
            <w:vMerge w:val="restart"/>
            <w:shd w:val="clear" w:color="auto" w:fill="D91E18"/>
          </w:tcPr>
          <w:p>
            <w:pPr>
              <w:jc w:val="right"/>
              <w:ind w:right="19"/>
              <w:spacing w:after="0"/>
              <w:rPr>
                <w:sz w:val="20"/>
                <w:szCs w:val="20"/>
                <w:color w:val="auto"/>
              </w:rPr>
            </w:pPr>
            <w:r>
              <w:rPr>
                <w:rFonts w:ascii="Arial" w:cs="Arial" w:eastAsia="Arial" w:hAnsi="Arial"/>
                <w:sz w:val="16"/>
                <w:szCs w:val="16"/>
                <w:b w:val="1"/>
                <w:bCs w:val="1"/>
                <w:color w:val="FFFFFF"/>
              </w:rPr>
              <w:t>100% Target</w:t>
            </w:r>
          </w:p>
        </w:tc>
        <w:tc>
          <w:tcPr>
            <w:tcW w:w="140" w:type="dxa"/>
            <w:vAlign w:val="bottom"/>
            <w:shd w:val="clear" w:color="auto" w:fill="D91E18"/>
          </w:tcPr>
          <w:p>
            <w:pPr>
              <w:spacing w:after="0"/>
              <w:rPr>
                <w:sz w:val="14"/>
                <w:szCs w:val="14"/>
                <w:color w:val="auto"/>
              </w:rPr>
            </w:pPr>
          </w:p>
        </w:tc>
        <w:tc>
          <w:tcPr>
            <w:tcW w:w="1020" w:type="dxa"/>
            <w:vAlign w:val="bottom"/>
            <w:tcBorders>
              <w:right w:val="single" w:sz="8" w:color="E5E5E5"/>
            </w:tcBorders>
            <w:vMerge w:val="continue"/>
            <w:shd w:val="clear" w:color="auto" w:fill="D91E18"/>
          </w:tcPr>
          <w:p>
            <w:pPr>
              <w:spacing w:after="0"/>
              <w:rPr>
                <w:sz w:val="14"/>
                <w:szCs w:val="14"/>
                <w:color w:val="auto"/>
              </w:rPr>
            </w:pPr>
          </w:p>
        </w:tc>
        <w:tc>
          <w:tcPr>
            <w:tcW w:w="1040" w:type="dxa"/>
            <w:vAlign w:val="bottom"/>
            <w:tcBorders>
              <w:right w:val="single" w:sz="8" w:color="E5E5E5"/>
            </w:tcBorders>
            <w:vMerge w:val="restart"/>
            <w:shd w:val="clear" w:color="auto" w:fill="D91E18"/>
          </w:tcPr>
          <w:p>
            <w:pPr>
              <w:jc w:val="right"/>
              <w:ind w:right="60"/>
              <w:spacing w:after="0"/>
              <w:rPr>
                <w:sz w:val="20"/>
                <w:szCs w:val="20"/>
                <w:color w:val="auto"/>
              </w:rPr>
            </w:pPr>
            <w:r>
              <w:rPr>
                <w:rFonts w:ascii="Arial" w:cs="Arial" w:eastAsia="Arial" w:hAnsi="Arial"/>
                <w:sz w:val="16"/>
                <w:szCs w:val="16"/>
                <w:b w:val="1"/>
                <w:bCs w:val="1"/>
                <w:color w:val="FFFFFF"/>
              </w:rPr>
              <w:t>Threshold</w:t>
            </w:r>
          </w:p>
        </w:tc>
        <w:tc>
          <w:tcPr>
            <w:tcW w:w="760" w:type="dxa"/>
            <w:vAlign w:val="bottom"/>
            <w:tcBorders>
              <w:right w:val="single" w:sz="8" w:color="E5E5E5"/>
            </w:tcBorders>
            <w:vMerge w:val="restart"/>
            <w:shd w:val="clear" w:color="auto" w:fill="D91E18"/>
          </w:tcPr>
          <w:p>
            <w:pPr>
              <w:jc w:val="center"/>
              <w:spacing w:after="0"/>
              <w:rPr>
                <w:sz w:val="20"/>
                <w:szCs w:val="20"/>
                <w:color w:val="auto"/>
              </w:rPr>
            </w:pPr>
            <w:r>
              <w:rPr>
                <w:rFonts w:ascii="Arial" w:cs="Arial" w:eastAsia="Arial" w:hAnsi="Arial"/>
                <w:sz w:val="16"/>
                <w:szCs w:val="16"/>
                <w:b w:val="1"/>
                <w:bCs w:val="1"/>
                <w:color w:val="FFFFFF"/>
                <w:w w:val="98"/>
              </w:rPr>
              <w:t>Target</w:t>
            </w:r>
          </w:p>
        </w:tc>
        <w:tc>
          <w:tcPr>
            <w:tcW w:w="1040" w:type="dxa"/>
            <w:vAlign w:val="bottom"/>
            <w:tcBorders>
              <w:right w:val="single" w:sz="8" w:color="E5E5E5"/>
            </w:tcBorders>
            <w:vMerge w:val="restart"/>
            <w:shd w:val="clear" w:color="auto" w:fill="D91E18"/>
          </w:tcPr>
          <w:p>
            <w:pPr>
              <w:jc w:val="right"/>
              <w:ind w:right="79"/>
              <w:spacing w:after="0"/>
              <w:rPr>
                <w:sz w:val="20"/>
                <w:szCs w:val="20"/>
                <w:color w:val="auto"/>
              </w:rPr>
            </w:pPr>
            <w:r>
              <w:rPr>
                <w:rFonts w:ascii="Arial" w:cs="Arial" w:eastAsia="Arial" w:hAnsi="Arial"/>
                <w:sz w:val="16"/>
                <w:szCs w:val="16"/>
                <w:b w:val="1"/>
                <w:bCs w:val="1"/>
                <w:color w:val="FFFFFF"/>
              </w:rPr>
              <w:t>Maximum</w:t>
            </w:r>
          </w:p>
        </w:tc>
        <w:tc>
          <w:tcPr>
            <w:tcW w:w="1220" w:type="dxa"/>
            <w:vAlign w:val="bottom"/>
            <w:tcBorders>
              <w:right w:val="single" w:sz="8" w:color="E5E5E5"/>
            </w:tcBorders>
            <w:shd w:val="clear" w:color="auto" w:fill="D91E18"/>
          </w:tcPr>
          <w:p>
            <w:pPr>
              <w:jc w:val="center"/>
              <w:spacing w:after="0" w:line="162" w:lineRule="exact"/>
              <w:rPr>
                <w:sz w:val="20"/>
                <w:szCs w:val="20"/>
                <w:color w:val="auto"/>
              </w:rPr>
            </w:pPr>
            <w:r>
              <w:rPr>
                <w:rFonts w:ascii="Arial" w:cs="Arial" w:eastAsia="Arial" w:hAnsi="Arial"/>
                <w:sz w:val="16"/>
                <w:szCs w:val="16"/>
                <w:b w:val="1"/>
                <w:bCs w:val="1"/>
                <w:color w:val="FFFFFF"/>
              </w:rPr>
              <w:t>Stock or</w:t>
            </w:r>
          </w:p>
        </w:tc>
        <w:tc>
          <w:tcPr>
            <w:tcW w:w="120" w:type="dxa"/>
            <w:vAlign w:val="bottom"/>
            <w:shd w:val="clear" w:color="auto" w:fill="D91E18"/>
          </w:tcPr>
          <w:p>
            <w:pPr>
              <w:spacing w:after="0"/>
              <w:rPr>
                <w:sz w:val="14"/>
                <w:szCs w:val="14"/>
                <w:color w:val="auto"/>
              </w:rPr>
            </w:pPr>
          </w:p>
        </w:tc>
        <w:tc>
          <w:tcPr>
            <w:tcW w:w="1040" w:type="dxa"/>
            <w:vAlign w:val="bottom"/>
            <w:tcBorders>
              <w:right w:val="single" w:sz="8" w:color="E5E5E5"/>
            </w:tcBorders>
            <w:shd w:val="clear" w:color="auto" w:fill="D91E18"/>
          </w:tcPr>
          <w:p>
            <w:pPr>
              <w:jc w:val="center"/>
              <w:ind w:right="83"/>
              <w:spacing w:after="0" w:line="162" w:lineRule="exact"/>
              <w:rPr>
                <w:sz w:val="20"/>
                <w:szCs w:val="20"/>
                <w:color w:val="auto"/>
              </w:rPr>
            </w:pPr>
            <w:r>
              <w:rPr>
                <w:rFonts w:ascii="Arial" w:cs="Arial" w:eastAsia="Arial" w:hAnsi="Arial"/>
                <w:sz w:val="16"/>
                <w:szCs w:val="16"/>
                <w:b w:val="1"/>
                <w:bCs w:val="1"/>
                <w:color w:val="FFFFFF"/>
              </w:rPr>
              <w:t>Option</w:t>
            </w:r>
          </w:p>
        </w:tc>
        <w:tc>
          <w:tcPr>
            <w:tcW w:w="0" w:type="dxa"/>
            <w:vAlign w:val="bottom"/>
          </w:tcPr>
          <w:p>
            <w:pPr>
              <w:spacing w:after="0"/>
              <w:rPr>
                <w:sz w:val="1"/>
                <w:szCs w:val="1"/>
                <w:color w:val="auto"/>
              </w:rPr>
            </w:pPr>
          </w:p>
        </w:tc>
      </w:tr>
      <w:tr>
        <w:trPr>
          <w:trHeight w:val="223"/>
        </w:trPr>
        <w:tc>
          <w:tcPr>
            <w:tcW w:w="980" w:type="dxa"/>
            <w:vAlign w:val="bottom"/>
            <w:tcBorders>
              <w:left w:val="single" w:sz="8" w:color="E5E5E5"/>
              <w:right w:val="single" w:sz="8" w:color="E5E5E5"/>
            </w:tcBorders>
            <w:vMerge w:val="continue"/>
            <w:shd w:val="clear" w:color="auto" w:fill="D91E18"/>
          </w:tcPr>
          <w:p>
            <w:pPr>
              <w:spacing w:after="0"/>
              <w:rPr>
                <w:sz w:val="19"/>
                <w:szCs w:val="19"/>
                <w:color w:val="auto"/>
              </w:rPr>
            </w:pPr>
          </w:p>
        </w:tc>
        <w:tc>
          <w:tcPr>
            <w:tcW w:w="740" w:type="dxa"/>
            <w:vAlign w:val="bottom"/>
            <w:tcBorders>
              <w:right w:val="single" w:sz="8" w:color="E5E5E5"/>
            </w:tcBorders>
            <w:shd w:val="clear" w:color="auto" w:fill="D91E18"/>
          </w:tcPr>
          <w:p>
            <w:pPr>
              <w:jc w:val="right"/>
              <w:ind w:right="119"/>
              <w:spacing w:after="0"/>
              <w:rPr>
                <w:sz w:val="20"/>
                <w:szCs w:val="20"/>
                <w:color w:val="auto"/>
              </w:rPr>
            </w:pPr>
            <w:r>
              <w:rPr>
                <w:rFonts w:ascii="Arial" w:cs="Arial" w:eastAsia="Arial" w:hAnsi="Arial"/>
                <w:sz w:val="16"/>
                <w:szCs w:val="16"/>
                <w:b w:val="1"/>
                <w:bCs w:val="1"/>
                <w:color w:val="FFFFFF"/>
              </w:rPr>
              <w:t>Date</w:t>
            </w:r>
          </w:p>
        </w:tc>
        <w:tc>
          <w:tcPr>
            <w:tcW w:w="960" w:type="dxa"/>
            <w:vAlign w:val="bottom"/>
            <w:tcBorders>
              <w:right w:val="single" w:sz="8" w:color="E5E5E5"/>
            </w:tcBorders>
            <w:shd w:val="clear" w:color="auto" w:fill="D91E18"/>
          </w:tcPr>
          <w:p>
            <w:pPr>
              <w:jc w:val="right"/>
              <w:ind w:right="239"/>
              <w:spacing w:after="0"/>
              <w:rPr>
                <w:sz w:val="20"/>
                <w:szCs w:val="20"/>
                <w:color w:val="auto"/>
              </w:rPr>
            </w:pPr>
            <w:r>
              <w:rPr>
                <w:rFonts w:ascii="Arial" w:cs="Arial" w:eastAsia="Arial" w:hAnsi="Arial"/>
                <w:sz w:val="16"/>
                <w:szCs w:val="16"/>
                <w:b w:val="1"/>
                <w:bCs w:val="1"/>
                <w:color w:val="FFFFFF"/>
              </w:rPr>
              <w:t>Date</w:t>
            </w:r>
          </w:p>
        </w:tc>
        <w:tc>
          <w:tcPr>
            <w:tcW w:w="100" w:type="dxa"/>
            <w:vAlign w:val="bottom"/>
            <w:shd w:val="clear" w:color="auto" w:fill="D91E18"/>
          </w:tcPr>
          <w:p>
            <w:pPr>
              <w:spacing w:after="0"/>
              <w:rPr>
                <w:sz w:val="19"/>
                <w:szCs w:val="19"/>
                <w:color w:val="auto"/>
              </w:rPr>
            </w:pPr>
          </w:p>
        </w:tc>
        <w:tc>
          <w:tcPr>
            <w:tcW w:w="980" w:type="dxa"/>
            <w:vAlign w:val="bottom"/>
            <w:tcBorders>
              <w:right w:val="single" w:sz="8" w:color="E5E5E5"/>
            </w:tcBorders>
            <w:shd w:val="clear" w:color="auto" w:fill="D91E18"/>
          </w:tcPr>
          <w:p>
            <w:pPr>
              <w:jc w:val="right"/>
              <w:ind w:right="80"/>
              <w:spacing w:after="0"/>
              <w:rPr>
                <w:sz w:val="20"/>
                <w:szCs w:val="20"/>
                <w:color w:val="auto"/>
              </w:rPr>
            </w:pPr>
            <w:r>
              <w:rPr>
                <w:rFonts w:ascii="Arial" w:cs="Arial" w:eastAsia="Arial" w:hAnsi="Arial"/>
                <w:sz w:val="16"/>
                <w:szCs w:val="16"/>
                <w:b w:val="1"/>
                <w:bCs w:val="1"/>
                <w:color w:val="FFFFFF"/>
              </w:rPr>
              <w:t>Threshold</w:t>
            </w:r>
          </w:p>
        </w:tc>
        <w:tc>
          <w:tcPr>
            <w:tcW w:w="1120" w:type="dxa"/>
            <w:vAlign w:val="bottom"/>
            <w:tcBorders>
              <w:right w:val="single" w:sz="8" w:color="E5E5E5"/>
            </w:tcBorders>
            <w:gridSpan w:val="2"/>
            <w:vMerge w:val="continue"/>
            <w:shd w:val="clear" w:color="auto" w:fill="D91E18"/>
          </w:tcPr>
          <w:p>
            <w:pPr>
              <w:spacing w:after="0"/>
              <w:rPr>
                <w:sz w:val="19"/>
                <w:szCs w:val="19"/>
                <w:color w:val="auto"/>
              </w:rPr>
            </w:pPr>
          </w:p>
        </w:tc>
        <w:tc>
          <w:tcPr>
            <w:tcW w:w="140" w:type="dxa"/>
            <w:vAlign w:val="bottom"/>
            <w:shd w:val="clear" w:color="auto" w:fill="D91E18"/>
          </w:tcPr>
          <w:p>
            <w:pPr>
              <w:spacing w:after="0"/>
              <w:rPr>
                <w:sz w:val="19"/>
                <w:szCs w:val="19"/>
                <w:color w:val="auto"/>
              </w:rPr>
            </w:pPr>
          </w:p>
        </w:tc>
        <w:tc>
          <w:tcPr>
            <w:tcW w:w="1020" w:type="dxa"/>
            <w:vAlign w:val="bottom"/>
            <w:tcBorders>
              <w:right w:val="single" w:sz="8" w:color="E5E5E5"/>
            </w:tcBorders>
            <w:shd w:val="clear" w:color="auto" w:fill="D91E18"/>
          </w:tcPr>
          <w:p>
            <w:pPr>
              <w:jc w:val="right"/>
              <w:ind w:right="139"/>
              <w:spacing w:after="0"/>
              <w:rPr>
                <w:sz w:val="20"/>
                <w:szCs w:val="20"/>
                <w:color w:val="auto"/>
              </w:rPr>
            </w:pPr>
            <w:r>
              <w:rPr>
                <w:rFonts w:ascii="Arial" w:cs="Arial" w:eastAsia="Arial" w:hAnsi="Arial"/>
                <w:sz w:val="16"/>
                <w:szCs w:val="16"/>
                <w:b w:val="1"/>
                <w:bCs w:val="1"/>
                <w:color w:val="FFFFFF"/>
              </w:rPr>
              <w:t>Maximum</w:t>
            </w:r>
          </w:p>
        </w:tc>
        <w:tc>
          <w:tcPr>
            <w:tcW w:w="1040" w:type="dxa"/>
            <w:vAlign w:val="bottom"/>
            <w:tcBorders>
              <w:right w:val="single" w:sz="8" w:color="E5E5E5"/>
            </w:tcBorders>
            <w:vMerge w:val="continue"/>
            <w:shd w:val="clear" w:color="auto" w:fill="D91E18"/>
          </w:tcPr>
          <w:p>
            <w:pPr>
              <w:spacing w:after="0"/>
              <w:rPr>
                <w:sz w:val="19"/>
                <w:szCs w:val="19"/>
                <w:color w:val="auto"/>
              </w:rPr>
            </w:pPr>
          </w:p>
        </w:tc>
        <w:tc>
          <w:tcPr>
            <w:tcW w:w="760" w:type="dxa"/>
            <w:vAlign w:val="bottom"/>
            <w:tcBorders>
              <w:right w:val="single" w:sz="8" w:color="E5E5E5"/>
            </w:tcBorders>
            <w:vMerge w:val="continue"/>
            <w:shd w:val="clear" w:color="auto" w:fill="D91E18"/>
          </w:tcPr>
          <w:p>
            <w:pPr>
              <w:spacing w:after="0"/>
              <w:rPr>
                <w:sz w:val="19"/>
                <w:szCs w:val="19"/>
                <w:color w:val="auto"/>
              </w:rPr>
            </w:pPr>
          </w:p>
        </w:tc>
        <w:tc>
          <w:tcPr>
            <w:tcW w:w="1040" w:type="dxa"/>
            <w:vAlign w:val="bottom"/>
            <w:tcBorders>
              <w:right w:val="single" w:sz="8" w:color="E5E5E5"/>
            </w:tcBorders>
            <w:vMerge w:val="continue"/>
            <w:shd w:val="clear" w:color="auto" w:fill="D91E18"/>
          </w:tcPr>
          <w:p>
            <w:pPr>
              <w:spacing w:after="0"/>
              <w:rPr>
                <w:sz w:val="19"/>
                <w:szCs w:val="19"/>
                <w:color w:val="auto"/>
              </w:rPr>
            </w:pPr>
          </w:p>
        </w:tc>
        <w:tc>
          <w:tcPr>
            <w:tcW w:w="1220" w:type="dxa"/>
            <w:vAlign w:val="bottom"/>
            <w:tcBorders>
              <w:right w:val="single" w:sz="8" w:color="E5E5E5"/>
            </w:tcBorders>
            <w:shd w:val="clear" w:color="auto" w:fill="D91E18"/>
          </w:tcPr>
          <w:p>
            <w:pPr>
              <w:jc w:val="center"/>
              <w:spacing w:after="0" w:line="216" w:lineRule="exact"/>
              <w:rPr>
                <w:sz w:val="20"/>
                <w:szCs w:val="20"/>
                <w:color w:val="auto"/>
              </w:rPr>
            </w:pPr>
            <w:r>
              <w:rPr>
                <w:rFonts w:ascii="Arial" w:cs="Arial" w:eastAsia="Arial" w:hAnsi="Arial"/>
                <w:sz w:val="16"/>
                <w:szCs w:val="16"/>
                <w:b w:val="1"/>
                <w:bCs w:val="1"/>
                <w:color w:val="FFFFFF"/>
                <w:w w:val="94"/>
              </w:rPr>
              <w:t>Units</w:t>
            </w:r>
            <w:r>
              <w:rPr>
                <w:rFonts w:ascii="Arial" w:cs="Arial" w:eastAsia="Arial" w:hAnsi="Arial"/>
                <w:sz w:val="21"/>
                <w:szCs w:val="21"/>
                <w:b w:val="1"/>
                <w:bCs w:val="1"/>
                <w:color w:val="FFFFFF"/>
                <w:w w:val="94"/>
                <w:vertAlign w:val="superscript"/>
              </w:rPr>
              <w:t>(3)</w:t>
            </w:r>
          </w:p>
        </w:tc>
        <w:tc>
          <w:tcPr>
            <w:tcW w:w="120" w:type="dxa"/>
            <w:vAlign w:val="bottom"/>
            <w:shd w:val="clear" w:color="auto" w:fill="D91E18"/>
          </w:tcPr>
          <w:p>
            <w:pPr>
              <w:spacing w:after="0"/>
              <w:rPr>
                <w:sz w:val="19"/>
                <w:szCs w:val="19"/>
                <w:color w:val="auto"/>
              </w:rPr>
            </w:pPr>
          </w:p>
        </w:tc>
        <w:tc>
          <w:tcPr>
            <w:tcW w:w="1040" w:type="dxa"/>
            <w:vAlign w:val="bottom"/>
            <w:tcBorders>
              <w:right w:val="single" w:sz="8" w:color="E5E5E5"/>
            </w:tcBorders>
            <w:shd w:val="clear" w:color="auto" w:fill="D91E18"/>
          </w:tcPr>
          <w:p>
            <w:pPr>
              <w:jc w:val="center"/>
              <w:ind w:right="63"/>
              <w:spacing w:after="0"/>
              <w:rPr>
                <w:sz w:val="20"/>
                <w:szCs w:val="20"/>
                <w:color w:val="auto"/>
              </w:rPr>
            </w:pPr>
            <w:r>
              <w:rPr>
                <w:rFonts w:ascii="Arial" w:cs="Arial" w:eastAsia="Arial" w:hAnsi="Arial"/>
                <w:sz w:val="16"/>
                <w:szCs w:val="16"/>
                <w:b w:val="1"/>
                <w:bCs w:val="1"/>
                <w:color w:val="FFFFFF"/>
              </w:rPr>
              <w:t>Awards</w:t>
            </w:r>
          </w:p>
        </w:tc>
        <w:tc>
          <w:tcPr>
            <w:tcW w:w="0" w:type="dxa"/>
            <w:vAlign w:val="bottom"/>
          </w:tcPr>
          <w:p>
            <w:pPr>
              <w:spacing w:after="0"/>
              <w:rPr>
                <w:sz w:val="1"/>
                <w:szCs w:val="1"/>
                <w:color w:val="auto"/>
              </w:rPr>
            </w:pPr>
          </w:p>
        </w:tc>
      </w:tr>
      <w:tr>
        <w:trPr>
          <w:trHeight w:val="196"/>
        </w:trPr>
        <w:tc>
          <w:tcPr>
            <w:tcW w:w="980" w:type="dxa"/>
            <w:vAlign w:val="bottom"/>
            <w:tcBorders>
              <w:left w:val="single" w:sz="8" w:color="E5E5E5"/>
              <w:right w:val="single" w:sz="8" w:color="E5E5E5"/>
            </w:tcBorders>
            <w:shd w:val="clear" w:color="auto" w:fill="DBDBDB"/>
          </w:tcPr>
          <w:p>
            <w:pPr>
              <w:ind w:left="40"/>
              <w:spacing w:after="0"/>
              <w:rPr>
                <w:sz w:val="20"/>
                <w:szCs w:val="20"/>
                <w:color w:val="auto"/>
              </w:rPr>
            </w:pPr>
            <w:r>
              <w:rPr>
                <w:rFonts w:ascii="Arial" w:cs="Arial" w:eastAsia="Arial" w:hAnsi="Arial"/>
                <w:sz w:val="16"/>
                <w:szCs w:val="16"/>
                <w:color w:val="auto"/>
              </w:rPr>
              <w:t>David W.</w:t>
            </w:r>
          </w:p>
        </w:tc>
        <w:tc>
          <w:tcPr>
            <w:tcW w:w="740" w:type="dxa"/>
            <w:vAlign w:val="bottom"/>
            <w:tcBorders>
              <w:right w:val="single" w:sz="8" w:color="E5E5E5"/>
            </w:tcBorders>
            <w:shd w:val="clear" w:color="auto" w:fill="DBDBDB"/>
          </w:tcPr>
          <w:p>
            <w:pPr>
              <w:jc w:val="right"/>
              <w:spacing w:after="0"/>
              <w:rPr>
                <w:sz w:val="20"/>
                <w:szCs w:val="20"/>
                <w:color w:val="auto"/>
              </w:rPr>
            </w:pPr>
            <w:r>
              <w:rPr>
                <w:rFonts w:ascii="Arial" w:cs="Arial" w:eastAsia="Arial" w:hAnsi="Arial"/>
                <w:sz w:val="16"/>
                <w:szCs w:val="16"/>
                <w:color w:val="auto"/>
              </w:rPr>
              <w:t>2/12/24</w:t>
            </w:r>
          </w:p>
        </w:tc>
        <w:tc>
          <w:tcPr>
            <w:tcW w:w="960" w:type="dxa"/>
            <w:vAlign w:val="bottom"/>
            <w:tcBorders>
              <w:right w:val="single" w:sz="8" w:color="E5E5E5"/>
            </w:tcBorders>
            <w:shd w:val="clear" w:color="auto" w:fill="DBDBDB"/>
          </w:tcPr>
          <w:p>
            <w:pPr>
              <w:jc w:val="right"/>
              <w:spacing w:after="0"/>
              <w:rPr>
                <w:sz w:val="20"/>
                <w:szCs w:val="20"/>
                <w:color w:val="auto"/>
              </w:rPr>
            </w:pPr>
            <w:r>
              <w:rPr>
                <w:rFonts w:ascii="Arial" w:cs="Arial" w:eastAsia="Arial" w:hAnsi="Arial"/>
                <w:sz w:val="16"/>
                <w:szCs w:val="16"/>
                <w:color w:val="auto"/>
              </w:rPr>
              <w:t>2/12/24</w:t>
            </w:r>
          </w:p>
        </w:tc>
        <w:tc>
          <w:tcPr>
            <w:tcW w:w="10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right w:val="single" w:sz="8" w:color="E5E5E5"/>
            </w:tcBorders>
            <w:shd w:val="clear" w:color="auto" w:fill="DBDBDB"/>
          </w:tcPr>
          <w:p>
            <w:pPr>
              <w:jc w:val="right"/>
              <w:ind w:right="20"/>
              <w:spacing w:after="0"/>
              <w:rPr>
                <w:sz w:val="20"/>
                <w:szCs w:val="20"/>
                <w:color w:val="auto"/>
              </w:rPr>
            </w:pPr>
            <w:r>
              <w:rPr>
                <w:rFonts w:ascii="Arial" w:cs="Arial" w:eastAsia="Arial" w:hAnsi="Arial"/>
                <w:sz w:val="16"/>
                <w:szCs w:val="16"/>
                <w:color w:val="auto"/>
              </w:rPr>
              <w:t>877,500</w:t>
            </w:r>
          </w:p>
        </w:tc>
        <w:tc>
          <w:tcPr>
            <w:tcW w:w="20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right w:val="single" w:sz="8" w:color="E5E5E5"/>
            </w:tcBorders>
            <w:shd w:val="clear" w:color="auto" w:fill="DBDBDB"/>
          </w:tcPr>
          <w:p>
            <w:pPr>
              <w:jc w:val="right"/>
              <w:ind w:right="19"/>
              <w:spacing w:after="0"/>
              <w:rPr>
                <w:sz w:val="20"/>
                <w:szCs w:val="20"/>
                <w:color w:val="auto"/>
              </w:rPr>
            </w:pPr>
            <w:r>
              <w:rPr>
                <w:rFonts w:ascii="Arial" w:cs="Arial" w:eastAsia="Arial" w:hAnsi="Arial"/>
                <w:sz w:val="16"/>
                <w:szCs w:val="16"/>
                <w:color w:val="auto"/>
              </w:rPr>
              <w:t>1,755,000</w:t>
            </w: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right w:val="single" w:sz="8" w:color="E5E5E5"/>
            </w:tcBorders>
            <w:shd w:val="clear" w:color="auto" w:fill="DBDBDB"/>
          </w:tcPr>
          <w:p>
            <w:pPr>
              <w:jc w:val="right"/>
              <w:ind w:right="19"/>
              <w:spacing w:after="0"/>
              <w:rPr>
                <w:sz w:val="20"/>
                <w:szCs w:val="20"/>
                <w:color w:val="auto"/>
              </w:rPr>
            </w:pPr>
            <w:r>
              <w:rPr>
                <w:rFonts w:ascii="Arial" w:cs="Arial" w:eastAsia="Arial" w:hAnsi="Arial"/>
                <w:sz w:val="16"/>
                <w:szCs w:val="16"/>
                <w:color w:val="auto"/>
              </w:rPr>
              <w:t>3,510,000</w:t>
            </w:r>
          </w:p>
        </w:tc>
        <w:tc>
          <w:tcPr>
            <w:tcW w:w="1040" w:type="dxa"/>
            <w:vAlign w:val="bottom"/>
            <w:tcBorders>
              <w:right w:val="single" w:sz="8" w:color="E5E5E5"/>
            </w:tcBorders>
            <w:shd w:val="clear" w:color="auto" w:fill="DBDBDB"/>
          </w:tcPr>
          <w:p>
            <w:pPr>
              <w:spacing w:after="0"/>
              <w:rPr>
                <w:sz w:val="17"/>
                <w:szCs w:val="17"/>
                <w:color w:val="auto"/>
              </w:rPr>
            </w:pPr>
          </w:p>
        </w:tc>
        <w:tc>
          <w:tcPr>
            <w:tcW w:w="760" w:type="dxa"/>
            <w:vAlign w:val="bottom"/>
            <w:tcBorders>
              <w:right w:val="single" w:sz="8" w:color="E5E5E5"/>
            </w:tcBorders>
            <w:shd w:val="clear" w:color="auto" w:fill="DBDBDB"/>
          </w:tcPr>
          <w:p>
            <w:pPr>
              <w:spacing w:after="0"/>
              <w:rPr>
                <w:sz w:val="17"/>
                <w:szCs w:val="17"/>
                <w:color w:val="auto"/>
              </w:rPr>
            </w:pPr>
          </w:p>
        </w:tc>
        <w:tc>
          <w:tcPr>
            <w:tcW w:w="1040" w:type="dxa"/>
            <w:vAlign w:val="bottom"/>
            <w:tcBorders>
              <w:right w:val="single" w:sz="8" w:color="E5E5E5"/>
            </w:tcBorders>
            <w:shd w:val="clear" w:color="auto" w:fill="DBDBDB"/>
          </w:tcPr>
          <w:p>
            <w:pPr>
              <w:spacing w:after="0"/>
              <w:rPr>
                <w:sz w:val="17"/>
                <w:szCs w:val="17"/>
                <w:color w:val="auto"/>
              </w:rPr>
            </w:pPr>
          </w:p>
        </w:tc>
        <w:tc>
          <w:tcPr>
            <w:tcW w:w="1220" w:type="dxa"/>
            <w:vAlign w:val="bottom"/>
            <w:tcBorders>
              <w:right w:val="single" w:sz="8" w:color="E5E5E5"/>
            </w:tcBorders>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040" w:type="dxa"/>
            <w:vAlign w:val="bottom"/>
            <w:tcBorders>
              <w:right w:val="single" w:sz="8" w:color="E5E5E5"/>
            </w:tcBorders>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980" w:type="dxa"/>
            <w:vAlign w:val="bottom"/>
            <w:tcBorders>
              <w:left w:val="single" w:sz="8" w:color="E5E5E5"/>
              <w:right w:val="single" w:sz="8" w:color="E5E5E5"/>
            </w:tcBorders>
            <w:vMerge w:val="restart"/>
            <w:shd w:val="clear" w:color="auto" w:fill="DBDBDB"/>
          </w:tcPr>
          <w:p>
            <w:pPr>
              <w:ind w:left="40"/>
              <w:spacing w:after="0"/>
              <w:rPr>
                <w:sz w:val="20"/>
                <w:szCs w:val="20"/>
                <w:color w:val="auto"/>
              </w:rPr>
            </w:pPr>
            <w:r>
              <w:rPr>
                <w:rFonts w:ascii="Arial" w:cs="Arial" w:eastAsia="Arial" w:hAnsi="Arial"/>
                <w:sz w:val="16"/>
                <w:szCs w:val="16"/>
                <w:color w:val="auto"/>
              </w:rPr>
              <w:t>Hult</w:t>
            </w:r>
          </w:p>
        </w:tc>
        <w:tc>
          <w:tcPr>
            <w:tcW w:w="740" w:type="dxa"/>
            <w:vAlign w:val="bottom"/>
            <w:tcBorders>
              <w:right w:val="single" w:sz="8" w:color="E5E5E5"/>
            </w:tcBorders>
            <w:shd w:val="clear" w:color="auto" w:fill="DBDBDB"/>
          </w:tcPr>
          <w:p>
            <w:pPr>
              <w:spacing w:after="0"/>
              <w:rPr>
                <w:sz w:val="5"/>
                <w:szCs w:val="5"/>
                <w:color w:val="auto"/>
              </w:rPr>
            </w:pPr>
          </w:p>
        </w:tc>
        <w:tc>
          <w:tcPr>
            <w:tcW w:w="960" w:type="dxa"/>
            <w:vAlign w:val="bottom"/>
            <w:tcBorders>
              <w:right w:val="single" w:sz="8" w:color="E5E5E5"/>
            </w:tcBorders>
            <w:shd w:val="clear" w:color="auto" w:fill="DBDBDB"/>
          </w:tcPr>
          <w:p>
            <w:pPr>
              <w:spacing w:after="0"/>
              <w:rPr>
                <w:sz w:val="5"/>
                <w:szCs w:val="5"/>
                <w:color w:val="auto"/>
              </w:rPr>
            </w:pPr>
          </w:p>
        </w:tc>
        <w:tc>
          <w:tcPr>
            <w:tcW w:w="100" w:type="dxa"/>
            <w:vAlign w:val="bottom"/>
            <w:shd w:val="clear" w:color="auto" w:fill="DBDBDB"/>
          </w:tcPr>
          <w:p>
            <w:pPr>
              <w:spacing w:after="0"/>
              <w:rPr>
                <w:sz w:val="5"/>
                <w:szCs w:val="5"/>
                <w:color w:val="auto"/>
              </w:rPr>
            </w:pPr>
          </w:p>
        </w:tc>
        <w:tc>
          <w:tcPr>
            <w:tcW w:w="980" w:type="dxa"/>
            <w:vAlign w:val="bottom"/>
            <w:tcBorders>
              <w:right w:val="single" w:sz="8" w:color="E5E5E5"/>
            </w:tcBorders>
            <w:shd w:val="clear" w:color="auto" w:fill="DBDBDB"/>
          </w:tcPr>
          <w:p>
            <w:pPr>
              <w:spacing w:after="0"/>
              <w:rPr>
                <w:sz w:val="5"/>
                <w:szCs w:val="5"/>
                <w:color w:val="auto"/>
              </w:rPr>
            </w:pPr>
          </w:p>
        </w:tc>
        <w:tc>
          <w:tcPr>
            <w:tcW w:w="200" w:type="dxa"/>
            <w:vAlign w:val="bottom"/>
            <w:shd w:val="clear" w:color="auto" w:fill="DBDBDB"/>
          </w:tcPr>
          <w:p>
            <w:pPr>
              <w:spacing w:after="0"/>
              <w:rPr>
                <w:sz w:val="5"/>
                <w:szCs w:val="5"/>
                <w:color w:val="auto"/>
              </w:rPr>
            </w:pPr>
          </w:p>
        </w:tc>
        <w:tc>
          <w:tcPr>
            <w:tcW w:w="920" w:type="dxa"/>
            <w:vAlign w:val="bottom"/>
            <w:tcBorders>
              <w:right w:val="single" w:sz="8" w:color="E5E5E5"/>
            </w:tcBorders>
            <w:shd w:val="clear" w:color="auto" w:fill="DBDBDB"/>
          </w:tcPr>
          <w:p>
            <w:pPr>
              <w:spacing w:after="0"/>
              <w:rPr>
                <w:sz w:val="5"/>
                <w:szCs w:val="5"/>
                <w:color w:val="auto"/>
              </w:rPr>
            </w:pPr>
          </w:p>
        </w:tc>
        <w:tc>
          <w:tcPr>
            <w:tcW w:w="140" w:type="dxa"/>
            <w:vAlign w:val="bottom"/>
            <w:shd w:val="clear" w:color="auto" w:fill="DBDBDB"/>
          </w:tcPr>
          <w:p>
            <w:pPr>
              <w:spacing w:after="0"/>
              <w:rPr>
                <w:sz w:val="5"/>
                <w:szCs w:val="5"/>
                <w:color w:val="auto"/>
              </w:rPr>
            </w:pPr>
          </w:p>
        </w:tc>
        <w:tc>
          <w:tcPr>
            <w:tcW w:w="1020" w:type="dxa"/>
            <w:vAlign w:val="bottom"/>
            <w:tcBorders>
              <w:right w:val="single" w:sz="8" w:color="E5E5E5"/>
            </w:tcBorders>
            <w:shd w:val="clear" w:color="auto" w:fill="DBDBDB"/>
          </w:tcPr>
          <w:p>
            <w:pPr>
              <w:spacing w:after="0"/>
              <w:rPr>
                <w:sz w:val="5"/>
                <w:szCs w:val="5"/>
                <w:color w:val="auto"/>
              </w:rPr>
            </w:pPr>
          </w:p>
        </w:tc>
        <w:tc>
          <w:tcPr>
            <w:tcW w:w="1040" w:type="dxa"/>
            <w:vAlign w:val="bottom"/>
            <w:tcBorders>
              <w:right w:val="single" w:sz="8" w:color="E5E5E5"/>
            </w:tcBorders>
            <w:shd w:val="clear" w:color="auto" w:fill="DBDBDB"/>
          </w:tcPr>
          <w:p>
            <w:pPr>
              <w:spacing w:after="0"/>
              <w:rPr>
                <w:sz w:val="5"/>
                <w:szCs w:val="5"/>
                <w:color w:val="auto"/>
              </w:rPr>
            </w:pPr>
          </w:p>
        </w:tc>
        <w:tc>
          <w:tcPr>
            <w:tcW w:w="760" w:type="dxa"/>
            <w:vAlign w:val="bottom"/>
            <w:tcBorders>
              <w:right w:val="single" w:sz="8" w:color="E5E5E5"/>
            </w:tcBorders>
            <w:shd w:val="clear" w:color="auto" w:fill="DBDBDB"/>
          </w:tcPr>
          <w:p>
            <w:pPr>
              <w:spacing w:after="0"/>
              <w:rPr>
                <w:sz w:val="5"/>
                <w:szCs w:val="5"/>
                <w:color w:val="auto"/>
              </w:rPr>
            </w:pPr>
          </w:p>
        </w:tc>
        <w:tc>
          <w:tcPr>
            <w:tcW w:w="1040" w:type="dxa"/>
            <w:vAlign w:val="bottom"/>
            <w:tcBorders>
              <w:right w:val="single" w:sz="8" w:color="E5E5E5"/>
            </w:tcBorders>
            <w:shd w:val="clear" w:color="auto" w:fill="DBDBDB"/>
          </w:tcPr>
          <w:p>
            <w:pPr>
              <w:spacing w:after="0"/>
              <w:rPr>
                <w:sz w:val="5"/>
                <w:szCs w:val="5"/>
                <w:color w:val="auto"/>
              </w:rPr>
            </w:pPr>
          </w:p>
        </w:tc>
        <w:tc>
          <w:tcPr>
            <w:tcW w:w="1220" w:type="dxa"/>
            <w:vAlign w:val="bottom"/>
            <w:tcBorders>
              <w:right w:val="single" w:sz="8" w:color="E5E5E5"/>
            </w:tcBorders>
            <w:shd w:val="clear" w:color="auto" w:fill="DBDBDB"/>
          </w:tcPr>
          <w:p>
            <w:pPr>
              <w:spacing w:after="0"/>
              <w:rPr>
                <w:sz w:val="5"/>
                <w:szCs w:val="5"/>
                <w:color w:val="auto"/>
              </w:rPr>
            </w:pPr>
          </w:p>
        </w:tc>
        <w:tc>
          <w:tcPr>
            <w:tcW w:w="120" w:type="dxa"/>
            <w:vAlign w:val="bottom"/>
            <w:shd w:val="clear" w:color="auto" w:fill="DBDBDB"/>
          </w:tcPr>
          <w:p>
            <w:pPr>
              <w:spacing w:after="0"/>
              <w:rPr>
                <w:sz w:val="5"/>
                <w:szCs w:val="5"/>
                <w:color w:val="auto"/>
              </w:rPr>
            </w:pPr>
          </w:p>
        </w:tc>
        <w:tc>
          <w:tcPr>
            <w:tcW w:w="1040" w:type="dxa"/>
            <w:vAlign w:val="bottom"/>
            <w:tcBorders>
              <w:right w:val="single" w:sz="8" w:color="E5E5E5"/>
            </w:tcBorders>
            <w:shd w:val="clear" w:color="auto" w:fill="DBDBDB"/>
          </w:tcPr>
          <w:p>
            <w:pPr>
              <w:spacing w:after="0"/>
              <w:rPr>
                <w:sz w:val="5"/>
                <w:szCs w:val="5"/>
                <w:color w:val="auto"/>
              </w:rPr>
            </w:pPr>
          </w:p>
        </w:tc>
        <w:tc>
          <w:tcPr>
            <w:tcW w:w="0" w:type="dxa"/>
            <w:vAlign w:val="bottom"/>
          </w:tcPr>
          <w:p>
            <w:pPr>
              <w:spacing w:after="0"/>
              <w:rPr>
                <w:sz w:val="1"/>
                <w:szCs w:val="1"/>
                <w:color w:val="auto"/>
              </w:rPr>
            </w:pPr>
          </w:p>
        </w:tc>
      </w:tr>
      <w:tr>
        <w:trPr>
          <w:trHeight w:val="154"/>
        </w:trPr>
        <w:tc>
          <w:tcPr>
            <w:tcW w:w="980" w:type="dxa"/>
            <w:vAlign w:val="bottom"/>
            <w:tcBorders>
              <w:left w:val="single" w:sz="8" w:color="E5E5E5"/>
              <w:right w:val="single" w:sz="8" w:color="E5E5E5"/>
            </w:tcBorders>
            <w:vMerge w:val="continue"/>
            <w:shd w:val="clear" w:color="auto" w:fill="DBDBDB"/>
          </w:tcPr>
          <w:p>
            <w:pPr>
              <w:spacing w:after="0"/>
              <w:rPr>
                <w:sz w:val="13"/>
                <w:szCs w:val="13"/>
                <w:color w:val="auto"/>
              </w:rPr>
            </w:pPr>
          </w:p>
        </w:tc>
        <w:tc>
          <w:tcPr>
            <w:tcW w:w="740" w:type="dxa"/>
            <w:vAlign w:val="bottom"/>
            <w:tcBorders>
              <w:right w:val="single" w:sz="8" w:color="E5E5E5"/>
            </w:tcBorders>
            <w:vMerge w:val="restart"/>
            <w:shd w:val="clear" w:color="auto" w:fill="DBDBDB"/>
          </w:tcPr>
          <w:p>
            <w:pPr>
              <w:jc w:val="right"/>
              <w:spacing w:after="0"/>
              <w:rPr>
                <w:sz w:val="20"/>
                <w:szCs w:val="20"/>
                <w:color w:val="auto"/>
              </w:rPr>
            </w:pPr>
            <w:r>
              <w:rPr>
                <w:rFonts w:ascii="Arial" w:cs="Arial" w:eastAsia="Arial" w:hAnsi="Arial"/>
                <w:sz w:val="16"/>
                <w:szCs w:val="16"/>
                <w:color w:val="auto"/>
              </w:rPr>
              <w:t>2/20/24</w:t>
            </w:r>
          </w:p>
        </w:tc>
        <w:tc>
          <w:tcPr>
            <w:tcW w:w="960" w:type="dxa"/>
            <w:vAlign w:val="bottom"/>
            <w:tcBorders>
              <w:right w:val="single" w:sz="8" w:color="E5E5E5"/>
            </w:tcBorders>
            <w:vMerge w:val="restart"/>
            <w:shd w:val="clear" w:color="auto" w:fill="DBDBDB"/>
          </w:tcPr>
          <w:p>
            <w:pPr>
              <w:jc w:val="right"/>
              <w:spacing w:after="0"/>
              <w:rPr>
                <w:sz w:val="20"/>
                <w:szCs w:val="20"/>
                <w:color w:val="auto"/>
              </w:rPr>
            </w:pPr>
            <w:r>
              <w:rPr>
                <w:rFonts w:ascii="Arial" w:cs="Arial" w:eastAsia="Arial" w:hAnsi="Arial"/>
                <w:sz w:val="16"/>
                <w:szCs w:val="16"/>
                <w:color w:val="auto"/>
              </w:rPr>
              <w:t>2/12/24</w:t>
            </w:r>
          </w:p>
        </w:tc>
        <w:tc>
          <w:tcPr>
            <w:tcW w:w="100" w:type="dxa"/>
            <w:vAlign w:val="bottom"/>
            <w:shd w:val="clear" w:color="auto" w:fill="DBDBDB"/>
          </w:tcPr>
          <w:p>
            <w:pPr>
              <w:spacing w:after="0"/>
              <w:rPr>
                <w:sz w:val="13"/>
                <w:szCs w:val="13"/>
                <w:color w:val="auto"/>
              </w:rPr>
            </w:pPr>
          </w:p>
        </w:tc>
        <w:tc>
          <w:tcPr>
            <w:tcW w:w="980" w:type="dxa"/>
            <w:vAlign w:val="bottom"/>
            <w:tcBorders>
              <w:right w:val="single" w:sz="8" w:color="E5E5E5"/>
            </w:tcBorders>
            <w:shd w:val="clear" w:color="auto" w:fill="DBDBDB"/>
          </w:tcPr>
          <w:p>
            <w:pPr>
              <w:spacing w:after="0"/>
              <w:rPr>
                <w:sz w:val="13"/>
                <w:szCs w:val="13"/>
                <w:color w:val="auto"/>
              </w:rPr>
            </w:pPr>
          </w:p>
        </w:tc>
        <w:tc>
          <w:tcPr>
            <w:tcW w:w="200" w:type="dxa"/>
            <w:vAlign w:val="bottom"/>
            <w:shd w:val="clear" w:color="auto" w:fill="DBDBDB"/>
          </w:tcPr>
          <w:p>
            <w:pPr>
              <w:spacing w:after="0"/>
              <w:rPr>
                <w:sz w:val="13"/>
                <w:szCs w:val="13"/>
                <w:color w:val="auto"/>
              </w:rPr>
            </w:pPr>
          </w:p>
        </w:tc>
        <w:tc>
          <w:tcPr>
            <w:tcW w:w="920" w:type="dxa"/>
            <w:vAlign w:val="bottom"/>
            <w:tcBorders>
              <w:right w:val="single" w:sz="8" w:color="E5E5E5"/>
            </w:tcBorders>
            <w:shd w:val="clear" w:color="auto" w:fill="DBDBDB"/>
          </w:tcPr>
          <w:p>
            <w:pPr>
              <w:spacing w:after="0"/>
              <w:rPr>
                <w:sz w:val="13"/>
                <w:szCs w:val="13"/>
                <w:color w:val="auto"/>
              </w:rPr>
            </w:pPr>
          </w:p>
        </w:tc>
        <w:tc>
          <w:tcPr>
            <w:tcW w:w="140" w:type="dxa"/>
            <w:vAlign w:val="bottom"/>
            <w:shd w:val="clear" w:color="auto" w:fill="DBDBDB"/>
          </w:tcPr>
          <w:p>
            <w:pPr>
              <w:spacing w:after="0"/>
              <w:rPr>
                <w:sz w:val="13"/>
                <w:szCs w:val="13"/>
                <w:color w:val="auto"/>
              </w:rPr>
            </w:pPr>
          </w:p>
        </w:tc>
        <w:tc>
          <w:tcPr>
            <w:tcW w:w="1020" w:type="dxa"/>
            <w:vAlign w:val="bottom"/>
            <w:tcBorders>
              <w:right w:val="single" w:sz="8" w:color="E5E5E5"/>
            </w:tcBorders>
            <w:shd w:val="clear" w:color="auto" w:fill="DBDBDB"/>
          </w:tcPr>
          <w:p>
            <w:pPr>
              <w:spacing w:after="0"/>
              <w:rPr>
                <w:sz w:val="13"/>
                <w:szCs w:val="13"/>
                <w:color w:val="auto"/>
              </w:rPr>
            </w:pPr>
          </w:p>
        </w:tc>
        <w:tc>
          <w:tcPr>
            <w:tcW w:w="1040" w:type="dxa"/>
            <w:vAlign w:val="bottom"/>
            <w:tcBorders>
              <w:right w:val="single" w:sz="8" w:color="E5E5E5"/>
            </w:tcBorders>
            <w:shd w:val="clear" w:color="auto" w:fill="DBDBDB"/>
          </w:tcPr>
          <w:p>
            <w:pPr>
              <w:spacing w:after="0"/>
              <w:rPr>
                <w:sz w:val="13"/>
                <w:szCs w:val="13"/>
                <w:color w:val="auto"/>
              </w:rPr>
            </w:pPr>
          </w:p>
        </w:tc>
        <w:tc>
          <w:tcPr>
            <w:tcW w:w="760" w:type="dxa"/>
            <w:vAlign w:val="bottom"/>
            <w:tcBorders>
              <w:right w:val="single" w:sz="8" w:color="E5E5E5"/>
            </w:tcBorders>
            <w:shd w:val="clear" w:color="auto" w:fill="DBDBDB"/>
          </w:tcPr>
          <w:p>
            <w:pPr>
              <w:spacing w:after="0"/>
              <w:rPr>
                <w:sz w:val="13"/>
                <w:szCs w:val="13"/>
                <w:color w:val="auto"/>
              </w:rPr>
            </w:pPr>
          </w:p>
        </w:tc>
        <w:tc>
          <w:tcPr>
            <w:tcW w:w="1040" w:type="dxa"/>
            <w:vAlign w:val="bottom"/>
            <w:tcBorders>
              <w:right w:val="single" w:sz="8" w:color="E5E5E5"/>
            </w:tcBorders>
            <w:shd w:val="clear" w:color="auto" w:fill="DBDBDB"/>
          </w:tcPr>
          <w:p>
            <w:pPr>
              <w:spacing w:after="0"/>
              <w:rPr>
                <w:sz w:val="13"/>
                <w:szCs w:val="13"/>
                <w:color w:val="auto"/>
              </w:rPr>
            </w:pPr>
          </w:p>
        </w:tc>
        <w:tc>
          <w:tcPr>
            <w:tcW w:w="1220" w:type="dxa"/>
            <w:vAlign w:val="bottom"/>
            <w:tcBorders>
              <w:right w:val="single" w:sz="8" w:color="E5E5E5"/>
            </w:tcBorders>
            <w:vMerge w:val="restart"/>
            <w:shd w:val="clear" w:color="auto" w:fill="DBDBDB"/>
          </w:tcPr>
          <w:p>
            <w:pPr>
              <w:jc w:val="right"/>
              <w:spacing w:after="0"/>
              <w:rPr>
                <w:sz w:val="20"/>
                <w:szCs w:val="20"/>
                <w:color w:val="auto"/>
              </w:rPr>
            </w:pPr>
            <w:r>
              <w:rPr>
                <w:rFonts w:ascii="Arial" w:cs="Arial" w:eastAsia="Arial" w:hAnsi="Arial"/>
                <w:sz w:val="16"/>
                <w:szCs w:val="16"/>
                <w:color w:val="auto"/>
              </w:rPr>
              <w:t>11,066</w:t>
            </w:r>
          </w:p>
        </w:tc>
        <w:tc>
          <w:tcPr>
            <w:tcW w:w="12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right w:val="single" w:sz="8" w:color="E5E5E5"/>
            </w:tcBorders>
            <w:vMerge w:val="restart"/>
            <w:shd w:val="clear" w:color="auto" w:fill="DBDBDB"/>
          </w:tcPr>
          <w:p>
            <w:pPr>
              <w:jc w:val="right"/>
              <w:ind w:right="23"/>
              <w:spacing w:after="0"/>
              <w:rPr>
                <w:sz w:val="20"/>
                <w:szCs w:val="20"/>
                <w:color w:val="auto"/>
              </w:rPr>
            </w:pPr>
            <w:r>
              <w:rPr>
                <w:rFonts w:ascii="Arial" w:cs="Arial" w:eastAsia="Arial" w:hAnsi="Arial"/>
                <w:sz w:val="16"/>
                <w:szCs w:val="16"/>
                <w:color w:val="auto"/>
              </w:rPr>
              <w:t>2,400,105</w:t>
            </w:r>
          </w:p>
        </w:tc>
        <w:tc>
          <w:tcPr>
            <w:tcW w:w="0" w:type="dxa"/>
            <w:vAlign w:val="bottom"/>
          </w:tcPr>
          <w:p>
            <w:pPr>
              <w:spacing w:after="0"/>
              <w:rPr>
                <w:sz w:val="1"/>
                <w:szCs w:val="1"/>
                <w:color w:val="auto"/>
              </w:rPr>
            </w:pPr>
          </w:p>
        </w:tc>
      </w:tr>
      <w:tr>
        <w:trPr>
          <w:trHeight w:val="102"/>
        </w:trPr>
        <w:tc>
          <w:tcPr>
            <w:tcW w:w="980" w:type="dxa"/>
            <w:vAlign w:val="bottom"/>
            <w:tcBorders>
              <w:left w:val="single" w:sz="8" w:color="E5E5E5"/>
              <w:right w:val="single" w:sz="8" w:color="E5E5E5"/>
            </w:tcBorders>
            <w:shd w:val="clear" w:color="auto" w:fill="DBDBDB"/>
          </w:tcPr>
          <w:p>
            <w:pPr>
              <w:spacing w:after="0"/>
              <w:rPr>
                <w:sz w:val="8"/>
                <w:szCs w:val="8"/>
                <w:color w:val="auto"/>
              </w:rPr>
            </w:pPr>
          </w:p>
        </w:tc>
        <w:tc>
          <w:tcPr>
            <w:tcW w:w="740" w:type="dxa"/>
            <w:vAlign w:val="bottom"/>
            <w:tcBorders>
              <w:right w:val="single" w:sz="8" w:color="E5E5E5"/>
            </w:tcBorders>
            <w:vMerge w:val="continue"/>
            <w:shd w:val="clear" w:color="auto" w:fill="DBDBDB"/>
          </w:tcPr>
          <w:p>
            <w:pPr>
              <w:spacing w:after="0"/>
              <w:rPr>
                <w:sz w:val="8"/>
                <w:szCs w:val="8"/>
                <w:color w:val="auto"/>
              </w:rPr>
            </w:pPr>
          </w:p>
        </w:tc>
        <w:tc>
          <w:tcPr>
            <w:tcW w:w="960" w:type="dxa"/>
            <w:vAlign w:val="bottom"/>
            <w:tcBorders>
              <w:right w:val="single" w:sz="8" w:color="E5E5E5"/>
            </w:tcBorders>
            <w:vMerge w:val="continue"/>
            <w:shd w:val="clear" w:color="auto" w:fill="DBDBDB"/>
          </w:tcPr>
          <w:p>
            <w:pPr>
              <w:spacing w:after="0"/>
              <w:rPr>
                <w:sz w:val="8"/>
                <w:szCs w:val="8"/>
                <w:color w:val="auto"/>
              </w:rPr>
            </w:pPr>
          </w:p>
        </w:tc>
        <w:tc>
          <w:tcPr>
            <w:tcW w:w="100" w:type="dxa"/>
            <w:vAlign w:val="bottom"/>
            <w:shd w:val="clear" w:color="auto" w:fill="DBDBDB"/>
          </w:tcPr>
          <w:p>
            <w:pPr>
              <w:spacing w:after="0"/>
              <w:rPr>
                <w:sz w:val="8"/>
                <w:szCs w:val="8"/>
                <w:color w:val="auto"/>
              </w:rPr>
            </w:pPr>
          </w:p>
        </w:tc>
        <w:tc>
          <w:tcPr>
            <w:tcW w:w="980" w:type="dxa"/>
            <w:vAlign w:val="bottom"/>
            <w:tcBorders>
              <w:right w:val="single" w:sz="8" w:color="E5E5E5"/>
            </w:tcBorders>
            <w:shd w:val="clear" w:color="auto" w:fill="DBDBDB"/>
          </w:tcPr>
          <w:p>
            <w:pPr>
              <w:spacing w:after="0"/>
              <w:rPr>
                <w:sz w:val="8"/>
                <w:szCs w:val="8"/>
                <w:color w:val="auto"/>
              </w:rPr>
            </w:pPr>
          </w:p>
        </w:tc>
        <w:tc>
          <w:tcPr>
            <w:tcW w:w="200" w:type="dxa"/>
            <w:vAlign w:val="bottom"/>
            <w:shd w:val="clear" w:color="auto" w:fill="DBDBDB"/>
          </w:tcPr>
          <w:p>
            <w:pPr>
              <w:spacing w:after="0"/>
              <w:rPr>
                <w:sz w:val="8"/>
                <w:szCs w:val="8"/>
                <w:color w:val="auto"/>
              </w:rPr>
            </w:pPr>
          </w:p>
        </w:tc>
        <w:tc>
          <w:tcPr>
            <w:tcW w:w="920" w:type="dxa"/>
            <w:vAlign w:val="bottom"/>
            <w:tcBorders>
              <w:right w:val="single" w:sz="8" w:color="E5E5E5"/>
            </w:tcBorders>
            <w:shd w:val="clear" w:color="auto" w:fill="DBDBDB"/>
          </w:tcPr>
          <w:p>
            <w:pPr>
              <w:spacing w:after="0"/>
              <w:rPr>
                <w:sz w:val="8"/>
                <w:szCs w:val="8"/>
                <w:color w:val="auto"/>
              </w:rPr>
            </w:pPr>
          </w:p>
        </w:tc>
        <w:tc>
          <w:tcPr>
            <w:tcW w:w="140" w:type="dxa"/>
            <w:vAlign w:val="bottom"/>
            <w:shd w:val="clear" w:color="auto" w:fill="DBDBDB"/>
          </w:tcPr>
          <w:p>
            <w:pPr>
              <w:spacing w:after="0"/>
              <w:rPr>
                <w:sz w:val="8"/>
                <w:szCs w:val="8"/>
                <w:color w:val="auto"/>
              </w:rPr>
            </w:pPr>
          </w:p>
        </w:tc>
        <w:tc>
          <w:tcPr>
            <w:tcW w:w="1020" w:type="dxa"/>
            <w:vAlign w:val="bottom"/>
            <w:tcBorders>
              <w:right w:val="single" w:sz="8" w:color="E5E5E5"/>
            </w:tcBorders>
            <w:shd w:val="clear" w:color="auto" w:fill="DBDBDB"/>
          </w:tcPr>
          <w:p>
            <w:pPr>
              <w:spacing w:after="0"/>
              <w:rPr>
                <w:sz w:val="8"/>
                <w:szCs w:val="8"/>
                <w:color w:val="auto"/>
              </w:rPr>
            </w:pPr>
          </w:p>
        </w:tc>
        <w:tc>
          <w:tcPr>
            <w:tcW w:w="1040" w:type="dxa"/>
            <w:vAlign w:val="bottom"/>
            <w:tcBorders>
              <w:right w:val="single" w:sz="8" w:color="E5E5E5"/>
            </w:tcBorders>
            <w:shd w:val="clear" w:color="auto" w:fill="DBDBDB"/>
          </w:tcPr>
          <w:p>
            <w:pPr>
              <w:spacing w:after="0"/>
              <w:rPr>
                <w:sz w:val="8"/>
                <w:szCs w:val="8"/>
                <w:color w:val="auto"/>
              </w:rPr>
            </w:pPr>
          </w:p>
        </w:tc>
        <w:tc>
          <w:tcPr>
            <w:tcW w:w="760" w:type="dxa"/>
            <w:vAlign w:val="bottom"/>
            <w:tcBorders>
              <w:right w:val="single" w:sz="8" w:color="E5E5E5"/>
            </w:tcBorders>
            <w:shd w:val="clear" w:color="auto" w:fill="DBDBDB"/>
          </w:tcPr>
          <w:p>
            <w:pPr>
              <w:spacing w:after="0"/>
              <w:rPr>
                <w:sz w:val="8"/>
                <w:szCs w:val="8"/>
                <w:color w:val="auto"/>
              </w:rPr>
            </w:pPr>
          </w:p>
        </w:tc>
        <w:tc>
          <w:tcPr>
            <w:tcW w:w="1040" w:type="dxa"/>
            <w:vAlign w:val="bottom"/>
            <w:tcBorders>
              <w:right w:val="single" w:sz="8" w:color="E5E5E5"/>
            </w:tcBorders>
            <w:shd w:val="clear" w:color="auto" w:fill="DBDBDB"/>
          </w:tcPr>
          <w:p>
            <w:pPr>
              <w:spacing w:after="0"/>
              <w:rPr>
                <w:sz w:val="8"/>
                <w:szCs w:val="8"/>
                <w:color w:val="auto"/>
              </w:rPr>
            </w:pPr>
          </w:p>
        </w:tc>
        <w:tc>
          <w:tcPr>
            <w:tcW w:w="1220" w:type="dxa"/>
            <w:vAlign w:val="bottom"/>
            <w:tcBorders>
              <w:right w:val="single" w:sz="8" w:color="E5E5E5"/>
            </w:tcBorders>
            <w:vMerge w:val="continue"/>
            <w:shd w:val="clear" w:color="auto" w:fill="DBDBDB"/>
          </w:tcPr>
          <w:p>
            <w:pPr>
              <w:spacing w:after="0"/>
              <w:rPr>
                <w:sz w:val="8"/>
                <w:szCs w:val="8"/>
                <w:color w:val="auto"/>
              </w:rPr>
            </w:pPr>
          </w:p>
        </w:tc>
        <w:tc>
          <w:tcPr>
            <w:tcW w:w="120" w:type="dxa"/>
            <w:vAlign w:val="bottom"/>
            <w:vMerge w:val="continue"/>
            <w:shd w:val="clear" w:color="auto" w:fill="DBDBDB"/>
          </w:tcPr>
          <w:p>
            <w:pPr>
              <w:spacing w:after="0"/>
              <w:rPr>
                <w:sz w:val="8"/>
                <w:szCs w:val="8"/>
                <w:color w:val="auto"/>
              </w:rPr>
            </w:pPr>
          </w:p>
        </w:tc>
        <w:tc>
          <w:tcPr>
            <w:tcW w:w="1040" w:type="dxa"/>
            <w:vAlign w:val="bottom"/>
            <w:tcBorders>
              <w:right w:val="single" w:sz="8" w:color="E5E5E5"/>
            </w:tcBorders>
            <w:vMerge w:val="continue"/>
            <w:shd w:val="clear" w:color="auto" w:fill="DBDBDB"/>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980" w:type="dxa"/>
            <w:vAlign w:val="bottom"/>
            <w:tcBorders>
              <w:left w:val="single" w:sz="8" w:color="E5E5E5"/>
              <w:right w:val="single" w:sz="8" w:color="E5E5E5"/>
            </w:tcBorders>
            <w:shd w:val="clear" w:color="auto" w:fill="DBDBDB"/>
          </w:tcPr>
          <w:p>
            <w:pPr>
              <w:spacing w:after="0"/>
              <w:rPr>
                <w:sz w:val="22"/>
                <w:szCs w:val="22"/>
                <w:color w:val="auto"/>
              </w:rPr>
            </w:pPr>
          </w:p>
        </w:tc>
        <w:tc>
          <w:tcPr>
            <w:tcW w:w="740" w:type="dxa"/>
            <w:vAlign w:val="bottom"/>
            <w:tcBorders>
              <w:right w:val="single" w:sz="8" w:color="E5E5E5"/>
            </w:tcBorders>
            <w:shd w:val="clear" w:color="auto" w:fill="DBDBDB"/>
          </w:tcPr>
          <w:p>
            <w:pPr>
              <w:jc w:val="right"/>
              <w:spacing w:after="0"/>
              <w:rPr>
                <w:sz w:val="20"/>
                <w:szCs w:val="20"/>
                <w:color w:val="auto"/>
              </w:rPr>
            </w:pPr>
            <w:r>
              <w:rPr>
                <w:rFonts w:ascii="Arial" w:cs="Arial" w:eastAsia="Arial" w:hAnsi="Arial"/>
                <w:sz w:val="16"/>
                <w:szCs w:val="16"/>
                <w:color w:val="auto"/>
              </w:rPr>
              <w:t>2/20/24</w:t>
            </w:r>
          </w:p>
        </w:tc>
        <w:tc>
          <w:tcPr>
            <w:tcW w:w="960" w:type="dxa"/>
            <w:vAlign w:val="bottom"/>
            <w:tcBorders>
              <w:right w:val="single" w:sz="8" w:color="E5E5E5"/>
            </w:tcBorders>
            <w:shd w:val="clear" w:color="auto" w:fill="DBDBDB"/>
          </w:tcPr>
          <w:p>
            <w:pPr>
              <w:jc w:val="right"/>
              <w:spacing w:after="0"/>
              <w:rPr>
                <w:sz w:val="20"/>
                <w:szCs w:val="20"/>
                <w:color w:val="auto"/>
              </w:rPr>
            </w:pPr>
            <w:r>
              <w:rPr>
                <w:rFonts w:ascii="Arial" w:cs="Arial" w:eastAsia="Arial" w:hAnsi="Arial"/>
                <w:sz w:val="16"/>
                <w:szCs w:val="16"/>
                <w:color w:val="auto"/>
              </w:rPr>
              <w:t>2/12/24</w:t>
            </w:r>
          </w:p>
        </w:tc>
        <w:tc>
          <w:tcPr>
            <w:tcW w:w="100" w:type="dxa"/>
            <w:vAlign w:val="bottom"/>
            <w:shd w:val="clear" w:color="auto" w:fill="DBDBDB"/>
          </w:tcPr>
          <w:p>
            <w:pPr>
              <w:spacing w:after="0"/>
              <w:rPr>
                <w:sz w:val="22"/>
                <w:szCs w:val="22"/>
                <w:color w:val="auto"/>
              </w:rPr>
            </w:pPr>
          </w:p>
        </w:tc>
        <w:tc>
          <w:tcPr>
            <w:tcW w:w="980" w:type="dxa"/>
            <w:vAlign w:val="bottom"/>
            <w:tcBorders>
              <w:right w:val="single" w:sz="8" w:color="E5E5E5"/>
            </w:tcBorders>
            <w:shd w:val="clear" w:color="auto" w:fill="DBDBDB"/>
          </w:tcPr>
          <w:p>
            <w:pPr>
              <w:spacing w:after="0"/>
              <w:rPr>
                <w:sz w:val="22"/>
                <w:szCs w:val="22"/>
                <w:color w:val="auto"/>
              </w:rPr>
            </w:pPr>
          </w:p>
        </w:tc>
        <w:tc>
          <w:tcPr>
            <w:tcW w:w="200" w:type="dxa"/>
            <w:vAlign w:val="bottom"/>
            <w:shd w:val="clear" w:color="auto" w:fill="DBDBDB"/>
          </w:tcPr>
          <w:p>
            <w:pPr>
              <w:spacing w:after="0"/>
              <w:rPr>
                <w:sz w:val="22"/>
                <w:szCs w:val="22"/>
                <w:color w:val="auto"/>
              </w:rPr>
            </w:pPr>
          </w:p>
        </w:tc>
        <w:tc>
          <w:tcPr>
            <w:tcW w:w="920" w:type="dxa"/>
            <w:vAlign w:val="bottom"/>
            <w:tcBorders>
              <w:right w:val="single" w:sz="8" w:color="E5E5E5"/>
            </w:tcBorders>
            <w:shd w:val="clear" w:color="auto" w:fill="DBDBDB"/>
          </w:tcPr>
          <w:p>
            <w:pPr>
              <w:spacing w:after="0"/>
              <w:rPr>
                <w:sz w:val="22"/>
                <w:szCs w:val="22"/>
                <w:color w:val="auto"/>
              </w:rPr>
            </w:pPr>
          </w:p>
        </w:tc>
        <w:tc>
          <w:tcPr>
            <w:tcW w:w="140" w:type="dxa"/>
            <w:vAlign w:val="bottom"/>
            <w:shd w:val="clear" w:color="auto" w:fill="DBDBDB"/>
          </w:tcPr>
          <w:p>
            <w:pPr>
              <w:spacing w:after="0"/>
              <w:rPr>
                <w:sz w:val="22"/>
                <w:szCs w:val="22"/>
                <w:color w:val="auto"/>
              </w:rPr>
            </w:pPr>
          </w:p>
        </w:tc>
        <w:tc>
          <w:tcPr>
            <w:tcW w:w="1020" w:type="dxa"/>
            <w:vAlign w:val="bottom"/>
            <w:tcBorders>
              <w:right w:val="single" w:sz="8" w:color="E5E5E5"/>
            </w:tcBorders>
            <w:shd w:val="clear" w:color="auto" w:fill="DBDBDB"/>
          </w:tcPr>
          <w:p>
            <w:pPr>
              <w:spacing w:after="0"/>
              <w:rPr>
                <w:sz w:val="22"/>
                <w:szCs w:val="22"/>
                <w:color w:val="auto"/>
              </w:rPr>
            </w:pPr>
          </w:p>
        </w:tc>
        <w:tc>
          <w:tcPr>
            <w:tcW w:w="1040" w:type="dxa"/>
            <w:vAlign w:val="bottom"/>
            <w:tcBorders>
              <w:right w:val="single" w:sz="8" w:color="E5E5E5"/>
            </w:tcBorders>
            <w:shd w:val="clear" w:color="auto" w:fill="DBDBDB"/>
          </w:tcPr>
          <w:p>
            <w:pPr>
              <w:jc w:val="right"/>
              <w:spacing w:after="0"/>
              <w:rPr>
                <w:sz w:val="20"/>
                <w:szCs w:val="20"/>
                <w:color w:val="auto"/>
              </w:rPr>
            </w:pPr>
            <w:r>
              <w:rPr>
                <w:rFonts w:ascii="Arial" w:cs="Arial" w:eastAsia="Arial" w:hAnsi="Arial"/>
                <w:sz w:val="16"/>
                <w:szCs w:val="16"/>
                <w:color w:val="auto"/>
              </w:rPr>
              <w:t>8,299</w:t>
            </w:r>
          </w:p>
        </w:tc>
        <w:tc>
          <w:tcPr>
            <w:tcW w:w="760" w:type="dxa"/>
            <w:vAlign w:val="bottom"/>
            <w:tcBorders>
              <w:right w:val="single" w:sz="8" w:color="E5E5E5"/>
            </w:tcBorders>
            <w:shd w:val="clear" w:color="auto" w:fill="DBDBDB"/>
          </w:tcPr>
          <w:p>
            <w:pPr>
              <w:jc w:val="right"/>
              <w:spacing w:after="0"/>
              <w:rPr>
                <w:sz w:val="20"/>
                <w:szCs w:val="20"/>
                <w:color w:val="auto"/>
              </w:rPr>
            </w:pPr>
            <w:r>
              <w:rPr>
                <w:rFonts w:ascii="Arial" w:cs="Arial" w:eastAsia="Arial" w:hAnsi="Arial"/>
                <w:sz w:val="16"/>
                <w:szCs w:val="16"/>
                <w:color w:val="auto"/>
              </w:rPr>
              <w:t>16,598</w:t>
            </w:r>
          </w:p>
        </w:tc>
        <w:tc>
          <w:tcPr>
            <w:tcW w:w="1040" w:type="dxa"/>
            <w:vAlign w:val="bottom"/>
            <w:tcBorders>
              <w:right w:val="single" w:sz="8" w:color="E5E5E5"/>
            </w:tcBorders>
            <w:shd w:val="clear" w:color="auto" w:fill="DBDBDB"/>
          </w:tcPr>
          <w:p>
            <w:pPr>
              <w:jc w:val="right"/>
              <w:spacing w:after="0"/>
              <w:rPr>
                <w:sz w:val="20"/>
                <w:szCs w:val="20"/>
                <w:color w:val="auto"/>
              </w:rPr>
            </w:pPr>
            <w:r>
              <w:rPr>
                <w:rFonts w:ascii="Arial" w:cs="Arial" w:eastAsia="Arial" w:hAnsi="Arial"/>
                <w:sz w:val="16"/>
                <w:szCs w:val="16"/>
                <w:color w:val="auto"/>
              </w:rPr>
              <w:t>24,897</w:t>
            </w:r>
          </w:p>
        </w:tc>
        <w:tc>
          <w:tcPr>
            <w:tcW w:w="1220" w:type="dxa"/>
            <w:vAlign w:val="bottom"/>
            <w:tcBorders>
              <w:right w:val="single" w:sz="8" w:color="E5E5E5"/>
            </w:tcBorders>
            <w:shd w:val="clear" w:color="auto" w:fill="DBDBDB"/>
          </w:tcPr>
          <w:p>
            <w:pPr>
              <w:spacing w:after="0"/>
              <w:rPr>
                <w:sz w:val="22"/>
                <w:szCs w:val="22"/>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right w:val="single" w:sz="8" w:color="E5E5E5"/>
            </w:tcBorders>
            <w:shd w:val="clear" w:color="auto" w:fill="DBDBDB"/>
          </w:tcPr>
          <w:p>
            <w:pPr>
              <w:jc w:val="right"/>
              <w:ind w:right="23"/>
              <w:spacing w:after="0"/>
              <w:rPr>
                <w:sz w:val="20"/>
                <w:szCs w:val="20"/>
                <w:color w:val="auto"/>
              </w:rPr>
            </w:pPr>
            <w:r>
              <w:rPr>
                <w:rFonts w:ascii="Arial" w:cs="Arial" w:eastAsia="Arial" w:hAnsi="Arial"/>
                <w:sz w:val="16"/>
                <w:szCs w:val="16"/>
                <w:color w:val="auto"/>
              </w:rPr>
              <w:t>3,599,940</w:t>
            </w:r>
          </w:p>
        </w:tc>
        <w:tc>
          <w:tcPr>
            <w:tcW w:w="0" w:type="dxa"/>
            <w:vAlign w:val="bottom"/>
          </w:tcPr>
          <w:p>
            <w:pPr>
              <w:spacing w:after="0"/>
              <w:rPr>
                <w:sz w:val="1"/>
                <w:szCs w:val="1"/>
                <w:color w:val="auto"/>
              </w:rPr>
            </w:pPr>
          </w:p>
        </w:tc>
      </w:tr>
      <w:tr>
        <w:trPr>
          <w:trHeight w:val="189"/>
        </w:trPr>
        <w:tc>
          <w:tcPr>
            <w:tcW w:w="980" w:type="dxa"/>
            <w:vAlign w:val="bottom"/>
            <w:tcBorders>
              <w:left w:val="single" w:sz="8" w:color="E5E5E5"/>
              <w:right w:val="single" w:sz="8" w:color="E5E5E5"/>
            </w:tcBorders>
          </w:tcPr>
          <w:p>
            <w:pPr>
              <w:ind w:left="40"/>
              <w:spacing w:after="0"/>
              <w:rPr>
                <w:sz w:val="20"/>
                <w:szCs w:val="20"/>
                <w:color w:val="auto"/>
              </w:rPr>
            </w:pPr>
            <w:r>
              <w:rPr>
                <w:rFonts w:ascii="Arial" w:cs="Arial" w:eastAsia="Arial" w:hAnsi="Arial"/>
                <w:sz w:val="16"/>
                <w:szCs w:val="16"/>
                <w:color w:val="auto"/>
              </w:rPr>
              <w:t>Michael</w:t>
            </w:r>
          </w:p>
        </w:tc>
        <w:tc>
          <w:tcPr>
            <w:tcW w:w="740" w:type="dxa"/>
            <w:vAlign w:val="bottom"/>
            <w:tcBorders>
              <w:right w:val="single" w:sz="8" w:color="E5E5E5"/>
            </w:tcBorders>
          </w:tcPr>
          <w:p>
            <w:pPr>
              <w:jc w:val="right"/>
              <w:spacing w:after="0"/>
              <w:rPr>
                <w:sz w:val="20"/>
                <w:szCs w:val="20"/>
                <w:color w:val="auto"/>
              </w:rPr>
            </w:pPr>
            <w:r>
              <w:rPr>
                <w:rFonts w:ascii="Arial" w:cs="Arial" w:eastAsia="Arial" w:hAnsi="Arial"/>
                <w:sz w:val="16"/>
                <w:szCs w:val="16"/>
                <w:color w:val="auto"/>
              </w:rPr>
              <w:t>2/12/24</w:t>
            </w:r>
          </w:p>
        </w:tc>
        <w:tc>
          <w:tcPr>
            <w:tcW w:w="960" w:type="dxa"/>
            <w:vAlign w:val="bottom"/>
            <w:tcBorders>
              <w:right w:val="single" w:sz="8" w:color="E5E5E5"/>
            </w:tcBorders>
          </w:tcPr>
          <w:p>
            <w:pPr>
              <w:jc w:val="right"/>
              <w:spacing w:after="0"/>
              <w:rPr>
                <w:sz w:val="20"/>
                <w:szCs w:val="20"/>
                <w:color w:val="auto"/>
              </w:rPr>
            </w:pPr>
            <w:r>
              <w:rPr>
                <w:rFonts w:ascii="Arial" w:cs="Arial" w:eastAsia="Arial" w:hAnsi="Arial"/>
                <w:sz w:val="16"/>
                <w:szCs w:val="16"/>
                <w:color w:val="auto"/>
              </w:rPr>
              <w:t>2/12/24</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right w:val="single" w:sz="8" w:color="E5E5E5"/>
            </w:tcBorders>
          </w:tcPr>
          <w:p>
            <w:pPr>
              <w:jc w:val="right"/>
              <w:ind w:right="20"/>
              <w:spacing w:after="0"/>
              <w:rPr>
                <w:sz w:val="20"/>
                <w:szCs w:val="20"/>
                <w:color w:val="auto"/>
              </w:rPr>
            </w:pPr>
            <w:r>
              <w:rPr>
                <w:rFonts w:ascii="Arial" w:cs="Arial" w:eastAsia="Arial" w:hAnsi="Arial"/>
                <w:sz w:val="16"/>
                <w:szCs w:val="16"/>
                <w:color w:val="auto"/>
              </w:rPr>
              <w:t>308,125</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right w:val="single" w:sz="8" w:color="E5E5E5"/>
            </w:tcBorders>
          </w:tcPr>
          <w:p>
            <w:pPr>
              <w:jc w:val="right"/>
              <w:ind w:right="19"/>
              <w:spacing w:after="0"/>
              <w:rPr>
                <w:sz w:val="20"/>
                <w:szCs w:val="20"/>
                <w:color w:val="auto"/>
              </w:rPr>
            </w:pPr>
            <w:r>
              <w:rPr>
                <w:rFonts w:ascii="Arial" w:cs="Arial" w:eastAsia="Arial" w:hAnsi="Arial"/>
                <w:sz w:val="16"/>
                <w:szCs w:val="16"/>
                <w:color w:val="auto"/>
              </w:rPr>
              <w:t>616,250</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right w:val="single" w:sz="8" w:color="E5E5E5"/>
            </w:tcBorders>
          </w:tcPr>
          <w:p>
            <w:pPr>
              <w:jc w:val="right"/>
              <w:ind w:right="19"/>
              <w:spacing w:after="0"/>
              <w:rPr>
                <w:sz w:val="20"/>
                <w:szCs w:val="20"/>
                <w:color w:val="auto"/>
              </w:rPr>
            </w:pPr>
            <w:r>
              <w:rPr>
                <w:rFonts w:ascii="Arial" w:cs="Arial" w:eastAsia="Arial" w:hAnsi="Arial"/>
                <w:sz w:val="16"/>
                <w:szCs w:val="16"/>
                <w:color w:val="auto"/>
              </w:rPr>
              <w:t>1,232,500</w:t>
            </w:r>
          </w:p>
        </w:tc>
        <w:tc>
          <w:tcPr>
            <w:tcW w:w="1040" w:type="dxa"/>
            <w:vAlign w:val="bottom"/>
            <w:tcBorders>
              <w:right w:val="single" w:sz="8" w:color="E5E5E5"/>
            </w:tcBorders>
          </w:tcPr>
          <w:p>
            <w:pPr>
              <w:spacing w:after="0"/>
              <w:rPr>
                <w:sz w:val="16"/>
                <w:szCs w:val="16"/>
                <w:color w:val="auto"/>
              </w:rPr>
            </w:pPr>
          </w:p>
        </w:tc>
        <w:tc>
          <w:tcPr>
            <w:tcW w:w="760" w:type="dxa"/>
            <w:vAlign w:val="bottom"/>
            <w:tcBorders>
              <w:right w:val="single" w:sz="8" w:color="E5E5E5"/>
            </w:tcBorders>
          </w:tcPr>
          <w:p>
            <w:pPr>
              <w:spacing w:after="0"/>
              <w:rPr>
                <w:sz w:val="16"/>
                <w:szCs w:val="16"/>
                <w:color w:val="auto"/>
              </w:rPr>
            </w:pPr>
          </w:p>
        </w:tc>
        <w:tc>
          <w:tcPr>
            <w:tcW w:w="1040" w:type="dxa"/>
            <w:vAlign w:val="bottom"/>
            <w:tcBorders>
              <w:right w:val="single" w:sz="8" w:color="E5E5E5"/>
            </w:tcBorders>
          </w:tcPr>
          <w:p>
            <w:pPr>
              <w:spacing w:after="0"/>
              <w:rPr>
                <w:sz w:val="16"/>
                <w:szCs w:val="16"/>
                <w:color w:val="auto"/>
              </w:rPr>
            </w:pPr>
          </w:p>
        </w:tc>
        <w:tc>
          <w:tcPr>
            <w:tcW w:w="1220" w:type="dxa"/>
            <w:vAlign w:val="bottom"/>
            <w:tcBorders>
              <w:right w:val="single" w:sz="8" w:color="E5E5E5"/>
            </w:tcBorders>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Borders>
              <w:right w:val="single" w:sz="8" w:color="E5E5E5"/>
            </w:tcBorders>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980" w:type="dxa"/>
            <w:vAlign w:val="bottom"/>
            <w:tcBorders>
              <w:left w:val="single" w:sz="8" w:color="E5E5E5"/>
              <w:right w:val="single" w:sz="8" w:color="E5E5E5"/>
            </w:tcBorders>
            <w:vMerge w:val="restart"/>
          </w:tcPr>
          <w:p>
            <w:pPr>
              <w:ind w:left="40"/>
              <w:spacing w:after="0"/>
              <w:rPr>
                <w:sz w:val="20"/>
                <w:szCs w:val="20"/>
                <w:color w:val="auto"/>
              </w:rPr>
            </w:pPr>
            <w:r>
              <w:rPr>
                <w:rFonts w:ascii="Arial" w:cs="Arial" w:eastAsia="Arial" w:hAnsi="Arial"/>
                <w:sz w:val="16"/>
                <w:szCs w:val="16"/>
                <w:color w:val="auto"/>
              </w:rPr>
              <w:t>Welch</w:t>
            </w:r>
          </w:p>
        </w:tc>
        <w:tc>
          <w:tcPr>
            <w:tcW w:w="740" w:type="dxa"/>
            <w:vAlign w:val="bottom"/>
            <w:tcBorders>
              <w:bottom w:val="single" w:sz="8" w:color="E5E5E5"/>
              <w:right w:val="single" w:sz="8" w:color="E5E5E5"/>
            </w:tcBorders>
          </w:tcPr>
          <w:p>
            <w:pPr>
              <w:spacing w:after="0"/>
              <w:rPr>
                <w:sz w:val="4"/>
                <w:szCs w:val="4"/>
                <w:color w:val="auto"/>
              </w:rPr>
            </w:pPr>
          </w:p>
        </w:tc>
        <w:tc>
          <w:tcPr>
            <w:tcW w:w="960" w:type="dxa"/>
            <w:vAlign w:val="bottom"/>
            <w:tcBorders>
              <w:bottom w:val="single" w:sz="8" w:color="E5E5E5"/>
              <w:right w:val="single" w:sz="8" w:color="E5E5E5"/>
            </w:tcBorders>
          </w:tcPr>
          <w:p>
            <w:pPr>
              <w:spacing w:after="0"/>
              <w:rPr>
                <w:sz w:val="4"/>
                <w:szCs w:val="4"/>
                <w:color w:val="auto"/>
              </w:rPr>
            </w:pPr>
          </w:p>
        </w:tc>
        <w:tc>
          <w:tcPr>
            <w:tcW w:w="100" w:type="dxa"/>
            <w:vAlign w:val="bottom"/>
            <w:tcBorders>
              <w:bottom w:val="single" w:sz="8" w:color="E5E5E5"/>
            </w:tcBorders>
          </w:tcPr>
          <w:p>
            <w:pPr>
              <w:spacing w:after="0"/>
              <w:rPr>
                <w:sz w:val="4"/>
                <w:szCs w:val="4"/>
                <w:color w:val="auto"/>
              </w:rPr>
            </w:pPr>
          </w:p>
        </w:tc>
        <w:tc>
          <w:tcPr>
            <w:tcW w:w="980" w:type="dxa"/>
            <w:vAlign w:val="bottom"/>
            <w:tcBorders>
              <w:bottom w:val="single" w:sz="8" w:color="E5E5E5"/>
              <w:right w:val="single" w:sz="8" w:color="E5E5E5"/>
            </w:tcBorders>
          </w:tcPr>
          <w:p>
            <w:pPr>
              <w:spacing w:after="0"/>
              <w:rPr>
                <w:sz w:val="4"/>
                <w:szCs w:val="4"/>
                <w:color w:val="auto"/>
              </w:rPr>
            </w:pPr>
          </w:p>
        </w:tc>
        <w:tc>
          <w:tcPr>
            <w:tcW w:w="200" w:type="dxa"/>
            <w:vAlign w:val="bottom"/>
            <w:tcBorders>
              <w:bottom w:val="single" w:sz="8" w:color="E5E5E5"/>
            </w:tcBorders>
          </w:tcPr>
          <w:p>
            <w:pPr>
              <w:spacing w:after="0"/>
              <w:rPr>
                <w:sz w:val="4"/>
                <w:szCs w:val="4"/>
                <w:color w:val="auto"/>
              </w:rPr>
            </w:pPr>
          </w:p>
        </w:tc>
        <w:tc>
          <w:tcPr>
            <w:tcW w:w="920" w:type="dxa"/>
            <w:vAlign w:val="bottom"/>
            <w:tcBorders>
              <w:bottom w:val="single" w:sz="8" w:color="E5E5E5"/>
              <w:right w:val="single" w:sz="8" w:color="E5E5E5"/>
            </w:tcBorders>
          </w:tcPr>
          <w:p>
            <w:pPr>
              <w:spacing w:after="0"/>
              <w:rPr>
                <w:sz w:val="4"/>
                <w:szCs w:val="4"/>
                <w:color w:val="auto"/>
              </w:rPr>
            </w:pPr>
          </w:p>
        </w:tc>
        <w:tc>
          <w:tcPr>
            <w:tcW w:w="140" w:type="dxa"/>
            <w:vAlign w:val="bottom"/>
            <w:tcBorders>
              <w:bottom w:val="single" w:sz="8" w:color="E5E5E5"/>
            </w:tcBorders>
          </w:tcPr>
          <w:p>
            <w:pPr>
              <w:spacing w:after="0"/>
              <w:rPr>
                <w:sz w:val="4"/>
                <w:szCs w:val="4"/>
                <w:color w:val="auto"/>
              </w:rPr>
            </w:pPr>
          </w:p>
        </w:tc>
        <w:tc>
          <w:tcPr>
            <w:tcW w:w="1020" w:type="dxa"/>
            <w:vAlign w:val="bottom"/>
            <w:tcBorders>
              <w:bottom w:val="single" w:sz="8" w:color="E5E5E5"/>
              <w:right w:val="single" w:sz="8" w:color="E5E5E5"/>
            </w:tcBorders>
          </w:tcPr>
          <w:p>
            <w:pPr>
              <w:spacing w:after="0"/>
              <w:rPr>
                <w:sz w:val="4"/>
                <w:szCs w:val="4"/>
                <w:color w:val="auto"/>
              </w:rPr>
            </w:pPr>
          </w:p>
        </w:tc>
        <w:tc>
          <w:tcPr>
            <w:tcW w:w="1040" w:type="dxa"/>
            <w:vAlign w:val="bottom"/>
            <w:tcBorders>
              <w:bottom w:val="single" w:sz="8" w:color="E5E5E5"/>
              <w:right w:val="single" w:sz="8" w:color="E5E5E5"/>
            </w:tcBorders>
          </w:tcPr>
          <w:p>
            <w:pPr>
              <w:spacing w:after="0"/>
              <w:rPr>
                <w:sz w:val="4"/>
                <w:szCs w:val="4"/>
                <w:color w:val="auto"/>
              </w:rPr>
            </w:pPr>
          </w:p>
        </w:tc>
        <w:tc>
          <w:tcPr>
            <w:tcW w:w="760" w:type="dxa"/>
            <w:vAlign w:val="bottom"/>
            <w:tcBorders>
              <w:bottom w:val="single" w:sz="8" w:color="E5E5E5"/>
              <w:right w:val="single" w:sz="8" w:color="E5E5E5"/>
            </w:tcBorders>
          </w:tcPr>
          <w:p>
            <w:pPr>
              <w:spacing w:after="0"/>
              <w:rPr>
                <w:sz w:val="4"/>
                <w:szCs w:val="4"/>
                <w:color w:val="auto"/>
              </w:rPr>
            </w:pPr>
          </w:p>
        </w:tc>
        <w:tc>
          <w:tcPr>
            <w:tcW w:w="1040" w:type="dxa"/>
            <w:vAlign w:val="bottom"/>
            <w:tcBorders>
              <w:bottom w:val="single" w:sz="8" w:color="E5E5E5"/>
              <w:right w:val="single" w:sz="8" w:color="E5E5E5"/>
            </w:tcBorders>
          </w:tcPr>
          <w:p>
            <w:pPr>
              <w:spacing w:after="0"/>
              <w:rPr>
                <w:sz w:val="4"/>
                <w:szCs w:val="4"/>
                <w:color w:val="auto"/>
              </w:rPr>
            </w:pPr>
          </w:p>
        </w:tc>
        <w:tc>
          <w:tcPr>
            <w:tcW w:w="1220" w:type="dxa"/>
            <w:vAlign w:val="bottom"/>
            <w:tcBorders>
              <w:bottom w:val="single" w:sz="8" w:color="E5E5E5"/>
              <w:right w:val="single" w:sz="8" w:color="E5E5E5"/>
            </w:tcBorders>
          </w:tcPr>
          <w:p>
            <w:pPr>
              <w:spacing w:after="0"/>
              <w:rPr>
                <w:sz w:val="4"/>
                <w:szCs w:val="4"/>
                <w:color w:val="auto"/>
              </w:rPr>
            </w:pPr>
          </w:p>
        </w:tc>
        <w:tc>
          <w:tcPr>
            <w:tcW w:w="120" w:type="dxa"/>
            <w:vAlign w:val="bottom"/>
            <w:tcBorders>
              <w:bottom w:val="single" w:sz="8" w:color="E5E5E5"/>
            </w:tcBorders>
          </w:tcPr>
          <w:p>
            <w:pPr>
              <w:spacing w:after="0"/>
              <w:rPr>
                <w:sz w:val="4"/>
                <w:szCs w:val="4"/>
                <w:color w:val="auto"/>
              </w:rPr>
            </w:pPr>
          </w:p>
        </w:tc>
        <w:tc>
          <w:tcPr>
            <w:tcW w:w="1040" w:type="dxa"/>
            <w:vAlign w:val="bottom"/>
            <w:tcBorders>
              <w:bottom w:val="single" w:sz="8" w:color="E5E5E5"/>
              <w:right w:val="single" w:sz="8" w:color="E5E5E5"/>
            </w:tcBorders>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980" w:type="dxa"/>
            <w:vAlign w:val="bottom"/>
            <w:tcBorders>
              <w:left w:val="single" w:sz="8" w:color="E5E5E5"/>
              <w:right w:val="single" w:sz="8" w:color="E5E5E5"/>
            </w:tcBorders>
            <w:vMerge w:val="continue"/>
          </w:tcPr>
          <w:p>
            <w:pPr>
              <w:spacing w:after="0"/>
              <w:rPr>
                <w:sz w:val="12"/>
                <w:szCs w:val="12"/>
                <w:color w:val="auto"/>
              </w:rPr>
            </w:pPr>
          </w:p>
        </w:tc>
        <w:tc>
          <w:tcPr>
            <w:tcW w:w="740" w:type="dxa"/>
            <w:vAlign w:val="bottom"/>
            <w:tcBorders>
              <w:right w:val="single" w:sz="8" w:color="E5E5E5"/>
            </w:tcBorders>
            <w:vMerge w:val="restart"/>
          </w:tcPr>
          <w:p>
            <w:pPr>
              <w:jc w:val="right"/>
              <w:spacing w:after="0"/>
              <w:rPr>
                <w:sz w:val="20"/>
                <w:szCs w:val="20"/>
                <w:color w:val="auto"/>
              </w:rPr>
            </w:pPr>
            <w:r>
              <w:rPr>
                <w:rFonts w:ascii="Arial" w:cs="Arial" w:eastAsia="Arial" w:hAnsi="Arial"/>
                <w:sz w:val="16"/>
                <w:szCs w:val="16"/>
                <w:color w:val="auto"/>
              </w:rPr>
              <w:t>2/20/24</w:t>
            </w:r>
          </w:p>
        </w:tc>
        <w:tc>
          <w:tcPr>
            <w:tcW w:w="960" w:type="dxa"/>
            <w:vAlign w:val="bottom"/>
            <w:tcBorders>
              <w:right w:val="single" w:sz="8" w:color="E5E5E5"/>
            </w:tcBorders>
            <w:vMerge w:val="restart"/>
          </w:tcPr>
          <w:p>
            <w:pPr>
              <w:jc w:val="right"/>
              <w:spacing w:after="0"/>
              <w:rPr>
                <w:sz w:val="20"/>
                <w:szCs w:val="20"/>
                <w:color w:val="auto"/>
              </w:rPr>
            </w:pPr>
            <w:r>
              <w:rPr>
                <w:rFonts w:ascii="Arial" w:cs="Arial" w:eastAsia="Arial" w:hAnsi="Arial"/>
                <w:sz w:val="16"/>
                <w:szCs w:val="16"/>
                <w:color w:val="auto"/>
              </w:rPr>
              <w:t>2/12/24</w:t>
            </w:r>
          </w:p>
        </w:tc>
        <w:tc>
          <w:tcPr>
            <w:tcW w:w="100" w:type="dxa"/>
            <w:vAlign w:val="bottom"/>
          </w:tcPr>
          <w:p>
            <w:pPr>
              <w:spacing w:after="0"/>
              <w:rPr>
                <w:sz w:val="12"/>
                <w:szCs w:val="12"/>
                <w:color w:val="auto"/>
              </w:rPr>
            </w:pPr>
          </w:p>
        </w:tc>
        <w:tc>
          <w:tcPr>
            <w:tcW w:w="980" w:type="dxa"/>
            <w:vAlign w:val="bottom"/>
            <w:tcBorders>
              <w:right w:val="single" w:sz="8" w:color="E5E5E5"/>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right w:val="single" w:sz="8" w:color="E5E5E5"/>
            </w:tcBorders>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Borders>
              <w:right w:val="single" w:sz="8" w:color="E5E5E5"/>
            </w:tcBorders>
          </w:tcPr>
          <w:p>
            <w:pPr>
              <w:spacing w:after="0"/>
              <w:rPr>
                <w:sz w:val="12"/>
                <w:szCs w:val="12"/>
                <w:color w:val="auto"/>
              </w:rPr>
            </w:pPr>
          </w:p>
        </w:tc>
        <w:tc>
          <w:tcPr>
            <w:tcW w:w="1040" w:type="dxa"/>
            <w:vAlign w:val="bottom"/>
            <w:tcBorders>
              <w:right w:val="single" w:sz="8" w:color="E5E5E5"/>
            </w:tcBorders>
          </w:tcPr>
          <w:p>
            <w:pPr>
              <w:spacing w:after="0"/>
              <w:rPr>
                <w:sz w:val="12"/>
                <w:szCs w:val="12"/>
                <w:color w:val="auto"/>
              </w:rPr>
            </w:pPr>
          </w:p>
        </w:tc>
        <w:tc>
          <w:tcPr>
            <w:tcW w:w="760" w:type="dxa"/>
            <w:vAlign w:val="bottom"/>
            <w:tcBorders>
              <w:right w:val="single" w:sz="8" w:color="E5E5E5"/>
            </w:tcBorders>
          </w:tcPr>
          <w:p>
            <w:pPr>
              <w:spacing w:after="0"/>
              <w:rPr>
                <w:sz w:val="12"/>
                <w:szCs w:val="12"/>
                <w:color w:val="auto"/>
              </w:rPr>
            </w:pPr>
          </w:p>
        </w:tc>
        <w:tc>
          <w:tcPr>
            <w:tcW w:w="1040" w:type="dxa"/>
            <w:vAlign w:val="bottom"/>
            <w:tcBorders>
              <w:right w:val="single" w:sz="8" w:color="E5E5E5"/>
            </w:tcBorders>
          </w:tcPr>
          <w:p>
            <w:pPr>
              <w:spacing w:after="0"/>
              <w:rPr>
                <w:sz w:val="12"/>
                <w:szCs w:val="12"/>
                <w:color w:val="auto"/>
              </w:rPr>
            </w:pPr>
          </w:p>
        </w:tc>
        <w:tc>
          <w:tcPr>
            <w:tcW w:w="1220" w:type="dxa"/>
            <w:vAlign w:val="bottom"/>
            <w:tcBorders>
              <w:right w:val="single" w:sz="8" w:color="E5E5E5"/>
            </w:tcBorders>
            <w:vMerge w:val="restart"/>
          </w:tcPr>
          <w:p>
            <w:pPr>
              <w:jc w:val="right"/>
              <w:spacing w:after="0"/>
              <w:rPr>
                <w:sz w:val="20"/>
                <w:szCs w:val="20"/>
                <w:color w:val="auto"/>
              </w:rPr>
            </w:pPr>
            <w:r>
              <w:rPr>
                <w:rFonts w:ascii="Arial" w:cs="Arial" w:eastAsia="Arial" w:hAnsi="Arial"/>
                <w:sz w:val="16"/>
                <w:szCs w:val="16"/>
                <w:color w:val="auto"/>
              </w:rPr>
              <w:t>1,844</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right w:val="single" w:sz="8" w:color="E5E5E5"/>
            </w:tcBorders>
            <w:vMerge w:val="restart"/>
          </w:tcPr>
          <w:p>
            <w:pPr>
              <w:jc w:val="right"/>
              <w:ind w:right="23"/>
              <w:spacing w:after="0"/>
              <w:rPr>
                <w:sz w:val="20"/>
                <w:szCs w:val="20"/>
                <w:color w:val="auto"/>
              </w:rPr>
            </w:pPr>
            <w:r>
              <w:rPr>
                <w:rFonts w:ascii="Arial" w:cs="Arial" w:eastAsia="Arial" w:hAnsi="Arial"/>
                <w:sz w:val="16"/>
                <w:szCs w:val="16"/>
                <w:color w:val="auto"/>
              </w:rPr>
              <w:t>399,945</w:t>
            </w:r>
          </w:p>
        </w:tc>
        <w:tc>
          <w:tcPr>
            <w:tcW w:w="0" w:type="dxa"/>
            <w:vAlign w:val="bottom"/>
          </w:tcPr>
          <w:p>
            <w:pPr>
              <w:spacing w:after="0"/>
              <w:rPr>
                <w:sz w:val="1"/>
                <w:szCs w:val="1"/>
                <w:color w:val="auto"/>
              </w:rPr>
            </w:pPr>
          </w:p>
        </w:tc>
      </w:tr>
      <w:tr>
        <w:trPr>
          <w:trHeight w:val="95"/>
        </w:trPr>
        <w:tc>
          <w:tcPr>
            <w:tcW w:w="980" w:type="dxa"/>
            <w:vAlign w:val="bottom"/>
            <w:tcBorders>
              <w:left w:val="single" w:sz="8" w:color="E5E5E5"/>
              <w:right w:val="single" w:sz="8" w:color="E5E5E5"/>
            </w:tcBorders>
          </w:tcPr>
          <w:p>
            <w:pPr>
              <w:spacing w:after="0"/>
              <w:rPr>
                <w:sz w:val="8"/>
                <w:szCs w:val="8"/>
                <w:color w:val="auto"/>
              </w:rPr>
            </w:pPr>
          </w:p>
        </w:tc>
        <w:tc>
          <w:tcPr>
            <w:tcW w:w="740" w:type="dxa"/>
            <w:vAlign w:val="bottom"/>
            <w:tcBorders>
              <w:bottom w:val="single" w:sz="8" w:color="E5E5E5"/>
              <w:right w:val="single" w:sz="8" w:color="E5E5E5"/>
            </w:tcBorders>
            <w:vMerge w:val="continue"/>
          </w:tcPr>
          <w:p>
            <w:pPr>
              <w:spacing w:after="0"/>
              <w:rPr>
                <w:sz w:val="8"/>
                <w:szCs w:val="8"/>
                <w:color w:val="auto"/>
              </w:rPr>
            </w:pPr>
          </w:p>
        </w:tc>
        <w:tc>
          <w:tcPr>
            <w:tcW w:w="960" w:type="dxa"/>
            <w:vAlign w:val="bottom"/>
            <w:tcBorders>
              <w:bottom w:val="single" w:sz="8" w:color="E5E5E5"/>
              <w:right w:val="single" w:sz="8" w:color="E5E5E5"/>
            </w:tcBorders>
            <w:vMerge w:val="continue"/>
          </w:tcPr>
          <w:p>
            <w:pPr>
              <w:spacing w:after="0"/>
              <w:rPr>
                <w:sz w:val="8"/>
                <w:szCs w:val="8"/>
                <w:color w:val="auto"/>
              </w:rPr>
            </w:pPr>
          </w:p>
        </w:tc>
        <w:tc>
          <w:tcPr>
            <w:tcW w:w="100" w:type="dxa"/>
            <w:vAlign w:val="bottom"/>
            <w:tcBorders>
              <w:bottom w:val="single" w:sz="8" w:color="E5E5E5"/>
            </w:tcBorders>
          </w:tcPr>
          <w:p>
            <w:pPr>
              <w:spacing w:after="0"/>
              <w:rPr>
                <w:sz w:val="8"/>
                <w:szCs w:val="8"/>
                <w:color w:val="auto"/>
              </w:rPr>
            </w:pPr>
          </w:p>
        </w:tc>
        <w:tc>
          <w:tcPr>
            <w:tcW w:w="980" w:type="dxa"/>
            <w:vAlign w:val="bottom"/>
            <w:tcBorders>
              <w:bottom w:val="single" w:sz="8" w:color="E5E5E5"/>
              <w:right w:val="single" w:sz="8" w:color="E5E5E5"/>
            </w:tcBorders>
          </w:tcPr>
          <w:p>
            <w:pPr>
              <w:spacing w:after="0"/>
              <w:rPr>
                <w:sz w:val="8"/>
                <w:szCs w:val="8"/>
                <w:color w:val="auto"/>
              </w:rPr>
            </w:pPr>
          </w:p>
        </w:tc>
        <w:tc>
          <w:tcPr>
            <w:tcW w:w="200" w:type="dxa"/>
            <w:vAlign w:val="bottom"/>
            <w:tcBorders>
              <w:bottom w:val="single" w:sz="8" w:color="E5E5E5"/>
            </w:tcBorders>
          </w:tcPr>
          <w:p>
            <w:pPr>
              <w:spacing w:after="0"/>
              <w:rPr>
                <w:sz w:val="8"/>
                <w:szCs w:val="8"/>
                <w:color w:val="auto"/>
              </w:rPr>
            </w:pPr>
          </w:p>
        </w:tc>
        <w:tc>
          <w:tcPr>
            <w:tcW w:w="920" w:type="dxa"/>
            <w:vAlign w:val="bottom"/>
            <w:tcBorders>
              <w:bottom w:val="single" w:sz="8" w:color="E5E5E5"/>
              <w:right w:val="single" w:sz="8" w:color="E5E5E5"/>
            </w:tcBorders>
          </w:tcPr>
          <w:p>
            <w:pPr>
              <w:spacing w:after="0"/>
              <w:rPr>
                <w:sz w:val="8"/>
                <w:szCs w:val="8"/>
                <w:color w:val="auto"/>
              </w:rPr>
            </w:pPr>
          </w:p>
        </w:tc>
        <w:tc>
          <w:tcPr>
            <w:tcW w:w="140" w:type="dxa"/>
            <w:vAlign w:val="bottom"/>
            <w:tcBorders>
              <w:bottom w:val="single" w:sz="8" w:color="E5E5E5"/>
            </w:tcBorders>
          </w:tcPr>
          <w:p>
            <w:pPr>
              <w:spacing w:after="0"/>
              <w:rPr>
                <w:sz w:val="8"/>
                <w:szCs w:val="8"/>
                <w:color w:val="auto"/>
              </w:rPr>
            </w:pPr>
          </w:p>
        </w:tc>
        <w:tc>
          <w:tcPr>
            <w:tcW w:w="1020" w:type="dxa"/>
            <w:vAlign w:val="bottom"/>
            <w:tcBorders>
              <w:bottom w:val="single" w:sz="8" w:color="E5E5E5"/>
              <w:right w:val="single" w:sz="8" w:color="E5E5E5"/>
            </w:tcBorders>
          </w:tcPr>
          <w:p>
            <w:pPr>
              <w:spacing w:after="0"/>
              <w:rPr>
                <w:sz w:val="8"/>
                <w:szCs w:val="8"/>
                <w:color w:val="auto"/>
              </w:rPr>
            </w:pPr>
          </w:p>
        </w:tc>
        <w:tc>
          <w:tcPr>
            <w:tcW w:w="1040" w:type="dxa"/>
            <w:vAlign w:val="bottom"/>
            <w:tcBorders>
              <w:bottom w:val="single" w:sz="8" w:color="E5E5E5"/>
              <w:right w:val="single" w:sz="8" w:color="E5E5E5"/>
            </w:tcBorders>
          </w:tcPr>
          <w:p>
            <w:pPr>
              <w:spacing w:after="0"/>
              <w:rPr>
                <w:sz w:val="8"/>
                <w:szCs w:val="8"/>
                <w:color w:val="auto"/>
              </w:rPr>
            </w:pPr>
          </w:p>
        </w:tc>
        <w:tc>
          <w:tcPr>
            <w:tcW w:w="760" w:type="dxa"/>
            <w:vAlign w:val="bottom"/>
            <w:tcBorders>
              <w:bottom w:val="single" w:sz="8" w:color="E5E5E5"/>
              <w:right w:val="single" w:sz="8" w:color="E5E5E5"/>
            </w:tcBorders>
          </w:tcPr>
          <w:p>
            <w:pPr>
              <w:spacing w:after="0"/>
              <w:rPr>
                <w:sz w:val="8"/>
                <w:szCs w:val="8"/>
                <w:color w:val="auto"/>
              </w:rPr>
            </w:pPr>
          </w:p>
        </w:tc>
        <w:tc>
          <w:tcPr>
            <w:tcW w:w="1040" w:type="dxa"/>
            <w:vAlign w:val="bottom"/>
            <w:tcBorders>
              <w:bottom w:val="single" w:sz="8" w:color="E5E5E5"/>
              <w:right w:val="single" w:sz="8" w:color="E5E5E5"/>
            </w:tcBorders>
          </w:tcPr>
          <w:p>
            <w:pPr>
              <w:spacing w:after="0"/>
              <w:rPr>
                <w:sz w:val="8"/>
                <w:szCs w:val="8"/>
                <w:color w:val="auto"/>
              </w:rPr>
            </w:pPr>
          </w:p>
        </w:tc>
        <w:tc>
          <w:tcPr>
            <w:tcW w:w="1220" w:type="dxa"/>
            <w:vAlign w:val="bottom"/>
            <w:tcBorders>
              <w:bottom w:val="single" w:sz="8" w:color="E5E5E5"/>
              <w:right w:val="single" w:sz="8" w:color="E5E5E5"/>
            </w:tcBorders>
            <w:vMerge w:val="continue"/>
          </w:tcPr>
          <w:p>
            <w:pPr>
              <w:spacing w:after="0"/>
              <w:rPr>
                <w:sz w:val="8"/>
                <w:szCs w:val="8"/>
                <w:color w:val="auto"/>
              </w:rPr>
            </w:pPr>
          </w:p>
        </w:tc>
        <w:tc>
          <w:tcPr>
            <w:tcW w:w="120" w:type="dxa"/>
            <w:vAlign w:val="bottom"/>
            <w:tcBorders>
              <w:bottom w:val="single" w:sz="8" w:color="E5E5E5"/>
            </w:tcBorders>
            <w:vMerge w:val="continue"/>
          </w:tcPr>
          <w:p>
            <w:pPr>
              <w:spacing w:after="0"/>
              <w:rPr>
                <w:sz w:val="8"/>
                <w:szCs w:val="8"/>
                <w:color w:val="auto"/>
              </w:rPr>
            </w:pPr>
          </w:p>
        </w:tc>
        <w:tc>
          <w:tcPr>
            <w:tcW w:w="1040" w:type="dxa"/>
            <w:vAlign w:val="bottom"/>
            <w:tcBorders>
              <w:bottom w:val="single" w:sz="8" w:color="E5E5E5"/>
              <w:right w:val="single" w:sz="8" w:color="E5E5E5"/>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6"/>
        </w:trPr>
        <w:tc>
          <w:tcPr>
            <w:tcW w:w="980" w:type="dxa"/>
            <w:vAlign w:val="bottom"/>
            <w:tcBorders>
              <w:left w:val="single" w:sz="8" w:color="E5E5E5"/>
              <w:right w:val="single" w:sz="8" w:color="E5E5E5"/>
            </w:tcBorders>
          </w:tcPr>
          <w:p>
            <w:pPr>
              <w:spacing w:after="0"/>
              <w:rPr>
                <w:sz w:val="20"/>
                <w:szCs w:val="20"/>
                <w:color w:val="auto"/>
              </w:rPr>
            </w:pPr>
          </w:p>
        </w:tc>
        <w:tc>
          <w:tcPr>
            <w:tcW w:w="740" w:type="dxa"/>
            <w:vAlign w:val="bottom"/>
            <w:tcBorders>
              <w:right w:val="single" w:sz="8" w:color="E5E5E5"/>
            </w:tcBorders>
          </w:tcPr>
          <w:p>
            <w:pPr>
              <w:jc w:val="right"/>
              <w:spacing w:after="0"/>
              <w:rPr>
                <w:sz w:val="20"/>
                <w:szCs w:val="20"/>
                <w:color w:val="auto"/>
              </w:rPr>
            </w:pPr>
            <w:r>
              <w:rPr>
                <w:rFonts w:ascii="Arial" w:cs="Arial" w:eastAsia="Arial" w:hAnsi="Arial"/>
                <w:sz w:val="16"/>
                <w:szCs w:val="16"/>
                <w:color w:val="auto"/>
              </w:rPr>
              <w:t>2/20/24</w:t>
            </w:r>
          </w:p>
        </w:tc>
        <w:tc>
          <w:tcPr>
            <w:tcW w:w="960" w:type="dxa"/>
            <w:vAlign w:val="bottom"/>
            <w:tcBorders>
              <w:right w:val="single" w:sz="8" w:color="E5E5E5"/>
            </w:tcBorders>
          </w:tcPr>
          <w:p>
            <w:pPr>
              <w:jc w:val="right"/>
              <w:spacing w:after="0"/>
              <w:rPr>
                <w:sz w:val="20"/>
                <w:szCs w:val="20"/>
                <w:color w:val="auto"/>
              </w:rPr>
            </w:pPr>
            <w:r>
              <w:rPr>
                <w:rFonts w:ascii="Arial" w:cs="Arial" w:eastAsia="Arial" w:hAnsi="Arial"/>
                <w:sz w:val="16"/>
                <w:szCs w:val="16"/>
                <w:color w:val="auto"/>
              </w:rPr>
              <w:t>2/12/24</w:t>
            </w:r>
          </w:p>
        </w:tc>
        <w:tc>
          <w:tcPr>
            <w:tcW w:w="100" w:type="dxa"/>
            <w:vAlign w:val="bottom"/>
          </w:tcPr>
          <w:p>
            <w:pPr>
              <w:spacing w:after="0"/>
              <w:rPr>
                <w:sz w:val="20"/>
                <w:szCs w:val="20"/>
                <w:color w:val="auto"/>
              </w:rPr>
            </w:pPr>
          </w:p>
        </w:tc>
        <w:tc>
          <w:tcPr>
            <w:tcW w:w="980" w:type="dxa"/>
            <w:vAlign w:val="bottom"/>
            <w:tcBorders>
              <w:right w:val="single" w:sz="8" w:color="E5E5E5"/>
            </w:tcBorders>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Borders>
              <w:right w:val="single" w:sz="8" w:color="E5E5E5"/>
            </w:tcBorders>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Borders>
              <w:right w:val="single" w:sz="8" w:color="E5E5E5"/>
            </w:tcBorders>
          </w:tcPr>
          <w:p>
            <w:pPr>
              <w:spacing w:after="0"/>
              <w:rPr>
                <w:sz w:val="20"/>
                <w:szCs w:val="20"/>
                <w:color w:val="auto"/>
              </w:rPr>
            </w:pPr>
          </w:p>
        </w:tc>
        <w:tc>
          <w:tcPr>
            <w:tcW w:w="1040" w:type="dxa"/>
            <w:vAlign w:val="bottom"/>
            <w:tcBorders>
              <w:right w:val="single" w:sz="8" w:color="E5E5E5"/>
            </w:tcBorders>
          </w:tcPr>
          <w:p>
            <w:pPr>
              <w:jc w:val="right"/>
              <w:spacing w:after="0"/>
              <w:rPr>
                <w:sz w:val="20"/>
                <w:szCs w:val="20"/>
                <w:color w:val="auto"/>
              </w:rPr>
            </w:pPr>
            <w:r>
              <w:rPr>
                <w:rFonts w:ascii="Arial" w:cs="Arial" w:eastAsia="Arial" w:hAnsi="Arial"/>
                <w:sz w:val="16"/>
                <w:szCs w:val="16"/>
                <w:color w:val="auto"/>
              </w:rPr>
              <w:t>1,384</w:t>
            </w:r>
          </w:p>
        </w:tc>
        <w:tc>
          <w:tcPr>
            <w:tcW w:w="760" w:type="dxa"/>
            <w:vAlign w:val="bottom"/>
            <w:tcBorders>
              <w:right w:val="single" w:sz="8" w:color="E5E5E5"/>
            </w:tcBorders>
          </w:tcPr>
          <w:p>
            <w:pPr>
              <w:jc w:val="right"/>
              <w:spacing w:after="0"/>
              <w:rPr>
                <w:sz w:val="20"/>
                <w:szCs w:val="20"/>
                <w:color w:val="auto"/>
              </w:rPr>
            </w:pPr>
            <w:r>
              <w:rPr>
                <w:rFonts w:ascii="Arial" w:cs="Arial" w:eastAsia="Arial" w:hAnsi="Arial"/>
                <w:sz w:val="16"/>
                <w:szCs w:val="16"/>
                <w:color w:val="auto"/>
              </w:rPr>
              <w:t>2,767</w:t>
            </w:r>
          </w:p>
        </w:tc>
        <w:tc>
          <w:tcPr>
            <w:tcW w:w="1040" w:type="dxa"/>
            <w:vAlign w:val="bottom"/>
            <w:tcBorders>
              <w:right w:val="single" w:sz="8" w:color="E5E5E5"/>
            </w:tcBorders>
          </w:tcPr>
          <w:p>
            <w:pPr>
              <w:jc w:val="right"/>
              <w:spacing w:after="0"/>
              <w:rPr>
                <w:sz w:val="20"/>
                <w:szCs w:val="20"/>
                <w:color w:val="auto"/>
              </w:rPr>
            </w:pPr>
            <w:r>
              <w:rPr>
                <w:rFonts w:ascii="Arial" w:cs="Arial" w:eastAsia="Arial" w:hAnsi="Arial"/>
                <w:sz w:val="16"/>
                <w:szCs w:val="16"/>
                <w:color w:val="auto"/>
              </w:rPr>
              <w:t>4,151</w:t>
            </w:r>
          </w:p>
        </w:tc>
        <w:tc>
          <w:tcPr>
            <w:tcW w:w="1220" w:type="dxa"/>
            <w:vAlign w:val="bottom"/>
            <w:tcBorders>
              <w:right w:val="single" w:sz="8" w:color="E5E5E5"/>
            </w:tcBorders>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right w:val="single" w:sz="8" w:color="E5E5E5"/>
            </w:tcBorders>
          </w:tcPr>
          <w:p>
            <w:pPr>
              <w:jc w:val="right"/>
              <w:ind w:right="23"/>
              <w:spacing w:after="0"/>
              <w:rPr>
                <w:sz w:val="20"/>
                <w:szCs w:val="20"/>
                <w:color w:val="auto"/>
              </w:rPr>
            </w:pPr>
            <w:r>
              <w:rPr>
                <w:rFonts w:ascii="Arial" w:cs="Arial" w:eastAsia="Arial" w:hAnsi="Arial"/>
                <w:sz w:val="16"/>
                <w:szCs w:val="16"/>
                <w:color w:val="auto"/>
              </w:rPr>
              <w:t>600,135</w:t>
            </w:r>
          </w:p>
        </w:tc>
        <w:tc>
          <w:tcPr>
            <w:tcW w:w="0" w:type="dxa"/>
            <w:vAlign w:val="bottom"/>
          </w:tcPr>
          <w:p>
            <w:pPr>
              <w:spacing w:after="0"/>
              <w:rPr>
                <w:sz w:val="1"/>
                <w:szCs w:val="1"/>
                <w:color w:val="auto"/>
              </w:rPr>
            </w:pPr>
          </w:p>
        </w:tc>
      </w:tr>
      <w:tr>
        <w:trPr>
          <w:trHeight w:val="264"/>
        </w:trPr>
        <w:tc>
          <w:tcPr>
            <w:tcW w:w="980" w:type="dxa"/>
            <w:vAlign w:val="bottom"/>
            <w:tcBorders>
              <w:left w:val="single" w:sz="8" w:color="E5E5E5"/>
              <w:right w:val="single" w:sz="8" w:color="E5E5E5"/>
            </w:tcBorders>
            <w:shd w:val="clear" w:color="auto" w:fill="DBDBDB"/>
          </w:tcPr>
          <w:p>
            <w:pPr>
              <w:ind w:left="40"/>
              <w:spacing w:after="0"/>
              <w:rPr>
                <w:sz w:val="20"/>
                <w:szCs w:val="20"/>
                <w:color w:val="auto"/>
              </w:rPr>
            </w:pPr>
            <w:r>
              <w:rPr>
                <w:rFonts w:ascii="Arial" w:cs="Arial" w:eastAsia="Arial" w:hAnsi="Arial"/>
                <w:sz w:val="16"/>
                <w:szCs w:val="16"/>
                <w:color w:val="auto"/>
              </w:rPr>
              <w:t>Daniel Clara</w:t>
            </w:r>
          </w:p>
        </w:tc>
        <w:tc>
          <w:tcPr>
            <w:tcW w:w="740" w:type="dxa"/>
            <w:vAlign w:val="bottom"/>
            <w:tcBorders>
              <w:right w:val="single" w:sz="8" w:color="E5E5E5"/>
            </w:tcBorders>
            <w:shd w:val="clear" w:color="auto" w:fill="DBDBDB"/>
          </w:tcPr>
          <w:p>
            <w:pPr>
              <w:jc w:val="right"/>
              <w:spacing w:after="0"/>
              <w:rPr>
                <w:sz w:val="20"/>
                <w:szCs w:val="20"/>
                <w:color w:val="auto"/>
              </w:rPr>
            </w:pPr>
            <w:r>
              <w:rPr>
                <w:rFonts w:ascii="Arial" w:cs="Arial" w:eastAsia="Arial" w:hAnsi="Arial"/>
                <w:sz w:val="16"/>
                <w:szCs w:val="16"/>
                <w:color w:val="auto"/>
              </w:rPr>
              <w:t>2/12/24</w:t>
            </w:r>
          </w:p>
        </w:tc>
        <w:tc>
          <w:tcPr>
            <w:tcW w:w="960" w:type="dxa"/>
            <w:vAlign w:val="bottom"/>
            <w:tcBorders>
              <w:right w:val="single" w:sz="8" w:color="E5E5E5"/>
            </w:tcBorders>
            <w:shd w:val="clear" w:color="auto" w:fill="DBDBDB"/>
          </w:tcPr>
          <w:p>
            <w:pPr>
              <w:jc w:val="right"/>
              <w:spacing w:after="0"/>
              <w:rPr>
                <w:sz w:val="20"/>
                <w:szCs w:val="20"/>
                <w:color w:val="auto"/>
              </w:rPr>
            </w:pPr>
            <w:r>
              <w:rPr>
                <w:rFonts w:ascii="Arial" w:cs="Arial" w:eastAsia="Arial" w:hAnsi="Arial"/>
                <w:sz w:val="16"/>
                <w:szCs w:val="16"/>
                <w:color w:val="auto"/>
              </w:rPr>
              <w:t>2/12/24</w:t>
            </w:r>
          </w:p>
        </w:tc>
        <w:tc>
          <w:tcPr>
            <w:tcW w:w="10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right w:val="single" w:sz="8" w:color="E5E5E5"/>
            </w:tcBorders>
            <w:shd w:val="clear" w:color="auto" w:fill="DBDBDB"/>
          </w:tcPr>
          <w:p>
            <w:pPr>
              <w:jc w:val="right"/>
              <w:ind w:right="20"/>
              <w:spacing w:after="0"/>
              <w:rPr>
                <w:sz w:val="20"/>
                <w:szCs w:val="20"/>
                <w:color w:val="auto"/>
              </w:rPr>
            </w:pPr>
            <w:r>
              <w:rPr>
                <w:rFonts w:ascii="Arial" w:cs="Arial" w:eastAsia="Arial" w:hAnsi="Arial"/>
                <w:sz w:val="16"/>
                <w:szCs w:val="16"/>
                <w:color w:val="auto"/>
              </w:rPr>
              <w:t>318,750</w:t>
            </w:r>
          </w:p>
        </w:tc>
        <w:tc>
          <w:tcPr>
            <w:tcW w:w="20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right w:val="single" w:sz="8" w:color="E5E5E5"/>
            </w:tcBorders>
            <w:shd w:val="clear" w:color="auto" w:fill="DBDBDB"/>
          </w:tcPr>
          <w:p>
            <w:pPr>
              <w:jc w:val="right"/>
              <w:ind w:right="19"/>
              <w:spacing w:after="0"/>
              <w:rPr>
                <w:sz w:val="20"/>
                <w:szCs w:val="20"/>
                <w:color w:val="auto"/>
              </w:rPr>
            </w:pPr>
            <w:r>
              <w:rPr>
                <w:rFonts w:ascii="Arial" w:cs="Arial" w:eastAsia="Arial" w:hAnsi="Arial"/>
                <w:sz w:val="16"/>
                <w:szCs w:val="16"/>
                <w:color w:val="auto"/>
              </w:rPr>
              <w:t>637,500</w:t>
            </w: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right w:val="single" w:sz="8" w:color="E5E5E5"/>
            </w:tcBorders>
            <w:shd w:val="clear" w:color="auto" w:fill="DBDBDB"/>
          </w:tcPr>
          <w:p>
            <w:pPr>
              <w:jc w:val="right"/>
              <w:ind w:right="19"/>
              <w:spacing w:after="0"/>
              <w:rPr>
                <w:sz w:val="20"/>
                <w:szCs w:val="20"/>
                <w:color w:val="auto"/>
              </w:rPr>
            </w:pPr>
            <w:r>
              <w:rPr>
                <w:rFonts w:ascii="Arial" w:cs="Arial" w:eastAsia="Arial" w:hAnsi="Arial"/>
                <w:sz w:val="16"/>
                <w:szCs w:val="16"/>
                <w:color w:val="auto"/>
              </w:rPr>
              <w:t>1,275,000</w:t>
            </w:r>
          </w:p>
        </w:tc>
        <w:tc>
          <w:tcPr>
            <w:tcW w:w="1040" w:type="dxa"/>
            <w:vAlign w:val="bottom"/>
            <w:tcBorders>
              <w:right w:val="single" w:sz="8" w:color="E5E5E5"/>
            </w:tcBorders>
            <w:shd w:val="clear" w:color="auto" w:fill="DBDBDB"/>
          </w:tcPr>
          <w:p>
            <w:pPr>
              <w:spacing w:after="0"/>
              <w:rPr>
                <w:sz w:val="22"/>
                <w:szCs w:val="22"/>
                <w:color w:val="auto"/>
              </w:rPr>
            </w:pPr>
          </w:p>
        </w:tc>
        <w:tc>
          <w:tcPr>
            <w:tcW w:w="760" w:type="dxa"/>
            <w:vAlign w:val="bottom"/>
            <w:tcBorders>
              <w:right w:val="single" w:sz="8" w:color="E5E5E5"/>
            </w:tcBorders>
            <w:shd w:val="clear" w:color="auto" w:fill="DBDBDB"/>
          </w:tcPr>
          <w:p>
            <w:pPr>
              <w:spacing w:after="0"/>
              <w:rPr>
                <w:sz w:val="22"/>
                <w:szCs w:val="22"/>
                <w:color w:val="auto"/>
              </w:rPr>
            </w:pPr>
          </w:p>
        </w:tc>
        <w:tc>
          <w:tcPr>
            <w:tcW w:w="1040" w:type="dxa"/>
            <w:vAlign w:val="bottom"/>
            <w:tcBorders>
              <w:right w:val="single" w:sz="8" w:color="E5E5E5"/>
            </w:tcBorders>
            <w:shd w:val="clear" w:color="auto" w:fill="DBDBDB"/>
          </w:tcPr>
          <w:p>
            <w:pPr>
              <w:spacing w:after="0"/>
              <w:rPr>
                <w:sz w:val="22"/>
                <w:szCs w:val="22"/>
                <w:color w:val="auto"/>
              </w:rPr>
            </w:pPr>
          </w:p>
        </w:tc>
        <w:tc>
          <w:tcPr>
            <w:tcW w:w="1220" w:type="dxa"/>
            <w:vAlign w:val="bottom"/>
            <w:tcBorders>
              <w:right w:val="single" w:sz="8" w:color="E5E5E5"/>
            </w:tcBorders>
            <w:shd w:val="clear" w:color="auto" w:fill="DBDBDB"/>
          </w:tcPr>
          <w:p>
            <w:pPr>
              <w:spacing w:after="0"/>
              <w:rPr>
                <w:sz w:val="22"/>
                <w:szCs w:val="22"/>
                <w:color w:val="auto"/>
              </w:rPr>
            </w:pPr>
          </w:p>
        </w:tc>
        <w:tc>
          <w:tcPr>
            <w:tcW w:w="120" w:type="dxa"/>
            <w:vAlign w:val="bottom"/>
            <w:shd w:val="clear" w:color="auto" w:fill="DBDBDB"/>
          </w:tcPr>
          <w:p>
            <w:pPr>
              <w:spacing w:after="0"/>
              <w:rPr>
                <w:sz w:val="22"/>
                <w:szCs w:val="22"/>
                <w:color w:val="auto"/>
              </w:rPr>
            </w:pPr>
          </w:p>
        </w:tc>
        <w:tc>
          <w:tcPr>
            <w:tcW w:w="1040" w:type="dxa"/>
            <w:vAlign w:val="bottom"/>
            <w:tcBorders>
              <w:right w:val="single" w:sz="8" w:color="E5E5E5"/>
            </w:tcBorders>
            <w:shd w:val="clear" w:color="auto" w:fill="DBDBDB"/>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980" w:type="dxa"/>
            <w:vAlign w:val="bottom"/>
            <w:tcBorders>
              <w:left w:val="single" w:sz="8" w:color="E5E5E5"/>
              <w:right w:val="single" w:sz="8" w:color="E5E5E5"/>
            </w:tcBorders>
            <w:shd w:val="clear" w:color="auto" w:fill="DBDBDB"/>
          </w:tcPr>
          <w:p>
            <w:pPr>
              <w:spacing w:after="0"/>
              <w:rPr>
                <w:sz w:val="22"/>
                <w:szCs w:val="22"/>
                <w:color w:val="auto"/>
              </w:rPr>
            </w:pPr>
          </w:p>
        </w:tc>
        <w:tc>
          <w:tcPr>
            <w:tcW w:w="740" w:type="dxa"/>
            <w:vAlign w:val="bottom"/>
            <w:tcBorders>
              <w:right w:val="single" w:sz="8" w:color="E5E5E5"/>
            </w:tcBorders>
            <w:shd w:val="clear" w:color="auto" w:fill="DBDBDB"/>
          </w:tcPr>
          <w:p>
            <w:pPr>
              <w:jc w:val="right"/>
              <w:spacing w:after="0"/>
              <w:rPr>
                <w:sz w:val="20"/>
                <w:szCs w:val="20"/>
                <w:color w:val="auto"/>
              </w:rPr>
            </w:pPr>
            <w:r>
              <w:rPr>
                <w:rFonts w:ascii="Arial" w:cs="Arial" w:eastAsia="Arial" w:hAnsi="Arial"/>
                <w:sz w:val="16"/>
                <w:szCs w:val="16"/>
                <w:color w:val="auto"/>
              </w:rPr>
              <w:t>2/20/24</w:t>
            </w:r>
          </w:p>
        </w:tc>
        <w:tc>
          <w:tcPr>
            <w:tcW w:w="960" w:type="dxa"/>
            <w:vAlign w:val="bottom"/>
            <w:tcBorders>
              <w:right w:val="single" w:sz="8" w:color="E5E5E5"/>
            </w:tcBorders>
            <w:shd w:val="clear" w:color="auto" w:fill="DBDBDB"/>
          </w:tcPr>
          <w:p>
            <w:pPr>
              <w:jc w:val="right"/>
              <w:spacing w:after="0"/>
              <w:rPr>
                <w:sz w:val="20"/>
                <w:szCs w:val="20"/>
                <w:color w:val="auto"/>
              </w:rPr>
            </w:pPr>
            <w:r>
              <w:rPr>
                <w:rFonts w:ascii="Arial" w:cs="Arial" w:eastAsia="Arial" w:hAnsi="Arial"/>
                <w:sz w:val="16"/>
                <w:szCs w:val="16"/>
                <w:color w:val="auto"/>
              </w:rPr>
              <w:t>2/12/24</w:t>
            </w:r>
          </w:p>
        </w:tc>
        <w:tc>
          <w:tcPr>
            <w:tcW w:w="100" w:type="dxa"/>
            <w:vAlign w:val="bottom"/>
            <w:shd w:val="clear" w:color="auto" w:fill="DBDBDB"/>
          </w:tcPr>
          <w:p>
            <w:pPr>
              <w:spacing w:after="0"/>
              <w:rPr>
                <w:sz w:val="22"/>
                <w:szCs w:val="22"/>
                <w:color w:val="auto"/>
              </w:rPr>
            </w:pPr>
          </w:p>
        </w:tc>
        <w:tc>
          <w:tcPr>
            <w:tcW w:w="980" w:type="dxa"/>
            <w:vAlign w:val="bottom"/>
            <w:tcBorders>
              <w:right w:val="single" w:sz="8" w:color="E5E5E5"/>
            </w:tcBorders>
            <w:shd w:val="clear" w:color="auto" w:fill="DBDBDB"/>
          </w:tcPr>
          <w:p>
            <w:pPr>
              <w:spacing w:after="0"/>
              <w:rPr>
                <w:sz w:val="22"/>
                <w:szCs w:val="22"/>
                <w:color w:val="auto"/>
              </w:rPr>
            </w:pPr>
          </w:p>
        </w:tc>
        <w:tc>
          <w:tcPr>
            <w:tcW w:w="200" w:type="dxa"/>
            <w:vAlign w:val="bottom"/>
            <w:shd w:val="clear" w:color="auto" w:fill="DBDBDB"/>
          </w:tcPr>
          <w:p>
            <w:pPr>
              <w:spacing w:after="0"/>
              <w:rPr>
                <w:sz w:val="22"/>
                <w:szCs w:val="22"/>
                <w:color w:val="auto"/>
              </w:rPr>
            </w:pPr>
          </w:p>
        </w:tc>
        <w:tc>
          <w:tcPr>
            <w:tcW w:w="920" w:type="dxa"/>
            <w:vAlign w:val="bottom"/>
            <w:tcBorders>
              <w:right w:val="single" w:sz="8" w:color="E5E5E5"/>
            </w:tcBorders>
            <w:shd w:val="clear" w:color="auto" w:fill="DBDBDB"/>
          </w:tcPr>
          <w:p>
            <w:pPr>
              <w:spacing w:after="0"/>
              <w:rPr>
                <w:sz w:val="22"/>
                <w:szCs w:val="22"/>
                <w:color w:val="auto"/>
              </w:rPr>
            </w:pPr>
          </w:p>
        </w:tc>
        <w:tc>
          <w:tcPr>
            <w:tcW w:w="140" w:type="dxa"/>
            <w:vAlign w:val="bottom"/>
            <w:shd w:val="clear" w:color="auto" w:fill="DBDBDB"/>
          </w:tcPr>
          <w:p>
            <w:pPr>
              <w:spacing w:after="0"/>
              <w:rPr>
                <w:sz w:val="22"/>
                <w:szCs w:val="22"/>
                <w:color w:val="auto"/>
              </w:rPr>
            </w:pPr>
          </w:p>
        </w:tc>
        <w:tc>
          <w:tcPr>
            <w:tcW w:w="1020" w:type="dxa"/>
            <w:vAlign w:val="bottom"/>
            <w:tcBorders>
              <w:right w:val="single" w:sz="8" w:color="E5E5E5"/>
            </w:tcBorders>
            <w:shd w:val="clear" w:color="auto" w:fill="DBDBDB"/>
          </w:tcPr>
          <w:p>
            <w:pPr>
              <w:spacing w:after="0"/>
              <w:rPr>
                <w:sz w:val="22"/>
                <w:szCs w:val="22"/>
                <w:color w:val="auto"/>
              </w:rPr>
            </w:pPr>
          </w:p>
        </w:tc>
        <w:tc>
          <w:tcPr>
            <w:tcW w:w="1040" w:type="dxa"/>
            <w:vAlign w:val="bottom"/>
            <w:tcBorders>
              <w:right w:val="single" w:sz="8" w:color="E5E5E5"/>
            </w:tcBorders>
            <w:shd w:val="clear" w:color="auto" w:fill="DBDBDB"/>
          </w:tcPr>
          <w:p>
            <w:pPr>
              <w:spacing w:after="0"/>
              <w:rPr>
                <w:sz w:val="22"/>
                <w:szCs w:val="22"/>
                <w:color w:val="auto"/>
              </w:rPr>
            </w:pPr>
          </w:p>
        </w:tc>
        <w:tc>
          <w:tcPr>
            <w:tcW w:w="760" w:type="dxa"/>
            <w:vAlign w:val="bottom"/>
            <w:tcBorders>
              <w:right w:val="single" w:sz="8" w:color="E5E5E5"/>
            </w:tcBorders>
            <w:shd w:val="clear" w:color="auto" w:fill="DBDBDB"/>
          </w:tcPr>
          <w:p>
            <w:pPr>
              <w:spacing w:after="0"/>
              <w:rPr>
                <w:sz w:val="22"/>
                <w:szCs w:val="22"/>
                <w:color w:val="auto"/>
              </w:rPr>
            </w:pPr>
          </w:p>
        </w:tc>
        <w:tc>
          <w:tcPr>
            <w:tcW w:w="1040" w:type="dxa"/>
            <w:vAlign w:val="bottom"/>
            <w:tcBorders>
              <w:right w:val="single" w:sz="8" w:color="E5E5E5"/>
            </w:tcBorders>
            <w:shd w:val="clear" w:color="auto" w:fill="DBDBDB"/>
          </w:tcPr>
          <w:p>
            <w:pPr>
              <w:spacing w:after="0"/>
              <w:rPr>
                <w:sz w:val="22"/>
                <w:szCs w:val="22"/>
                <w:color w:val="auto"/>
              </w:rPr>
            </w:pPr>
          </w:p>
        </w:tc>
        <w:tc>
          <w:tcPr>
            <w:tcW w:w="1220" w:type="dxa"/>
            <w:vAlign w:val="bottom"/>
            <w:tcBorders>
              <w:right w:val="single" w:sz="8" w:color="E5E5E5"/>
            </w:tcBorders>
            <w:shd w:val="clear" w:color="auto" w:fill="DBDBDB"/>
          </w:tcPr>
          <w:p>
            <w:pPr>
              <w:jc w:val="right"/>
              <w:spacing w:after="0"/>
              <w:rPr>
                <w:sz w:val="20"/>
                <w:szCs w:val="20"/>
                <w:color w:val="auto"/>
              </w:rPr>
            </w:pPr>
            <w:r>
              <w:rPr>
                <w:rFonts w:ascii="Arial" w:cs="Arial" w:eastAsia="Arial" w:hAnsi="Arial"/>
                <w:sz w:val="16"/>
                <w:szCs w:val="16"/>
                <w:color w:val="auto"/>
              </w:rPr>
              <w:t>1,844</w:t>
            </w:r>
          </w:p>
        </w:tc>
        <w:tc>
          <w:tcPr>
            <w:tcW w:w="12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right w:val="single" w:sz="8" w:color="E5E5E5"/>
            </w:tcBorders>
            <w:shd w:val="clear" w:color="auto" w:fill="DBDBDB"/>
          </w:tcPr>
          <w:p>
            <w:pPr>
              <w:jc w:val="right"/>
              <w:ind w:right="23"/>
              <w:spacing w:after="0"/>
              <w:rPr>
                <w:sz w:val="20"/>
                <w:szCs w:val="20"/>
                <w:color w:val="auto"/>
              </w:rPr>
            </w:pPr>
            <w:r>
              <w:rPr>
                <w:rFonts w:ascii="Arial" w:cs="Arial" w:eastAsia="Arial" w:hAnsi="Arial"/>
                <w:sz w:val="16"/>
                <w:szCs w:val="16"/>
                <w:color w:val="auto"/>
              </w:rPr>
              <w:t>399,945</w:t>
            </w:r>
          </w:p>
        </w:tc>
        <w:tc>
          <w:tcPr>
            <w:tcW w:w="0" w:type="dxa"/>
            <w:vAlign w:val="bottom"/>
          </w:tcPr>
          <w:p>
            <w:pPr>
              <w:spacing w:after="0"/>
              <w:rPr>
                <w:sz w:val="1"/>
                <w:szCs w:val="1"/>
                <w:color w:val="auto"/>
              </w:rPr>
            </w:pPr>
          </w:p>
        </w:tc>
      </w:tr>
      <w:tr>
        <w:trPr>
          <w:trHeight w:val="264"/>
        </w:trPr>
        <w:tc>
          <w:tcPr>
            <w:tcW w:w="980" w:type="dxa"/>
            <w:vAlign w:val="bottom"/>
            <w:tcBorders>
              <w:left w:val="single" w:sz="8" w:color="E5E5E5"/>
              <w:right w:val="single" w:sz="8" w:color="E5E5E5"/>
            </w:tcBorders>
            <w:shd w:val="clear" w:color="auto" w:fill="DBDBDB"/>
          </w:tcPr>
          <w:p>
            <w:pPr>
              <w:spacing w:after="0"/>
              <w:rPr>
                <w:sz w:val="22"/>
                <w:szCs w:val="22"/>
                <w:color w:val="auto"/>
              </w:rPr>
            </w:pPr>
          </w:p>
        </w:tc>
        <w:tc>
          <w:tcPr>
            <w:tcW w:w="740" w:type="dxa"/>
            <w:vAlign w:val="bottom"/>
            <w:tcBorders>
              <w:right w:val="single" w:sz="8" w:color="E5E5E5"/>
            </w:tcBorders>
            <w:shd w:val="clear" w:color="auto" w:fill="DBDBDB"/>
          </w:tcPr>
          <w:p>
            <w:pPr>
              <w:jc w:val="right"/>
              <w:spacing w:after="0"/>
              <w:rPr>
                <w:sz w:val="20"/>
                <w:szCs w:val="20"/>
                <w:color w:val="auto"/>
              </w:rPr>
            </w:pPr>
            <w:r>
              <w:rPr>
                <w:rFonts w:ascii="Arial" w:cs="Arial" w:eastAsia="Arial" w:hAnsi="Arial"/>
                <w:sz w:val="16"/>
                <w:szCs w:val="16"/>
                <w:color w:val="auto"/>
              </w:rPr>
              <w:t>2/20/24</w:t>
            </w:r>
          </w:p>
        </w:tc>
        <w:tc>
          <w:tcPr>
            <w:tcW w:w="960" w:type="dxa"/>
            <w:vAlign w:val="bottom"/>
            <w:tcBorders>
              <w:right w:val="single" w:sz="8" w:color="E5E5E5"/>
            </w:tcBorders>
            <w:shd w:val="clear" w:color="auto" w:fill="DBDBDB"/>
          </w:tcPr>
          <w:p>
            <w:pPr>
              <w:jc w:val="right"/>
              <w:spacing w:after="0"/>
              <w:rPr>
                <w:sz w:val="20"/>
                <w:szCs w:val="20"/>
                <w:color w:val="auto"/>
              </w:rPr>
            </w:pPr>
            <w:r>
              <w:rPr>
                <w:rFonts w:ascii="Arial" w:cs="Arial" w:eastAsia="Arial" w:hAnsi="Arial"/>
                <w:sz w:val="16"/>
                <w:szCs w:val="16"/>
                <w:color w:val="auto"/>
              </w:rPr>
              <w:t>2/12/24</w:t>
            </w:r>
          </w:p>
        </w:tc>
        <w:tc>
          <w:tcPr>
            <w:tcW w:w="100" w:type="dxa"/>
            <w:vAlign w:val="bottom"/>
            <w:shd w:val="clear" w:color="auto" w:fill="DBDBDB"/>
          </w:tcPr>
          <w:p>
            <w:pPr>
              <w:spacing w:after="0"/>
              <w:rPr>
                <w:sz w:val="22"/>
                <w:szCs w:val="22"/>
                <w:color w:val="auto"/>
              </w:rPr>
            </w:pPr>
          </w:p>
        </w:tc>
        <w:tc>
          <w:tcPr>
            <w:tcW w:w="980" w:type="dxa"/>
            <w:vAlign w:val="bottom"/>
            <w:tcBorders>
              <w:right w:val="single" w:sz="8" w:color="E5E5E5"/>
            </w:tcBorders>
            <w:shd w:val="clear" w:color="auto" w:fill="DBDBDB"/>
          </w:tcPr>
          <w:p>
            <w:pPr>
              <w:spacing w:after="0"/>
              <w:rPr>
                <w:sz w:val="22"/>
                <w:szCs w:val="22"/>
                <w:color w:val="auto"/>
              </w:rPr>
            </w:pPr>
          </w:p>
        </w:tc>
        <w:tc>
          <w:tcPr>
            <w:tcW w:w="200" w:type="dxa"/>
            <w:vAlign w:val="bottom"/>
            <w:shd w:val="clear" w:color="auto" w:fill="DBDBDB"/>
          </w:tcPr>
          <w:p>
            <w:pPr>
              <w:spacing w:after="0"/>
              <w:rPr>
                <w:sz w:val="22"/>
                <w:szCs w:val="22"/>
                <w:color w:val="auto"/>
              </w:rPr>
            </w:pPr>
          </w:p>
        </w:tc>
        <w:tc>
          <w:tcPr>
            <w:tcW w:w="920" w:type="dxa"/>
            <w:vAlign w:val="bottom"/>
            <w:tcBorders>
              <w:right w:val="single" w:sz="8" w:color="E5E5E5"/>
            </w:tcBorders>
            <w:shd w:val="clear" w:color="auto" w:fill="DBDBDB"/>
          </w:tcPr>
          <w:p>
            <w:pPr>
              <w:spacing w:after="0"/>
              <w:rPr>
                <w:sz w:val="22"/>
                <w:szCs w:val="22"/>
                <w:color w:val="auto"/>
              </w:rPr>
            </w:pPr>
          </w:p>
        </w:tc>
        <w:tc>
          <w:tcPr>
            <w:tcW w:w="140" w:type="dxa"/>
            <w:vAlign w:val="bottom"/>
            <w:shd w:val="clear" w:color="auto" w:fill="DBDBDB"/>
          </w:tcPr>
          <w:p>
            <w:pPr>
              <w:spacing w:after="0"/>
              <w:rPr>
                <w:sz w:val="22"/>
                <w:szCs w:val="22"/>
                <w:color w:val="auto"/>
              </w:rPr>
            </w:pPr>
          </w:p>
        </w:tc>
        <w:tc>
          <w:tcPr>
            <w:tcW w:w="1020" w:type="dxa"/>
            <w:vAlign w:val="bottom"/>
            <w:tcBorders>
              <w:right w:val="single" w:sz="8" w:color="E5E5E5"/>
            </w:tcBorders>
            <w:shd w:val="clear" w:color="auto" w:fill="DBDBDB"/>
          </w:tcPr>
          <w:p>
            <w:pPr>
              <w:spacing w:after="0"/>
              <w:rPr>
                <w:sz w:val="22"/>
                <w:szCs w:val="22"/>
                <w:color w:val="auto"/>
              </w:rPr>
            </w:pPr>
          </w:p>
        </w:tc>
        <w:tc>
          <w:tcPr>
            <w:tcW w:w="1040" w:type="dxa"/>
            <w:vAlign w:val="bottom"/>
            <w:tcBorders>
              <w:right w:val="single" w:sz="8" w:color="E5E5E5"/>
            </w:tcBorders>
            <w:shd w:val="clear" w:color="auto" w:fill="DBDBDB"/>
          </w:tcPr>
          <w:p>
            <w:pPr>
              <w:jc w:val="right"/>
              <w:spacing w:after="0"/>
              <w:rPr>
                <w:sz w:val="20"/>
                <w:szCs w:val="20"/>
                <w:color w:val="auto"/>
              </w:rPr>
            </w:pPr>
            <w:r>
              <w:rPr>
                <w:rFonts w:ascii="Arial" w:cs="Arial" w:eastAsia="Arial" w:hAnsi="Arial"/>
                <w:sz w:val="16"/>
                <w:szCs w:val="16"/>
                <w:color w:val="auto"/>
              </w:rPr>
              <w:t>1,384</w:t>
            </w:r>
          </w:p>
        </w:tc>
        <w:tc>
          <w:tcPr>
            <w:tcW w:w="760" w:type="dxa"/>
            <w:vAlign w:val="bottom"/>
            <w:tcBorders>
              <w:right w:val="single" w:sz="8" w:color="E5E5E5"/>
            </w:tcBorders>
            <w:shd w:val="clear" w:color="auto" w:fill="DBDBDB"/>
          </w:tcPr>
          <w:p>
            <w:pPr>
              <w:jc w:val="right"/>
              <w:spacing w:after="0"/>
              <w:rPr>
                <w:sz w:val="20"/>
                <w:szCs w:val="20"/>
                <w:color w:val="auto"/>
              </w:rPr>
            </w:pPr>
            <w:r>
              <w:rPr>
                <w:rFonts w:ascii="Arial" w:cs="Arial" w:eastAsia="Arial" w:hAnsi="Arial"/>
                <w:sz w:val="16"/>
                <w:szCs w:val="16"/>
                <w:color w:val="auto"/>
              </w:rPr>
              <w:t>2,767</w:t>
            </w:r>
          </w:p>
        </w:tc>
        <w:tc>
          <w:tcPr>
            <w:tcW w:w="1040" w:type="dxa"/>
            <w:vAlign w:val="bottom"/>
            <w:tcBorders>
              <w:right w:val="single" w:sz="8" w:color="E5E5E5"/>
            </w:tcBorders>
            <w:shd w:val="clear" w:color="auto" w:fill="DBDBDB"/>
          </w:tcPr>
          <w:p>
            <w:pPr>
              <w:jc w:val="right"/>
              <w:spacing w:after="0"/>
              <w:rPr>
                <w:sz w:val="20"/>
                <w:szCs w:val="20"/>
                <w:color w:val="auto"/>
              </w:rPr>
            </w:pPr>
            <w:r>
              <w:rPr>
                <w:rFonts w:ascii="Arial" w:cs="Arial" w:eastAsia="Arial" w:hAnsi="Arial"/>
                <w:sz w:val="16"/>
                <w:szCs w:val="16"/>
                <w:color w:val="auto"/>
              </w:rPr>
              <w:t>4,151</w:t>
            </w:r>
          </w:p>
        </w:tc>
        <w:tc>
          <w:tcPr>
            <w:tcW w:w="1220" w:type="dxa"/>
            <w:vAlign w:val="bottom"/>
            <w:tcBorders>
              <w:right w:val="single" w:sz="8" w:color="E5E5E5"/>
            </w:tcBorders>
            <w:shd w:val="clear" w:color="auto" w:fill="DBDBDB"/>
          </w:tcPr>
          <w:p>
            <w:pPr>
              <w:spacing w:after="0"/>
              <w:rPr>
                <w:sz w:val="22"/>
                <w:szCs w:val="22"/>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right w:val="single" w:sz="8" w:color="E5E5E5"/>
            </w:tcBorders>
            <w:shd w:val="clear" w:color="auto" w:fill="DBDBDB"/>
          </w:tcPr>
          <w:p>
            <w:pPr>
              <w:jc w:val="right"/>
              <w:ind w:right="23"/>
              <w:spacing w:after="0"/>
              <w:rPr>
                <w:sz w:val="20"/>
                <w:szCs w:val="20"/>
                <w:color w:val="auto"/>
              </w:rPr>
            </w:pPr>
            <w:r>
              <w:rPr>
                <w:rFonts w:ascii="Arial" w:cs="Arial" w:eastAsia="Arial" w:hAnsi="Arial"/>
                <w:sz w:val="16"/>
                <w:szCs w:val="16"/>
                <w:color w:val="auto"/>
              </w:rPr>
              <w:t>600,135</w:t>
            </w:r>
          </w:p>
        </w:tc>
        <w:tc>
          <w:tcPr>
            <w:tcW w:w="0" w:type="dxa"/>
            <w:vAlign w:val="bottom"/>
          </w:tcPr>
          <w:p>
            <w:pPr>
              <w:spacing w:after="0"/>
              <w:rPr>
                <w:sz w:val="1"/>
                <w:szCs w:val="1"/>
                <w:color w:val="auto"/>
              </w:rPr>
            </w:pPr>
          </w:p>
        </w:tc>
      </w:tr>
      <w:tr>
        <w:trPr>
          <w:trHeight w:val="242"/>
        </w:trPr>
        <w:tc>
          <w:tcPr>
            <w:tcW w:w="980" w:type="dxa"/>
            <w:vAlign w:val="bottom"/>
            <w:tcBorders>
              <w:left w:val="single" w:sz="8" w:color="E5E5E5"/>
              <w:right w:val="single" w:sz="8" w:color="E5E5E5"/>
            </w:tcBorders>
          </w:tcPr>
          <w:p>
            <w:pPr>
              <w:ind w:left="40"/>
              <w:spacing w:after="0"/>
              <w:rPr>
                <w:sz w:val="20"/>
                <w:szCs w:val="20"/>
                <w:color w:val="auto"/>
              </w:rPr>
            </w:pPr>
            <w:r>
              <w:rPr>
                <w:rFonts w:ascii="Arial" w:cs="Arial" w:eastAsia="Arial" w:hAnsi="Arial"/>
                <w:sz w:val="16"/>
                <w:szCs w:val="16"/>
                <w:color w:val="auto"/>
              </w:rPr>
              <w:t>Jed Milstein</w:t>
            </w:r>
          </w:p>
        </w:tc>
        <w:tc>
          <w:tcPr>
            <w:tcW w:w="740" w:type="dxa"/>
            <w:vAlign w:val="bottom"/>
            <w:tcBorders>
              <w:bottom w:val="single" w:sz="8" w:color="E5E5E5"/>
              <w:right w:val="single" w:sz="8" w:color="E5E5E5"/>
            </w:tcBorders>
          </w:tcPr>
          <w:p>
            <w:pPr>
              <w:jc w:val="right"/>
              <w:spacing w:after="0"/>
              <w:rPr>
                <w:sz w:val="20"/>
                <w:szCs w:val="20"/>
                <w:color w:val="auto"/>
              </w:rPr>
            </w:pPr>
            <w:r>
              <w:rPr>
                <w:rFonts w:ascii="Arial" w:cs="Arial" w:eastAsia="Arial" w:hAnsi="Arial"/>
                <w:sz w:val="16"/>
                <w:szCs w:val="16"/>
                <w:color w:val="auto"/>
              </w:rPr>
              <w:t>2/12/24</w:t>
            </w:r>
          </w:p>
        </w:tc>
        <w:tc>
          <w:tcPr>
            <w:tcW w:w="960" w:type="dxa"/>
            <w:vAlign w:val="bottom"/>
            <w:tcBorders>
              <w:bottom w:val="single" w:sz="8" w:color="E5E5E5"/>
              <w:right w:val="single" w:sz="8" w:color="E5E5E5"/>
            </w:tcBorders>
          </w:tcPr>
          <w:p>
            <w:pPr>
              <w:jc w:val="right"/>
              <w:spacing w:after="0"/>
              <w:rPr>
                <w:sz w:val="20"/>
                <w:szCs w:val="20"/>
                <w:color w:val="auto"/>
              </w:rPr>
            </w:pPr>
            <w:r>
              <w:rPr>
                <w:rFonts w:ascii="Arial" w:cs="Arial" w:eastAsia="Arial" w:hAnsi="Arial"/>
                <w:sz w:val="16"/>
                <w:szCs w:val="16"/>
                <w:color w:val="auto"/>
              </w:rPr>
              <w:t>2/12/24</w:t>
            </w:r>
          </w:p>
        </w:tc>
        <w:tc>
          <w:tcPr>
            <w:tcW w:w="100" w:type="dxa"/>
            <w:vAlign w:val="bottom"/>
            <w:tcBorders>
              <w:bottom w:val="single" w:sz="8" w:color="E5E5E5"/>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E5E5E5"/>
              <w:right w:val="single" w:sz="8" w:color="E5E5E5"/>
            </w:tcBorders>
          </w:tcPr>
          <w:p>
            <w:pPr>
              <w:jc w:val="right"/>
              <w:ind w:right="20"/>
              <w:spacing w:after="0"/>
              <w:rPr>
                <w:sz w:val="20"/>
                <w:szCs w:val="20"/>
                <w:color w:val="auto"/>
              </w:rPr>
            </w:pPr>
            <w:r>
              <w:rPr>
                <w:rFonts w:ascii="Arial" w:cs="Arial" w:eastAsia="Arial" w:hAnsi="Arial"/>
                <w:sz w:val="16"/>
                <w:szCs w:val="16"/>
                <w:color w:val="auto"/>
              </w:rPr>
              <w:t>265,625</w:t>
            </w:r>
          </w:p>
        </w:tc>
        <w:tc>
          <w:tcPr>
            <w:tcW w:w="200" w:type="dxa"/>
            <w:vAlign w:val="bottom"/>
            <w:tcBorders>
              <w:bottom w:val="single" w:sz="8" w:color="E5E5E5"/>
            </w:tcBorders>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E5E5E5"/>
              <w:right w:val="single" w:sz="8" w:color="E5E5E5"/>
            </w:tcBorders>
          </w:tcPr>
          <w:p>
            <w:pPr>
              <w:jc w:val="right"/>
              <w:ind w:right="19"/>
              <w:spacing w:after="0"/>
              <w:rPr>
                <w:sz w:val="20"/>
                <w:szCs w:val="20"/>
                <w:color w:val="auto"/>
              </w:rPr>
            </w:pPr>
            <w:r>
              <w:rPr>
                <w:rFonts w:ascii="Arial" w:cs="Arial" w:eastAsia="Arial" w:hAnsi="Arial"/>
                <w:sz w:val="16"/>
                <w:szCs w:val="16"/>
                <w:color w:val="auto"/>
              </w:rPr>
              <w:t>531,250</w:t>
            </w:r>
          </w:p>
        </w:tc>
        <w:tc>
          <w:tcPr>
            <w:tcW w:w="140" w:type="dxa"/>
            <w:vAlign w:val="bottom"/>
            <w:tcBorders>
              <w:bottom w:val="single" w:sz="8" w:color="E5E5E5"/>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E5E5E5"/>
              <w:right w:val="single" w:sz="8" w:color="E5E5E5"/>
            </w:tcBorders>
          </w:tcPr>
          <w:p>
            <w:pPr>
              <w:jc w:val="right"/>
              <w:ind w:right="19"/>
              <w:spacing w:after="0"/>
              <w:rPr>
                <w:sz w:val="20"/>
                <w:szCs w:val="20"/>
                <w:color w:val="auto"/>
              </w:rPr>
            </w:pPr>
            <w:r>
              <w:rPr>
                <w:rFonts w:ascii="Arial" w:cs="Arial" w:eastAsia="Arial" w:hAnsi="Arial"/>
                <w:sz w:val="16"/>
                <w:szCs w:val="16"/>
                <w:color w:val="auto"/>
              </w:rPr>
              <w:t>1,062,500</w:t>
            </w:r>
          </w:p>
        </w:tc>
        <w:tc>
          <w:tcPr>
            <w:tcW w:w="1040" w:type="dxa"/>
            <w:vAlign w:val="bottom"/>
            <w:tcBorders>
              <w:bottom w:val="single" w:sz="8" w:color="E5E5E5"/>
              <w:right w:val="single" w:sz="8" w:color="E5E5E5"/>
            </w:tcBorders>
          </w:tcPr>
          <w:p>
            <w:pPr>
              <w:spacing w:after="0"/>
              <w:rPr>
                <w:sz w:val="21"/>
                <w:szCs w:val="21"/>
                <w:color w:val="auto"/>
              </w:rPr>
            </w:pPr>
          </w:p>
        </w:tc>
        <w:tc>
          <w:tcPr>
            <w:tcW w:w="760" w:type="dxa"/>
            <w:vAlign w:val="bottom"/>
            <w:tcBorders>
              <w:bottom w:val="single" w:sz="8" w:color="E5E5E5"/>
              <w:right w:val="single" w:sz="8" w:color="E5E5E5"/>
            </w:tcBorders>
          </w:tcPr>
          <w:p>
            <w:pPr>
              <w:spacing w:after="0"/>
              <w:rPr>
                <w:sz w:val="21"/>
                <w:szCs w:val="21"/>
                <w:color w:val="auto"/>
              </w:rPr>
            </w:pPr>
          </w:p>
        </w:tc>
        <w:tc>
          <w:tcPr>
            <w:tcW w:w="1040" w:type="dxa"/>
            <w:vAlign w:val="bottom"/>
            <w:tcBorders>
              <w:bottom w:val="single" w:sz="8" w:color="E5E5E5"/>
              <w:right w:val="single" w:sz="8" w:color="E5E5E5"/>
            </w:tcBorders>
          </w:tcPr>
          <w:p>
            <w:pPr>
              <w:spacing w:after="0"/>
              <w:rPr>
                <w:sz w:val="21"/>
                <w:szCs w:val="21"/>
                <w:color w:val="auto"/>
              </w:rPr>
            </w:pPr>
          </w:p>
        </w:tc>
        <w:tc>
          <w:tcPr>
            <w:tcW w:w="1220" w:type="dxa"/>
            <w:vAlign w:val="bottom"/>
            <w:tcBorders>
              <w:bottom w:val="single" w:sz="8" w:color="E5E5E5"/>
              <w:right w:val="single" w:sz="8" w:color="E5E5E5"/>
            </w:tcBorders>
          </w:tcPr>
          <w:p>
            <w:pPr>
              <w:spacing w:after="0"/>
              <w:rPr>
                <w:sz w:val="21"/>
                <w:szCs w:val="21"/>
                <w:color w:val="auto"/>
              </w:rPr>
            </w:pPr>
          </w:p>
        </w:tc>
        <w:tc>
          <w:tcPr>
            <w:tcW w:w="120" w:type="dxa"/>
            <w:vAlign w:val="bottom"/>
            <w:tcBorders>
              <w:bottom w:val="single" w:sz="8" w:color="E5E5E5"/>
            </w:tcBorders>
          </w:tcPr>
          <w:p>
            <w:pPr>
              <w:spacing w:after="0"/>
              <w:rPr>
                <w:sz w:val="21"/>
                <w:szCs w:val="21"/>
                <w:color w:val="auto"/>
              </w:rPr>
            </w:pPr>
          </w:p>
        </w:tc>
        <w:tc>
          <w:tcPr>
            <w:tcW w:w="1040" w:type="dxa"/>
            <w:vAlign w:val="bottom"/>
            <w:tcBorders>
              <w:bottom w:val="single" w:sz="8" w:color="E5E5E5"/>
              <w:right w:val="single" w:sz="8" w:color="E5E5E5"/>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980" w:type="dxa"/>
            <w:vAlign w:val="bottom"/>
            <w:tcBorders>
              <w:left w:val="single" w:sz="8" w:color="E5E5E5"/>
              <w:right w:val="single" w:sz="8" w:color="E5E5E5"/>
            </w:tcBorders>
          </w:tcPr>
          <w:p>
            <w:pPr>
              <w:spacing w:after="0"/>
              <w:rPr>
                <w:sz w:val="20"/>
                <w:szCs w:val="20"/>
                <w:color w:val="auto"/>
              </w:rPr>
            </w:pPr>
          </w:p>
        </w:tc>
        <w:tc>
          <w:tcPr>
            <w:tcW w:w="740" w:type="dxa"/>
            <w:vAlign w:val="bottom"/>
            <w:tcBorders>
              <w:bottom w:val="single" w:sz="8" w:color="E5E5E5"/>
              <w:right w:val="single" w:sz="8" w:color="E5E5E5"/>
            </w:tcBorders>
          </w:tcPr>
          <w:p>
            <w:pPr>
              <w:jc w:val="right"/>
              <w:spacing w:after="0"/>
              <w:rPr>
                <w:sz w:val="20"/>
                <w:szCs w:val="20"/>
                <w:color w:val="auto"/>
              </w:rPr>
            </w:pPr>
            <w:r>
              <w:rPr>
                <w:rFonts w:ascii="Arial" w:cs="Arial" w:eastAsia="Arial" w:hAnsi="Arial"/>
                <w:sz w:val="16"/>
                <w:szCs w:val="16"/>
                <w:color w:val="auto"/>
              </w:rPr>
              <w:t>2/20/24</w:t>
            </w:r>
          </w:p>
        </w:tc>
        <w:tc>
          <w:tcPr>
            <w:tcW w:w="960" w:type="dxa"/>
            <w:vAlign w:val="bottom"/>
            <w:tcBorders>
              <w:bottom w:val="single" w:sz="8" w:color="E5E5E5"/>
              <w:right w:val="single" w:sz="8" w:color="E5E5E5"/>
            </w:tcBorders>
          </w:tcPr>
          <w:p>
            <w:pPr>
              <w:jc w:val="right"/>
              <w:spacing w:after="0"/>
              <w:rPr>
                <w:sz w:val="20"/>
                <w:szCs w:val="20"/>
                <w:color w:val="auto"/>
              </w:rPr>
            </w:pPr>
            <w:r>
              <w:rPr>
                <w:rFonts w:ascii="Arial" w:cs="Arial" w:eastAsia="Arial" w:hAnsi="Arial"/>
                <w:sz w:val="16"/>
                <w:szCs w:val="16"/>
                <w:color w:val="auto"/>
              </w:rPr>
              <w:t>2/12/24</w:t>
            </w:r>
          </w:p>
        </w:tc>
        <w:tc>
          <w:tcPr>
            <w:tcW w:w="100" w:type="dxa"/>
            <w:vAlign w:val="bottom"/>
            <w:tcBorders>
              <w:bottom w:val="single" w:sz="8" w:color="E5E5E5"/>
            </w:tcBorders>
          </w:tcPr>
          <w:p>
            <w:pPr>
              <w:spacing w:after="0"/>
              <w:rPr>
                <w:sz w:val="20"/>
                <w:szCs w:val="20"/>
                <w:color w:val="auto"/>
              </w:rPr>
            </w:pPr>
          </w:p>
        </w:tc>
        <w:tc>
          <w:tcPr>
            <w:tcW w:w="980" w:type="dxa"/>
            <w:vAlign w:val="bottom"/>
            <w:tcBorders>
              <w:bottom w:val="single" w:sz="8" w:color="E5E5E5"/>
              <w:right w:val="single" w:sz="8" w:color="E5E5E5"/>
            </w:tcBorders>
          </w:tcPr>
          <w:p>
            <w:pPr>
              <w:spacing w:after="0"/>
              <w:rPr>
                <w:sz w:val="20"/>
                <w:szCs w:val="20"/>
                <w:color w:val="auto"/>
              </w:rPr>
            </w:pPr>
          </w:p>
        </w:tc>
        <w:tc>
          <w:tcPr>
            <w:tcW w:w="200" w:type="dxa"/>
            <w:vAlign w:val="bottom"/>
            <w:tcBorders>
              <w:bottom w:val="single" w:sz="8" w:color="E5E5E5"/>
            </w:tcBorders>
          </w:tcPr>
          <w:p>
            <w:pPr>
              <w:spacing w:after="0"/>
              <w:rPr>
                <w:sz w:val="20"/>
                <w:szCs w:val="20"/>
                <w:color w:val="auto"/>
              </w:rPr>
            </w:pPr>
          </w:p>
        </w:tc>
        <w:tc>
          <w:tcPr>
            <w:tcW w:w="920" w:type="dxa"/>
            <w:vAlign w:val="bottom"/>
            <w:tcBorders>
              <w:bottom w:val="single" w:sz="8" w:color="E5E5E5"/>
              <w:right w:val="single" w:sz="8" w:color="E5E5E5"/>
            </w:tcBorders>
          </w:tcPr>
          <w:p>
            <w:pPr>
              <w:spacing w:after="0"/>
              <w:rPr>
                <w:sz w:val="20"/>
                <w:szCs w:val="20"/>
                <w:color w:val="auto"/>
              </w:rPr>
            </w:pPr>
          </w:p>
        </w:tc>
        <w:tc>
          <w:tcPr>
            <w:tcW w:w="140" w:type="dxa"/>
            <w:vAlign w:val="bottom"/>
            <w:tcBorders>
              <w:bottom w:val="single" w:sz="8" w:color="E5E5E5"/>
            </w:tcBorders>
          </w:tcPr>
          <w:p>
            <w:pPr>
              <w:spacing w:after="0"/>
              <w:rPr>
                <w:sz w:val="20"/>
                <w:szCs w:val="20"/>
                <w:color w:val="auto"/>
              </w:rPr>
            </w:pPr>
          </w:p>
        </w:tc>
        <w:tc>
          <w:tcPr>
            <w:tcW w:w="1020" w:type="dxa"/>
            <w:vAlign w:val="bottom"/>
            <w:tcBorders>
              <w:bottom w:val="single" w:sz="8" w:color="E5E5E5"/>
              <w:right w:val="single" w:sz="8" w:color="E5E5E5"/>
            </w:tcBorders>
          </w:tcPr>
          <w:p>
            <w:pPr>
              <w:spacing w:after="0"/>
              <w:rPr>
                <w:sz w:val="20"/>
                <w:szCs w:val="20"/>
                <w:color w:val="auto"/>
              </w:rPr>
            </w:pPr>
          </w:p>
        </w:tc>
        <w:tc>
          <w:tcPr>
            <w:tcW w:w="1040" w:type="dxa"/>
            <w:vAlign w:val="bottom"/>
            <w:tcBorders>
              <w:bottom w:val="single" w:sz="8" w:color="E5E5E5"/>
              <w:right w:val="single" w:sz="8" w:color="E5E5E5"/>
            </w:tcBorders>
          </w:tcPr>
          <w:p>
            <w:pPr>
              <w:spacing w:after="0"/>
              <w:rPr>
                <w:sz w:val="20"/>
                <w:szCs w:val="20"/>
                <w:color w:val="auto"/>
              </w:rPr>
            </w:pPr>
          </w:p>
        </w:tc>
        <w:tc>
          <w:tcPr>
            <w:tcW w:w="760" w:type="dxa"/>
            <w:vAlign w:val="bottom"/>
            <w:tcBorders>
              <w:bottom w:val="single" w:sz="8" w:color="E5E5E5"/>
              <w:right w:val="single" w:sz="8" w:color="E5E5E5"/>
            </w:tcBorders>
          </w:tcPr>
          <w:p>
            <w:pPr>
              <w:spacing w:after="0"/>
              <w:rPr>
                <w:sz w:val="20"/>
                <w:szCs w:val="20"/>
                <w:color w:val="auto"/>
              </w:rPr>
            </w:pPr>
          </w:p>
        </w:tc>
        <w:tc>
          <w:tcPr>
            <w:tcW w:w="1040" w:type="dxa"/>
            <w:vAlign w:val="bottom"/>
            <w:tcBorders>
              <w:bottom w:val="single" w:sz="8" w:color="E5E5E5"/>
              <w:right w:val="single" w:sz="8" w:color="E5E5E5"/>
            </w:tcBorders>
          </w:tcPr>
          <w:p>
            <w:pPr>
              <w:spacing w:after="0"/>
              <w:rPr>
                <w:sz w:val="20"/>
                <w:szCs w:val="20"/>
                <w:color w:val="auto"/>
              </w:rPr>
            </w:pPr>
          </w:p>
        </w:tc>
        <w:tc>
          <w:tcPr>
            <w:tcW w:w="1220" w:type="dxa"/>
            <w:vAlign w:val="bottom"/>
            <w:tcBorders>
              <w:bottom w:val="single" w:sz="8" w:color="E5E5E5"/>
              <w:right w:val="single" w:sz="8" w:color="E5E5E5"/>
            </w:tcBorders>
          </w:tcPr>
          <w:p>
            <w:pPr>
              <w:jc w:val="right"/>
              <w:spacing w:after="0"/>
              <w:rPr>
                <w:sz w:val="20"/>
                <w:szCs w:val="20"/>
                <w:color w:val="auto"/>
              </w:rPr>
            </w:pPr>
            <w:r>
              <w:rPr>
                <w:rFonts w:ascii="Arial" w:cs="Arial" w:eastAsia="Arial" w:hAnsi="Arial"/>
                <w:sz w:val="16"/>
                <w:szCs w:val="16"/>
                <w:color w:val="auto"/>
              </w:rPr>
              <w:t>1,660</w:t>
            </w:r>
          </w:p>
        </w:tc>
        <w:tc>
          <w:tcPr>
            <w:tcW w:w="120" w:type="dxa"/>
            <w:vAlign w:val="bottom"/>
            <w:tcBorders>
              <w:bottom w:val="single" w:sz="8" w:color="E5E5E5"/>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E5E5E5"/>
              <w:right w:val="single" w:sz="8" w:color="E5E5E5"/>
            </w:tcBorders>
          </w:tcPr>
          <w:p>
            <w:pPr>
              <w:jc w:val="right"/>
              <w:ind w:right="23"/>
              <w:spacing w:after="0"/>
              <w:rPr>
                <w:sz w:val="20"/>
                <w:szCs w:val="20"/>
                <w:color w:val="auto"/>
              </w:rPr>
            </w:pPr>
            <w:r>
              <w:rPr>
                <w:rFonts w:ascii="Arial" w:cs="Arial" w:eastAsia="Arial" w:hAnsi="Arial"/>
                <w:sz w:val="16"/>
                <w:szCs w:val="16"/>
                <w:color w:val="auto"/>
              </w:rPr>
              <w:t>360,037</w:t>
            </w:r>
          </w:p>
        </w:tc>
        <w:tc>
          <w:tcPr>
            <w:tcW w:w="0" w:type="dxa"/>
            <w:vAlign w:val="bottom"/>
          </w:tcPr>
          <w:p>
            <w:pPr>
              <w:spacing w:after="0"/>
              <w:rPr>
                <w:sz w:val="1"/>
                <w:szCs w:val="1"/>
                <w:color w:val="auto"/>
              </w:rPr>
            </w:pPr>
          </w:p>
        </w:tc>
      </w:tr>
      <w:tr>
        <w:trPr>
          <w:trHeight w:val="236"/>
        </w:trPr>
        <w:tc>
          <w:tcPr>
            <w:tcW w:w="980" w:type="dxa"/>
            <w:vAlign w:val="bottom"/>
            <w:tcBorders>
              <w:left w:val="single" w:sz="8" w:color="E5E5E5"/>
              <w:right w:val="single" w:sz="8" w:color="E5E5E5"/>
            </w:tcBorders>
          </w:tcPr>
          <w:p>
            <w:pPr>
              <w:spacing w:after="0"/>
              <w:rPr>
                <w:sz w:val="20"/>
                <w:szCs w:val="20"/>
                <w:color w:val="auto"/>
              </w:rPr>
            </w:pPr>
          </w:p>
        </w:tc>
        <w:tc>
          <w:tcPr>
            <w:tcW w:w="740" w:type="dxa"/>
            <w:vAlign w:val="bottom"/>
            <w:tcBorders>
              <w:right w:val="single" w:sz="8" w:color="E5E5E5"/>
            </w:tcBorders>
          </w:tcPr>
          <w:p>
            <w:pPr>
              <w:jc w:val="right"/>
              <w:spacing w:after="0"/>
              <w:rPr>
                <w:sz w:val="20"/>
                <w:szCs w:val="20"/>
                <w:color w:val="auto"/>
              </w:rPr>
            </w:pPr>
            <w:r>
              <w:rPr>
                <w:rFonts w:ascii="Arial" w:cs="Arial" w:eastAsia="Arial" w:hAnsi="Arial"/>
                <w:sz w:val="16"/>
                <w:szCs w:val="16"/>
                <w:color w:val="auto"/>
              </w:rPr>
              <w:t>2/20/24</w:t>
            </w:r>
          </w:p>
        </w:tc>
        <w:tc>
          <w:tcPr>
            <w:tcW w:w="960" w:type="dxa"/>
            <w:vAlign w:val="bottom"/>
            <w:tcBorders>
              <w:right w:val="single" w:sz="8" w:color="E5E5E5"/>
            </w:tcBorders>
          </w:tcPr>
          <w:p>
            <w:pPr>
              <w:jc w:val="right"/>
              <w:spacing w:after="0"/>
              <w:rPr>
                <w:sz w:val="20"/>
                <w:szCs w:val="20"/>
                <w:color w:val="auto"/>
              </w:rPr>
            </w:pPr>
            <w:r>
              <w:rPr>
                <w:rFonts w:ascii="Arial" w:cs="Arial" w:eastAsia="Arial" w:hAnsi="Arial"/>
                <w:sz w:val="16"/>
                <w:szCs w:val="16"/>
                <w:color w:val="auto"/>
              </w:rPr>
              <w:t>2/12/24</w:t>
            </w:r>
          </w:p>
        </w:tc>
        <w:tc>
          <w:tcPr>
            <w:tcW w:w="100" w:type="dxa"/>
            <w:vAlign w:val="bottom"/>
          </w:tcPr>
          <w:p>
            <w:pPr>
              <w:spacing w:after="0"/>
              <w:rPr>
                <w:sz w:val="20"/>
                <w:szCs w:val="20"/>
                <w:color w:val="auto"/>
              </w:rPr>
            </w:pPr>
          </w:p>
        </w:tc>
        <w:tc>
          <w:tcPr>
            <w:tcW w:w="980" w:type="dxa"/>
            <w:vAlign w:val="bottom"/>
            <w:tcBorders>
              <w:right w:val="single" w:sz="8" w:color="E5E5E5"/>
            </w:tcBorders>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Borders>
              <w:right w:val="single" w:sz="8" w:color="E5E5E5"/>
            </w:tcBorders>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Borders>
              <w:right w:val="single" w:sz="8" w:color="E5E5E5"/>
            </w:tcBorders>
          </w:tcPr>
          <w:p>
            <w:pPr>
              <w:spacing w:after="0"/>
              <w:rPr>
                <w:sz w:val="20"/>
                <w:szCs w:val="20"/>
                <w:color w:val="auto"/>
              </w:rPr>
            </w:pPr>
          </w:p>
        </w:tc>
        <w:tc>
          <w:tcPr>
            <w:tcW w:w="1040" w:type="dxa"/>
            <w:vAlign w:val="bottom"/>
            <w:tcBorders>
              <w:right w:val="single" w:sz="8" w:color="E5E5E5"/>
            </w:tcBorders>
          </w:tcPr>
          <w:p>
            <w:pPr>
              <w:jc w:val="right"/>
              <w:spacing w:after="0"/>
              <w:rPr>
                <w:sz w:val="20"/>
                <w:szCs w:val="20"/>
                <w:color w:val="auto"/>
              </w:rPr>
            </w:pPr>
            <w:r>
              <w:rPr>
                <w:rFonts w:ascii="Arial" w:cs="Arial" w:eastAsia="Arial" w:hAnsi="Arial"/>
                <w:sz w:val="16"/>
                <w:szCs w:val="16"/>
                <w:color w:val="auto"/>
              </w:rPr>
              <w:t>1,245</w:t>
            </w:r>
          </w:p>
        </w:tc>
        <w:tc>
          <w:tcPr>
            <w:tcW w:w="760" w:type="dxa"/>
            <w:vAlign w:val="bottom"/>
            <w:tcBorders>
              <w:right w:val="single" w:sz="8" w:color="E5E5E5"/>
            </w:tcBorders>
          </w:tcPr>
          <w:p>
            <w:pPr>
              <w:jc w:val="right"/>
              <w:spacing w:after="0"/>
              <w:rPr>
                <w:sz w:val="20"/>
                <w:szCs w:val="20"/>
                <w:color w:val="auto"/>
              </w:rPr>
            </w:pPr>
            <w:r>
              <w:rPr>
                <w:rFonts w:ascii="Arial" w:cs="Arial" w:eastAsia="Arial" w:hAnsi="Arial"/>
                <w:sz w:val="16"/>
                <w:szCs w:val="16"/>
                <w:color w:val="auto"/>
              </w:rPr>
              <w:t>2,490</w:t>
            </w:r>
          </w:p>
        </w:tc>
        <w:tc>
          <w:tcPr>
            <w:tcW w:w="1040" w:type="dxa"/>
            <w:vAlign w:val="bottom"/>
            <w:tcBorders>
              <w:right w:val="single" w:sz="8" w:color="E5E5E5"/>
            </w:tcBorders>
          </w:tcPr>
          <w:p>
            <w:pPr>
              <w:jc w:val="right"/>
              <w:spacing w:after="0"/>
              <w:rPr>
                <w:sz w:val="20"/>
                <w:szCs w:val="20"/>
                <w:color w:val="auto"/>
              </w:rPr>
            </w:pPr>
            <w:r>
              <w:rPr>
                <w:rFonts w:ascii="Arial" w:cs="Arial" w:eastAsia="Arial" w:hAnsi="Arial"/>
                <w:sz w:val="16"/>
                <w:szCs w:val="16"/>
                <w:color w:val="auto"/>
              </w:rPr>
              <w:t>3,735</w:t>
            </w:r>
          </w:p>
        </w:tc>
        <w:tc>
          <w:tcPr>
            <w:tcW w:w="1220" w:type="dxa"/>
            <w:vAlign w:val="bottom"/>
            <w:tcBorders>
              <w:right w:val="single" w:sz="8" w:color="E5E5E5"/>
            </w:tcBorders>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right w:val="single" w:sz="8" w:color="E5E5E5"/>
            </w:tcBorders>
          </w:tcPr>
          <w:p>
            <w:pPr>
              <w:jc w:val="right"/>
              <w:ind w:right="23"/>
              <w:spacing w:after="0"/>
              <w:rPr>
                <w:sz w:val="20"/>
                <w:szCs w:val="20"/>
                <w:color w:val="auto"/>
              </w:rPr>
            </w:pPr>
            <w:r>
              <w:rPr>
                <w:rFonts w:ascii="Arial" w:cs="Arial" w:eastAsia="Arial" w:hAnsi="Arial"/>
                <w:sz w:val="16"/>
                <w:szCs w:val="16"/>
                <w:color w:val="auto"/>
              </w:rPr>
              <w:t>540,056</w:t>
            </w:r>
          </w:p>
        </w:tc>
        <w:tc>
          <w:tcPr>
            <w:tcW w:w="0" w:type="dxa"/>
            <w:vAlign w:val="bottom"/>
          </w:tcPr>
          <w:p>
            <w:pPr>
              <w:spacing w:after="0"/>
              <w:rPr>
                <w:sz w:val="1"/>
                <w:szCs w:val="1"/>
                <w:color w:val="auto"/>
              </w:rPr>
            </w:pPr>
          </w:p>
        </w:tc>
      </w:tr>
      <w:tr>
        <w:trPr>
          <w:trHeight w:val="204"/>
        </w:trPr>
        <w:tc>
          <w:tcPr>
            <w:tcW w:w="980" w:type="dxa"/>
            <w:vAlign w:val="bottom"/>
            <w:tcBorders>
              <w:left w:val="single" w:sz="8" w:color="E5E5E5"/>
              <w:right w:val="single" w:sz="8" w:color="E5E5E5"/>
            </w:tcBorders>
            <w:shd w:val="clear" w:color="auto" w:fill="DBDBDB"/>
          </w:tcPr>
          <w:p>
            <w:pPr>
              <w:ind w:left="40"/>
              <w:spacing w:after="0"/>
              <w:rPr>
                <w:sz w:val="20"/>
                <w:szCs w:val="20"/>
                <w:color w:val="auto"/>
              </w:rPr>
            </w:pPr>
            <w:r>
              <w:rPr>
                <w:rFonts w:ascii="Arial" w:cs="Arial" w:eastAsia="Arial" w:hAnsi="Arial"/>
                <w:sz w:val="16"/>
                <w:szCs w:val="16"/>
                <w:color w:val="auto"/>
              </w:rPr>
              <w:t>Dean</w:t>
            </w:r>
          </w:p>
        </w:tc>
        <w:tc>
          <w:tcPr>
            <w:tcW w:w="740" w:type="dxa"/>
            <w:vAlign w:val="bottom"/>
            <w:tcBorders>
              <w:right w:val="single" w:sz="8" w:color="E5E5E5"/>
            </w:tcBorders>
            <w:shd w:val="clear" w:color="auto" w:fill="DBDBDB"/>
          </w:tcPr>
          <w:p>
            <w:pPr>
              <w:jc w:val="right"/>
              <w:spacing w:after="0"/>
              <w:rPr>
                <w:sz w:val="20"/>
                <w:szCs w:val="20"/>
                <w:color w:val="auto"/>
              </w:rPr>
            </w:pPr>
            <w:r>
              <w:rPr>
                <w:rFonts w:ascii="Arial" w:cs="Arial" w:eastAsia="Arial" w:hAnsi="Arial"/>
                <w:sz w:val="16"/>
                <w:szCs w:val="16"/>
                <w:color w:val="auto"/>
              </w:rPr>
              <w:t>2/12/24</w:t>
            </w:r>
          </w:p>
        </w:tc>
        <w:tc>
          <w:tcPr>
            <w:tcW w:w="960" w:type="dxa"/>
            <w:vAlign w:val="bottom"/>
            <w:tcBorders>
              <w:right w:val="single" w:sz="8" w:color="E5E5E5"/>
            </w:tcBorders>
            <w:shd w:val="clear" w:color="auto" w:fill="DBDBDB"/>
          </w:tcPr>
          <w:p>
            <w:pPr>
              <w:jc w:val="right"/>
              <w:spacing w:after="0"/>
              <w:rPr>
                <w:sz w:val="20"/>
                <w:szCs w:val="20"/>
                <w:color w:val="auto"/>
              </w:rPr>
            </w:pPr>
            <w:r>
              <w:rPr>
                <w:rFonts w:ascii="Arial" w:cs="Arial" w:eastAsia="Arial" w:hAnsi="Arial"/>
                <w:sz w:val="16"/>
                <w:szCs w:val="16"/>
                <w:color w:val="auto"/>
              </w:rPr>
              <w:t>2/12/24</w:t>
            </w:r>
          </w:p>
        </w:tc>
        <w:tc>
          <w:tcPr>
            <w:tcW w:w="10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right w:val="single" w:sz="8" w:color="E5E5E5"/>
            </w:tcBorders>
            <w:shd w:val="clear" w:color="auto" w:fill="DBDBDB"/>
          </w:tcPr>
          <w:p>
            <w:pPr>
              <w:jc w:val="right"/>
              <w:ind w:right="20"/>
              <w:spacing w:after="0"/>
              <w:rPr>
                <w:sz w:val="20"/>
                <w:szCs w:val="20"/>
                <w:color w:val="auto"/>
              </w:rPr>
            </w:pPr>
            <w:r>
              <w:rPr>
                <w:rFonts w:ascii="Arial" w:cs="Arial" w:eastAsia="Arial" w:hAnsi="Arial"/>
                <w:sz w:val="16"/>
                <w:szCs w:val="16"/>
                <w:color w:val="auto"/>
              </w:rPr>
              <w:t>147,923</w:t>
            </w:r>
          </w:p>
        </w:tc>
        <w:tc>
          <w:tcPr>
            <w:tcW w:w="20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right w:val="single" w:sz="8" w:color="E5E5E5"/>
            </w:tcBorders>
            <w:shd w:val="clear" w:color="auto" w:fill="DBDBDB"/>
          </w:tcPr>
          <w:p>
            <w:pPr>
              <w:jc w:val="right"/>
              <w:ind w:right="19"/>
              <w:spacing w:after="0"/>
              <w:rPr>
                <w:sz w:val="20"/>
                <w:szCs w:val="20"/>
                <w:color w:val="auto"/>
              </w:rPr>
            </w:pPr>
            <w:r>
              <w:rPr>
                <w:rFonts w:ascii="Arial" w:cs="Arial" w:eastAsia="Arial" w:hAnsi="Arial"/>
                <w:sz w:val="16"/>
                <w:szCs w:val="16"/>
                <w:color w:val="auto"/>
              </w:rPr>
              <w:t>295,847</w:t>
            </w: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right w:val="single" w:sz="8" w:color="E5E5E5"/>
            </w:tcBorders>
            <w:shd w:val="clear" w:color="auto" w:fill="DBDBDB"/>
          </w:tcPr>
          <w:p>
            <w:pPr>
              <w:jc w:val="right"/>
              <w:ind w:right="19"/>
              <w:spacing w:after="0"/>
              <w:rPr>
                <w:sz w:val="20"/>
                <w:szCs w:val="20"/>
                <w:color w:val="auto"/>
              </w:rPr>
            </w:pPr>
            <w:r>
              <w:rPr>
                <w:rFonts w:ascii="Arial" w:cs="Arial" w:eastAsia="Arial" w:hAnsi="Arial"/>
                <w:sz w:val="16"/>
                <w:szCs w:val="16"/>
                <w:color w:val="auto"/>
              </w:rPr>
              <w:t>591,694</w:t>
            </w:r>
          </w:p>
        </w:tc>
        <w:tc>
          <w:tcPr>
            <w:tcW w:w="1040" w:type="dxa"/>
            <w:vAlign w:val="bottom"/>
            <w:tcBorders>
              <w:right w:val="single" w:sz="8" w:color="E5E5E5"/>
            </w:tcBorders>
            <w:shd w:val="clear" w:color="auto" w:fill="DBDBDB"/>
          </w:tcPr>
          <w:p>
            <w:pPr>
              <w:spacing w:after="0"/>
              <w:rPr>
                <w:sz w:val="17"/>
                <w:szCs w:val="17"/>
                <w:color w:val="auto"/>
              </w:rPr>
            </w:pPr>
          </w:p>
        </w:tc>
        <w:tc>
          <w:tcPr>
            <w:tcW w:w="760" w:type="dxa"/>
            <w:vAlign w:val="bottom"/>
            <w:tcBorders>
              <w:right w:val="single" w:sz="8" w:color="E5E5E5"/>
            </w:tcBorders>
            <w:shd w:val="clear" w:color="auto" w:fill="DBDBDB"/>
          </w:tcPr>
          <w:p>
            <w:pPr>
              <w:spacing w:after="0"/>
              <w:rPr>
                <w:sz w:val="17"/>
                <w:szCs w:val="17"/>
                <w:color w:val="auto"/>
              </w:rPr>
            </w:pPr>
          </w:p>
        </w:tc>
        <w:tc>
          <w:tcPr>
            <w:tcW w:w="1040" w:type="dxa"/>
            <w:vAlign w:val="bottom"/>
            <w:tcBorders>
              <w:right w:val="single" w:sz="8" w:color="E5E5E5"/>
            </w:tcBorders>
            <w:shd w:val="clear" w:color="auto" w:fill="DBDBDB"/>
          </w:tcPr>
          <w:p>
            <w:pPr>
              <w:spacing w:after="0"/>
              <w:rPr>
                <w:sz w:val="17"/>
                <w:szCs w:val="17"/>
                <w:color w:val="auto"/>
              </w:rPr>
            </w:pPr>
          </w:p>
        </w:tc>
        <w:tc>
          <w:tcPr>
            <w:tcW w:w="1220" w:type="dxa"/>
            <w:vAlign w:val="bottom"/>
            <w:tcBorders>
              <w:right w:val="single" w:sz="8" w:color="E5E5E5"/>
            </w:tcBorders>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040" w:type="dxa"/>
            <w:vAlign w:val="bottom"/>
            <w:tcBorders>
              <w:right w:val="single" w:sz="8" w:color="E5E5E5"/>
            </w:tcBorders>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980" w:type="dxa"/>
            <w:vAlign w:val="bottom"/>
            <w:tcBorders>
              <w:left w:val="single" w:sz="8" w:color="E5E5E5"/>
              <w:right w:val="single" w:sz="8" w:color="E5E5E5"/>
            </w:tcBorders>
            <w:vMerge w:val="restart"/>
            <w:shd w:val="clear" w:color="auto" w:fill="DBDBDB"/>
          </w:tcPr>
          <w:p>
            <w:pPr>
              <w:ind w:left="40"/>
              <w:spacing w:after="0"/>
              <w:rPr>
                <w:sz w:val="20"/>
                <w:szCs w:val="20"/>
                <w:color w:val="auto"/>
              </w:rPr>
            </w:pPr>
            <w:r>
              <w:rPr>
                <w:rFonts w:ascii="Arial" w:cs="Arial" w:eastAsia="Arial" w:hAnsi="Arial"/>
                <w:sz w:val="16"/>
                <w:szCs w:val="16"/>
                <w:color w:val="auto"/>
              </w:rPr>
              <w:t>Calloway</w:t>
            </w:r>
          </w:p>
        </w:tc>
        <w:tc>
          <w:tcPr>
            <w:tcW w:w="740" w:type="dxa"/>
            <w:vAlign w:val="bottom"/>
            <w:tcBorders>
              <w:right w:val="single" w:sz="8" w:color="E5E5E5"/>
            </w:tcBorders>
            <w:shd w:val="clear" w:color="auto" w:fill="DBDBDB"/>
          </w:tcPr>
          <w:p>
            <w:pPr>
              <w:spacing w:after="0"/>
              <w:rPr>
                <w:sz w:val="5"/>
                <w:szCs w:val="5"/>
                <w:color w:val="auto"/>
              </w:rPr>
            </w:pPr>
          </w:p>
        </w:tc>
        <w:tc>
          <w:tcPr>
            <w:tcW w:w="960" w:type="dxa"/>
            <w:vAlign w:val="bottom"/>
            <w:tcBorders>
              <w:right w:val="single" w:sz="8" w:color="E5E5E5"/>
            </w:tcBorders>
            <w:shd w:val="clear" w:color="auto" w:fill="DBDBDB"/>
          </w:tcPr>
          <w:p>
            <w:pPr>
              <w:spacing w:after="0"/>
              <w:rPr>
                <w:sz w:val="5"/>
                <w:szCs w:val="5"/>
                <w:color w:val="auto"/>
              </w:rPr>
            </w:pPr>
          </w:p>
        </w:tc>
        <w:tc>
          <w:tcPr>
            <w:tcW w:w="100" w:type="dxa"/>
            <w:vAlign w:val="bottom"/>
            <w:shd w:val="clear" w:color="auto" w:fill="DBDBDB"/>
          </w:tcPr>
          <w:p>
            <w:pPr>
              <w:spacing w:after="0"/>
              <w:rPr>
                <w:sz w:val="5"/>
                <w:szCs w:val="5"/>
                <w:color w:val="auto"/>
              </w:rPr>
            </w:pPr>
          </w:p>
        </w:tc>
        <w:tc>
          <w:tcPr>
            <w:tcW w:w="980" w:type="dxa"/>
            <w:vAlign w:val="bottom"/>
            <w:tcBorders>
              <w:right w:val="single" w:sz="8" w:color="E5E5E5"/>
            </w:tcBorders>
            <w:shd w:val="clear" w:color="auto" w:fill="DBDBDB"/>
          </w:tcPr>
          <w:p>
            <w:pPr>
              <w:spacing w:after="0"/>
              <w:rPr>
                <w:sz w:val="5"/>
                <w:szCs w:val="5"/>
                <w:color w:val="auto"/>
              </w:rPr>
            </w:pPr>
          </w:p>
        </w:tc>
        <w:tc>
          <w:tcPr>
            <w:tcW w:w="200" w:type="dxa"/>
            <w:vAlign w:val="bottom"/>
            <w:shd w:val="clear" w:color="auto" w:fill="DBDBDB"/>
          </w:tcPr>
          <w:p>
            <w:pPr>
              <w:spacing w:after="0"/>
              <w:rPr>
                <w:sz w:val="5"/>
                <w:szCs w:val="5"/>
                <w:color w:val="auto"/>
              </w:rPr>
            </w:pPr>
          </w:p>
        </w:tc>
        <w:tc>
          <w:tcPr>
            <w:tcW w:w="920" w:type="dxa"/>
            <w:vAlign w:val="bottom"/>
            <w:tcBorders>
              <w:right w:val="single" w:sz="8" w:color="E5E5E5"/>
            </w:tcBorders>
            <w:shd w:val="clear" w:color="auto" w:fill="DBDBDB"/>
          </w:tcPr>
          <w:p>
            <w:pPr>
              <w:spacing w:after="0"/>
              <w:rPr>
                <w:sz w:val="5"/>
                <w:szCs w:val="5"/>
                <w:color w:val="auto"/>
              </w:rPr>
            </w:pPr>
          </w:p>
        </w:tc>
        <w:tc>
          <w:tcPr>
            <w:tcW w:w="140" w:type="dxa"/>
            <w:vAlign w:val="bottom"/>
            <w:shd w:val="clear" w:color="auto" w:fill="DBDBDB"/>
          </w:tcPr>
          <w:p>
            <w:pPr>
              <w:spacing w:after="0"/>
              <w:rPr>
                <w:sz w:val="5"/>
                <w:szCs w:val="5"/>
                <w:color w:val="auto"/>
              </w:rPr>
            </w:pPr>
          </w:p>
        </w:tc>
        <w:tc>
          <w:tcPr>
            <w:tcW w:w="1020" w:type="dxa"/>
            <w:vAlign w:val="bottom"/>
            <w:tcBorders>
              <w:right w:val="single" w:sz="8" w:color="E5E5E5"/>
            </w:tcBorders>
            <w:shd w:val="clear" w:color="auto" w:fill="DBDBDB"/>
          </w:tcPr>
          <w:p>
            <w:pPr>
              <w:spacing w:after="0"/>
              <w:rPr>
                <w:sz w:val="5"/>
                <w:szCs w:val="5"/>
                <w:color w:val="auto"/>
              </w:rPr>
            </w:pPr>
          </w:p>
        </w:tc>
        <w:tc>
          <w:tcPr>
            <w:tcW w:w="1040" w:type="dxa"/>
            <w:vAlign w:val="bottom"/>
            <w:tcBorders>
              <w:right w:val="single" w:sz="8" w:color="E5E5E5"/>
            </w:tcBorders>
            <w:shd w:val="clear" w:color="auto" w:fill="DBDBDB"/>
          </w:tcPr>
          <w:p>
            <w:pPr>
              <w:spacing w:after="0"/>
              <w:rPr>
                <w:sz w:val="5"/>
                <w:szCs w:val="5"/>
                <w:color w:val="auto"/>
              </w:rPr>
            </w:pPr>
          </w:p>
        </w:tc>
        <w:tc>
          <w:tcPr>
            <w:tcW w:w="760" w:type="dxa"/>
            <w:vAlign w:val="bottom"/>
            <w:tcBorders>
              <w:right w:val="single" w:sz="8" w:color="E5E5E5"/>
            </w:tcBorders>
            <w:shd w:val="clear" w:color="auto" w:fill="DBDBDB"/>
          </w:tcPr>
          <w:p>
            <w:pPr>
              <w:spacing w:after="0"/>
              <w:rPr>
                <w:sz w:val="5"/>
                <w:szCs w:val="5"/>
                <w:color w:val="auto"/>
              </w:rPr>
            </w:pPr>
          </w:p>
        </w:tc>
        <w:tc>
          <w:tcPr>
            <w:tcW w:w="1040" w:type="dxa"/>
            <w:vAlign w:val="bottom"/>
            <w:tcBorders>
              <w:right w:val="single" w:sz="8" w:color="E5E5E5"/>
            </w:tcBorders>
            <w:shd w:val="clear" w:color="auto" w:fill="DBDBDB"/>
          </w:tcPr>
          <w:p>
            <w:pPr>
              <w:spacing w:after="0"/>
              <w:rPr>
                <w:sz w:val="5"/>
                <w:szCs w:val="5"/>
                <w:color w:val="auto"/>
              </w:rPr>
            </w:pPr>
          </w:p>
        </w:tc>
        <w:tc>
          <w:tcPr>
            <w:tcW w:w="1220" w:type="dxa"/>
            <w:vAlign w:val="bottom"/>
            <w:tcBorders>
              <w:right w:val="single" w:sz="8" w:color="E5E5E5"/>
            </w:tcBorders>
            <w:shd w:val="clear" w:color="auto" w:fill="DBDBDB"/>
          </w:tcPr>
          <w:p>
            <w:pPr>
              <w:spacing w:after="0"/>
              <w:rPr>
                <w:sz w:val="5"/>
                <w:szCs w:val="5"/>
                <w:color w:val="auto"/>
              </w:rPr>
            </w:pPr>
          </w:p>
        </w:tc>
        <w:tc>
          <w:tcPr>
            <w:tcW w:w="120" w:type="dxa"/>
            <w:vAlign w:val="bottom"/>
            <w:shd w:val="clear" w:color="auto" w:fill="DBDBDB"/>
          </w:tcPr>
          <w:p>
            <w:pPr>
              <w:spacing w:after="0"/>
              <w:rPr>
                <w:sz w:val="5"/>
                <w:szCs w:val="5"/>
                <w:color w:val="auto"/>
              </w:rPr>
            </w:pPr>
          </w:p>
        </w:tc>
        <w:tc>
          <w:tcPr>
            <w:tcW w:w="1040" w:type="dxa"/>
            <w:vAlign w:val="bottom"/>
            <w:tcBorders>
              <w:right w:val="single" w:sz="8" w:color="E5E5E5"/>
            </w:tcBorders>
            <w:shd w:val="clear" w:color="auto" w:fill="DBDBDB"/>
          </w:tcPr>
          <w:p>
            <w:pPr>
              <w:spacing w:after="0"/>
              <w:rPr>
                <w:sz w:val="5"/>
                <w:szCs w:val="5"/>
                <w:color w:val="auto"/>
              </w:rPr>
            </w:pPr>
          </w:p>
        </w:tc>
        <w:tc>
          <w:tcPr>
            <w:tcW w:w="0" w:type="dxa"/>
            <w:vAlign w:val="bottom"/>
          </w:tcPr>
          <w:p>
            <w:pPr>
              <w:spacing w:after="0"/>
              <w:rPr>
                <w:sz w:val="1"/>
                <w:szCs w:val="1"/>
                <w:color w:val="auto"/>
              </w:rPr>
            </w:pPr>
          </w:p>
        </w:tc>
      </w:tr>
      <w:tr>
        <w:trPr>
          <w:trHeight w:val="154"/>
        </w:trPr>
        <w:tc>
          <w:tcPr>
            <w:tcW w:w="980" w:type="dxa"/>
            <w:vAlign w:val="bottom"/>
            <w:tcBorders>
              <w:left w:val="single" w:sz="8" w:color="E5E5E5"/>
              <w:right w:val="single" w:sz="8" w:color="E5E5E5"/>
            </w:tcBorders>
            <w:vMerge w:val="continue"/>
            <w:shd w:val="clear" w:color="auto" w:fill="DBDBDB"/>
          </w:tcPr>
          <w:p>
            <w:pPr>
              <w:spacing w:after="0"/>
              <w:rPr>
                <w:sz w:val="13"/>
                <w:szCs w:val="13"/>
                <w:color w:val="auto"/>
              </w:rPr>
            </w:pPr>
          </w:p>
        </w:tc>
        <w:tc>
          <w:tcPr>
            <w:tcW w:w="740" w:type="dxa"/>
            <w:vAlign w:val="bottom"/>
            <w:tcBorders>
              <w:right w:val="single" w:sz="8" w:color="E5E5E5"/>
            </w:tcBorders>
            <w:vMerge w:val="restart"/>
            <w:shd w:val="clear" w:color="auto" w:fill="DBDBDB"/>
          </w:tcPr>
          <w:p>
            <w:pPr>
              <w:jc w:val="right"/>
              <w:spacing w:after="0"/>
              <w:rPr>
                <w:sz w:val="20"/>
                <w:szCs w:val="20"/>
                <w:color w:val="auto"/>
              </w:rPr>
            </w:pPr>
            <w:r>
              <w:rPr>
                <w:rFonts w:ascii="Arial" w:cs="Arial" w:eastAsia="Arial" w:hAnsi="Arial"/>
                <w:sz w:val="16"/>
                <w:szCs w:val="16"/>
                <w:color w:val="auto"/>
              </w:rPr>
              <w:t>2/20/24</w:t>
            </w:r>
          </w:p>
        </w:tc>
        <w:tc>
          <w:tcPr>
            <w:tcW w:w="960" w:type="dxa"/>
            <w:vAlign w:val="bottom"/>
            <w:tcBorders>
              <w:right w:val="single" w:sz="8" w:color="E5E5E5"/>
            </w:tcBorders>
            <w:vMerge w:val="restart"/>
            <w:shd w:val="clear" w:color="auto" w:fill="DBDBDB"/>
          </w:tcPr>
          <w:p>
            <w:pPr>
              <w:jc w:val="right"/>
              <w:spacing w:after="0"/>
              <w:rPr>
                <w:sz w:val="20"/>
                <w:szCs w:val="20"/>
                <w:color w:val="auto"/>
              </w:rPr>
            </w:pPr>
            <w:r>
              <w:rPr>
                <w:rFonts w:ascii="Arial" w:cs="Arial" w:eastAsia="Arial" w:hAnsi="Arial"/>
                <w:sz w:val="16"/>
                <w:szCs w:val="16"/>
                <w:color w:val="auto"/>
              </w:rPr>
              <w:t>2/12/24</w:t>
            </w:r>
          </w:p>
        </w:tc>
        <w:tc>
          <w:tcPr>
            <w:tcW w:w="100" w:type="dxa"/>
            <w:vAlign w:val="bottom"/>
            <w:shd w:val="clear" w:color="auto" w:fill="DBDBDB"/>
          </w:tcPr>
          <w:p>
            <w:pPr>
              <w:spacing w:after="0"/>
              <w:rPr>
                <w:sz w:val="13"/>
                <w:szCs w:val="13"/>
                <w:color w:val="auto"/>
              </w:rPr>
            </w:pPr>
          </w:p>
        </w:tc>
        <w:tc>
          <w:tcPr>
            <w:tcW w:w="980" w:type="dxa"/>
            <w:vAlign w:val="bottom"/>
            <w:tcBorders>
              <w:right w:val="single" w:sz="8" w:color="E5E5E5"/>
            </w:tcBorders>
            <w:shd w:val="clear" w:color="auto" w:fill="DBDBDB"/>
          </w:tcPr>
          <w:p>
            <w:pPr>
              <w:spacing w:after="0"/>
              <w:rPr>
                <w:sz w:val="13"/>
                <w:szCs w:val="13"/>
                <w:color w:val="auto"/>
              </w:rPr>
            </w:pPr>
          </w:p>
        </w:tc>
        <w:tc>
          <w:tcPr>
            <w:tcW w:w="200" w:type="dxa"/>
            <w:vAlign w:val="bottom"/>
            <w:shd w:val="clear" w:color="auto" w:fill="DBDBDB"/>
          </w:tcPr>
          <w:p>
            <w:pPr>
              <w:spacing w:after="0"/>
              <w:rPr>
                <w:sz w:val="13"/>
                <w:szCs w:val="13"/>
                <w:color w:val="auto"/>
              </w:rPr>
            </w:pPr>
          </w:p>
        </w:tc>
        <w:tc>
          <w:tcPr>
            <w:tcW w:w="920" w:type="dxa"/>
            <w:vAlign w:val="bottom"/>
            <w:tcBorders>
              <w:right w:val="single" w:sz="8" w:color="E5E5E5"/>
            </w:tcBorders>
            <w:shd w:val="clear" w:color="auto" w:fill="DBDBDB"/>
          </w:tcPr>
          <w:p>
            <w:pPr>
              <w:spacing w:after="0"/>
              <w:rPr>
                <w:sz w:val="13"/>
                <w:szCs w:val="13"/>
                <w:color w:val="auto"/>
              </w:rPr>
            </w:pPr>
          </w:p>
        </w:tc>
        <w:tc>
          <w:tcPr>
            <w:tcW w:w="140" w:type="dxa"/>
            <w:vAlign w:val="bottom"/>
            <w:shd w:val="clear" w:color="auto" w:fill="DBDBDB"/>
          </w:tcPr>
          <w:p>
            <w:pPr>
              <w:spacing w:after="0"/>
              <w:rPr>
                <w:sz w:val="13"/>
                <w:szCs w:val="13"/>
                <w:color w:val="auto"/>
              </w:rPr>
            </w:pPr>
          </w:p>
        </w:tc>
        <w:tc>
          <w:tcPr>
            <w:tcW w:w="1020" w:type="dxa"/>
            <w:vAlign w:val="bottom"/>
            <w:tcBorders>
              <w:right w:val="single" w:sz="8" w:color="E5E5E5"/>
            </w:tcBorders>
            <w:shd w:val="clear" w:color="auto" w:fill="DBDBDB"/>
          </w:tcPr>
          <w:p>
            <w:pPr>
              <w:spacing w:after="0"/>
              <w:rPr>
                <w:sz w:val="13"/>
                <w:szCs w:val="13"/>
                <w:color w:val="auto"/>
              </w:rPr>
            </w:pPr>
          </w:p>
        </w:tc>
        <w:tc>
          <w:tcPr>
            <w:tcW w:w="1040" w:type="dxa"/>
            <w:vAlign w:val="bottom"/>
            <w:tcBorders>
              <w:right w:val="single" w:sz="8" w:color="E5E5E5"/>
            </w:tcBorders>
            <w:shd w:val="clear" w:color="auto" w:fill="DBDBDB"/>
          </w:tcPr>
          <w:p>
            <w:pPr>
              <w:spacing w:after="0"/>
              <w:rPr>
                <w:sz w:val="13"/>
                <w:szCs w:val="13"/>
                <w:color w:val="auto"/>
              </w:rPr>
            </w:pPr>
          </w:p>
        </w:tc>
        <w:tc>
          <w:tcPr>
            <w:tcW w:w="760" w:type="dxa"/>
            <w:vAlign w:val="bottom"/>
            <w:tcBorders>
              <w:right w:val="single" w:sz="8" w:color="E5E5E5"/>
            </w:tcBorders>
            <w:shd w:val="clear" w:color="auto" w:fill="DBDBDB"/>
          </w:tcPr>
          <w:p>
            <w:pPr>
              <w:spacing w:after="0"/>
              <w:rPr>
                <w:sz w:val="13"/>
                <w:szCs w:val="13"/>
                <w:color w:val="auto"/>
              </w:rPr>
            </w:pPr>
          </w:p>
        </w:tc>
        <w:tc>
          <w:tcPr>
            <w:tcW w:w="1040" w:type="dxa"/>
            <w:vAlign w:val="bottom"/>
            <w:tcBorders>
              <w:right w:val="single" w:sz="8" w:color="E5E5E5"/>
            </w:tcBorders>
            <w:shd w:val="clear" w:color="auto" w:fill="DBDBDB"/>
          </w:tcPr>
          <w:p>
            <w:pPr>
              <w:spacing w:after="0"/>
              <w:rPr>
                <w:sz w:val="13"/>
                <w:szCs w:val="13"/>
                <w:color w:val="auto"/>
              </w:rPr>
            </w:pPr>
          </w:p>
        </w:tc>
        <w:tc>
          <w:tcPr>
            <w:tcW w:w="1220" w:type="dxa"/>
            <w:vAlign w:val="bottom"/>
            <w:tcBorders>
              <w:right w:val="single" w:sz="8" w:color="E5E5E5"/>
            </w:tcBorders>
            <w:vMerge w:val="restart"/>
            <w:shd w:val="clear" w:color="auto" w:fill="DBDBDB"/>
          </w:tcPr>
          <w:p>
            <w:pPr>
              <w:jc w:val="right"/>
              <w:spacing w:after="0"/>
              <w:rPr>
                <w:sz w:val="20"/>
                <w:szCs w:val="20"/>
                <w:color w:val="auto"/>
              </w:rPr>
            </w:pPr>
            <w:r>
              <w:rPr>
                <w:rFonts w:ascii="Arial" w:cs="Arial" w:eastAsia="Arial" w:hAnsi="Arial"/>
                <w:sz w:val="16"/>
                <w:szCs w:val="16"/>
                <w:color w:val="auto"/>
              </w:rPr>
              <w:t>692</w:t>
            </w:r>
          </w:p>
        </w:tc>
        <w:tc>
          <w:tcPr>
            <w:tcW w:w="12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right w:val="single" w:sz="8" w:color="E5E5E5"/>
            </w:tcBorders>
            <w:vMerge w:val="restart"/>
            <w:shd w:val="clear" w:color="auto" w:fill="DBDBDB"/>
          </w:tcPr>
          <w:p>
            <w:pPr>
              <w:jc w:val="right"/>
              <w:ind w:right="23"/>
              <w:spacing w:after="0"/>
              <w:rPr>
                <w:sz w:val="20"/>
                <w:szCs w:val="20"/>
                <w:color w:val="auto"/>
              </w:rPr>
            </w:pPr>
            <w:r>
              <w:rPr>
                <w:rFonts w:ascii="Arial" w:cs="Arial" w:eastAsia="Arial" w:hAnsi="Arial"/>
                <w:sz w:val="16"/>
                <w:szCs w:val="16"/>
                <w:color w:val="auto"/>
              </w:rPr>
              <w:t>150,088</w:t>
            </w:r>
          </w:p>
        </w:tc>
        <w:tc>
          <w:tcPr>
            <w:tcW w:w="0" w:type="dxa"/>
            <w:vAlign w:val="bottom"/>
          </w:tcPr>
          <w:p>
            <w:pPr>
              <w:spacing w:after="0"/>
              <w:rPr>
                <w:sz w:val="1"/>
                <w:szCs w:val="1"/>
                <w:color w:val="auto"/>
              </w:rPr>
            </w:pPr>
          </w:p>
        </w:tc>
      </w:tr>
      <w:tr>
        <w:trPr>
          <w:trHeight w:val="102"/>
        </w:trPr>
        <w:tc>
          <w:tcPr>
            <w:tcW w:w="980" w:type="dxa"/>
            <w:vAlign w:val="bottom"/>
            <w:tcBorders>
              <w:left w:val="single" w:sz="8" w:color="E5E5E5"/>
              <w:right w:val="single" w:sz="8" w:color="E5E5E5"/>
            </w:tcBorders>
            <w:shd w:val="clear" w:color="auto" w:fill="DBDBDB"/>
          </w:tcPr>
          <w:p>
            <w:pPr>
              <w:spacing w:after="0"/>
              <w:rPr>
                <w:sz w:val="8"/>
                <w:szCs w:val="8"/>
                <w:color w:val="auto"/>
              </w:rPr>
            </w:pPr>
          </w:p>
        </w:tc>
        <w:tc>
          <w:tcPr>
            <w:tcW w:w="740" w:type="dxa"/>
            <w:vAlign w:val="bottom"/>
            <w:tcBorders>
              <w:right w:val="single" w:sz="8" w:color="E5E5E5"/>
            </w:tcBorders>
            <w:vMerge w:val="continue"/>
            <w:shd w:val="clear" w:color="auto" w:fill="DBDBDB"/>
          </w:tcPr>
          <w:p>
            <w:pPr>
              <w:spacing w:after="0"/>
              <w:rPr>
                <w:sz w:val="8"/>
                <w:szCs w:val="8"/>
                <w:color w:val="auto"/>
              </w:rPr>
            </w:pPr>
          </w:p>
        </w:tc>
        <w:tc>
          <w:tcPr>
            <w:tcW w:w="960" w:type="dxa"/>
            <w:vAlign w:val="bottom"/>
            <w:tcBorders>
              <w:right w:val="single" w:sz="8" w:color="E5E5E5"/>
            </w:tcBorders>
            <w:vMerge w:val="continue"/>
            <w:shd w:val="clear" w:color="auto" w:fill="DBDBDB"/>
          </w:tcPr>
          <w:p>
            <w:pPr>
              <w:spacing w:after="0"/>
              <w:rPr>
                <w:sz w:val="8"/>
                <w:szCs w:val="8"/>
                <w:color w:val="auto"/>
              </w:rPr>
            </w:pPr>
          </w:p>
        </w:tc>
        <w:tc>
          <w:tcPr>
            <w:tcW w:w="100" w:type="dxa"/>
            <w:vAlign w:val="bottom"/>
            <w:shd w:val="clear" w:color="auto" w:fill="DBDBDB"/>
          </w:tcPr>
          <w:p>
            <w:pPr>
              <w:spacing w:after="0"/>
              <w:rPr>
                <w:sz w:val="8"/>
                <w:szCs w:val="8"/>
                <w:color w:val="auto"/>
              </w:rPr>
            </w:pPr>
          </w:p>
        </w:tc>
        <w:tc>
          <w:tcPr>
            <w:tcW w:w="980" w:type="dxa"/>
            <w:vAlign w:val="bottom"/>
            <w:tcBorders>
              <w:right w:val="single" w:sz="8" w:color="E5E5E5"/>
            </w:tcBorders>
            <w:shd w:val="clear" w:color="auto" w:fill="DBDBDB"/>
          </w:tcPr>
          <w:p>
            <w:pPr>
              <w:spacing w:after="0"/>
              <w:rPr>
                <w:sz w:val="8"/>
                <w:szCs w:val="8"/>
                <w:color w:val="auto"/>
              </w:rPr>
            </w:pPr>
          </w:p>
        </w:tc>
        <w:tc>
          <w:tcPr>
            <w:tcW w:w="200" w:type="dxa"/>
            <w:vAlign w:val="bottom"/>
            <w:shd w:val="clear" w:color="auto" w:fill="DBDBDB"/>
          </w:tcPr>
          <w:p>
            <w:pPr>
              <w:spacing w:after="0"/>
              <w:rPr>
                <w:sz w:val="8"/>
                <w:szCs w:val="8"/>
                <w:color w:val="auto"/>
              </w:rPr>
            </w:pPr>
          </w:p>
        </w:tc>
        <w:tc>
          <w:tcPr>
            <w:tcW w:w="920" w:type="dxa"/>
            <w:vAlign w:val="bottom"/>
            <w:tcBorders>
              <w:right w:val="single" w:sz="8" w:color="E5E5E5"/>
            </w:tcBorders>
            <w:shd w:val="clear" w:color="auto" w:fill="DBDBDB"/>
          </w:tcPr>
          <w:p>
            <w:pPr>
              <w:spacing w:after="0"/>
              <w:rPr>
                <w:sz w:val="8"/>
                <w:szCs w:val="8"/>
                <w:color w:val="auto"/>
              </w:rPr>
            </w:pPr>
          </w:p>
        </w:tc>
        <w:tc>
          <w:tcPr>
            <w:tcW w:w="140" w:type="dxa"/>
            <w:vAlign w:val="bottom"/>
            <w:shd w:val="clear" w:color="auto" w:fill="DBDBDB"/>
          </w:tcPr>
          <w:p>
            <w:pPr>
              <w:spacing w:after="0"/>
              <w:rPr>
                <w:sz w:val="8"/>
                <w:szCs w:val="8"/>
                <w:color w:val="auto"/>
              </w:rPr>
            </w:pPr>
          </w:p>
        </w:tc>
        <w:tc>
          <w:tcPr>
            <w:tcW w:w="1020" w:type="dxa"/>
            <w:vAlign w:val="bottom"/>
            <w:tcBorders>
              <w:right w:val="single" w:sz="8" w:color="E5E5E5"/>
            </w:tcBorders>
            <w:shd w:val="clear" w:color="auto" w:fill="DBDBDB"/>
          </w:tcPr>
          <w:p>
            <w:pPr>
              <w:spacing w:after="0"/>
              <w:rPr>
                <w:sz w:val="8"/>
                <w:szCs w:val="8"/>
                <w:color w:val="auto"/>
              </w:rPr>
            </w:pPr>
          </w:p>
        </w:tc>
        <w:tc>
          <w:tcPr>
            <w:tcW w:w="1040" w:type="dxa"/>
            <w:vAlign w:val="bottom"/>
            <w:tcBorders>
              <w:right w:val="single" w:sz="8" w:color="E5E5E5"/>
            </w:tcBorders>
            <w:shd w:val="clear" w:color="auto" w:fill="DBDBDB"/>
          </w:tcPr>
          <w:p>
            <w:pPr>
              <w:spacing w:after="0"/>
              <w:rPr>
                <w:sz w:val="8"/>
                <w:szCs w:val="8"/>
                <w:color w:val="auto"/>
              </w:rPr>
            </w:pPr>
          </w:p>
        </w:tc>
        <w:tc>
          <w:tcPr>
            <w:tcW w:w="760" w:type="dxa"/>
            <w:vAlign w:val="bottom"/>
            <w:tcBorders>
              <w:right w:val="single" w:sz="8" w:color="E5E5E5"/>
            </w:tcBorders>
            <w:shd w:val="clear" w:color="auto" w:fill="DBDBDB"/>
          </w:tcPr>
          <w:p>
            <w:pPr>
              <w:spacing w:after="0"/>
              <w:rPr>
                <w:sz w:val="8"/>
                <w:szCs w:val="8"/>
                <w:color w:val="auto"/>
              </w:rPr>
            </w:pPr>
          </w:p>
        </w:tc>
        <w:tc>
          <w:tcPr>
            <w:tcW w:w="1040" w:type="dxa"/>
            <w:vAlign w:val="bottom"/>
            <w:tcBorders>
              <w:right w:val="single" w:sz="8" w:color="E5E5E5"/>
            </w:tcBorders>
            <w:shd w:val="clear" w:color="auto" w:fill="DBDBDB"/>
          </w:tcPr>
          <w:p>
            <w:pPr>
              <w:spacing w:after="0"/>
              <w:rPr>
                <w:sz w:val="8"/>
                <w:szCs w:val="8"/>
                <w:color w:val="auto"/>
              </w:rPr>
            </w:pPr>
          </w:p>
        </w:tc>
        <w:tc>
          <w:tcPr>
            <w:tcW w:w="1220" w:type="dxa"/>
            <w:vAlign w:val="bottom"/>
            <w:tcBorders>
              <w:right w:val="single" w:sz="8" w:color="E5E5E5"/>
            </w:tcBorders>
            <w:vMerge w:val="continue"/>
            <w:shd w:val="clear" w:color="auto" w:fill="DBDBDB"/>
          </w:tcPr>
          <w:p>
            <w:pPr>
              <w:spacing w:after="0"/>
              <w:rPr>
                <w:sz w:val="8"/>
                <w:szCs w:val="8"/>
                <w:color w:val="auto"/>
              </w:rPr>
            </w:pPr>
          </w:p>
        </w:tc>
        <w:tc>
          <w:tcPr>
            <w:tcW w:w="120" w:type="dxa"/>
            <w:vAlign w:val="bottom"/>
            <w:vMerge w:val="continue"/>
            <w:shd w:val="clear" w:color="auto" w:fill="DBDBDB"/>
          </w:tcPr>
          <w:p>
            <w:pPr>
              <w:spacing w:after="0"/>
              <w:rPr>
                <w:sz w:val="8"/>
                <w:szCs w:val="8"/>
                <w:color w:val="auto"/>
              </w:rPr>
            </w:pPr>
          </w:p>
        </w:tc>
        <w:tc>
          <w:tcPr>
            <w:tcW w:w="1040" w:type="dxa"/>
            <w:vAlign w:val="bottom"/>
            <w:tcBorders>
              <w:right w:val="single" w:sz="8" w:color="E5E5E5"/>
            </w:tcBorders>
            <w:vMerge w:val="continue"/>
            <w:shd w:val="clear" w:color="auto" w:fill="DBDBDB"/>
          </w:tcPr>
          <w:p>
            <w:pPr>
              <w:spacing w:after="0"/>
              <w:rPr>
                <w:sz w:val="8"/>
                <w:szCs w:val="8"/>
                <w:color w:val="auto"/>
              </w:rPr>
            </w:pPr>
          </w:p>
        </w:tc>
        <w:tc>
          <w:tcPr>
            <w:tcW w:w="0" w:type="dxa"/>
            <w:vAlign w:val="bottom"/>
          </w:tcPr>
          <w:p>
            <w:pPr>
              <w:spacing w:after="0"/>
              <w:rPr>
                <w:sz w:val="1"/>
                <w:szCs w:val="1"/>
                <w:color w:val="auto"/>
              </w:rPr>
            </w:pPr>
          </w:p>
        </w:tc>
      </w:tr>
      <w:tr>
        <w:trPr>
          <w:trHeight w:val="256"/>
        </w:trPr>
        <w:tc>
          <w:tcPr>
            <w:tcW w:w="980" w:type="dxa"/>
            <w:vAlign w:val="bottom"/>
            <w:tcBorders>
              <w:left w:val="single" w:sz="8" w:color="E5E5E5"/>
              <w:right w:val="single" w:sz="8" w:color="E5E5E5"/>
            </w:tcBorders>
            <w:shd w:val="clear" w:color="auto" w:fill="DBDBDB"/>
          </w:tcPr>
          <w:p>
            <w:pPr>
              <w:spacing w:after="0"/>
              <w:rPr>
                <w:sz w:val="22"/>
                <w:szCs w:val="22"/>
                <w:color w:val="auto"/>
              </w:rPr>
            </w:pPr>
          </w:p>
        </w:tc>
        <w:tc>
          <w:tcPr>
            <w:tcW w:w="740" w:type="dxa"/>
            <w:vAlign w:val="bottom"/>
            <w:tcBorders>
              <w:right w:val="single" w:sz="8" w:color="E5E5E5"/>
            </w:tcBorders>
            <w:shd w:val="clear" w:color="auto" w:fill="DBDBDB"/>
          </w:tcPr>
          <w:p>
            <w:pPr>
              <w:jc w:val="right"/>
              <w:spacing w:after="0"/>
              <w:rPr>
                <w:sz w:val="20"/>
                <w:szCs w:val="20"/>
                <w:color w:val="auto"/>
              </w:rPr>
            </w:pPr>
            <w:r>
              <w:rPr>
                <w:rFonts w:ascii="Arial" w:cs="Arial" w:eastAsia="Arial" w:hAnsi="Arial"/>
                <w:sz w:val="16"/>
                <w:szCs w:val="16"/>
                <w:color w:val="auto"/>
              </w:rPr>
              <w:t>7/1/24</w:t>
            </w:r>
          </w:p>
        </w:tc>
        <w:tc>
          <w:tcPr>
            <w:tcW w:w="960" w:type="dxa"/>
            <w:vAlign w:val="bottom"/>
            <w:tcBorders>
              <w:right w:val="single" w:sz="8" w:color="E5E5E5"/>
            </w:tcBorders>
            <w:shd w:val="clear" w:color="auto" w:fill="DBDBDB"/>
          </w:tcPr>
          <w:p>
            <w:pPr>
              <w:jc w:val="right"/>
              <w:spacing w:after="0"/>
              <w:rPr>
                <w:sz w:val="20"/>
                <w:szCs w:val="20"/>
                <w:color w:val="auto"/>
              </w:rPr>
            </w:pPr>
            <w:r>
              <w:rPr>
                <w:rFonts w:ascii="Arial" w:cs="Arial" w:eastAsia="Arial" w:hAnsi="Arial"/>
                <w:sz w:val="16"/>
                <w:szCs w:val="16"/>
                <w:color w:val="auto"/>
              </w:rPr>
              <w:t>6/24/24</w:t>
            </w:r>
          </w:p>
        </w:tc>
        <w:tc>
          <w:tcPr>
            <w:tcW w:w="100" w:type="dxa"/>
            <w:vAlign w:val="bottom"/>
            <w:shd w:val="clear" w:color="auto" w:fill="DBDBDB"/>
          </w:tcPr>
          <w:p>
            <w:pPr>
              <w:spacing w:after="0"/>
              <w:rPr>
                <w:sz w:val="22"/>
                <w:szCs w:val="22"/>
                <w:color w:val="auto"/>
              </w:rPr>
            </w:pPr>
          </w:p>
        </w:tc>
        <w:tc>
          <w:tcPr>
            <w:tcW w:w="980" w:type="dxa"/>
            <w:vAlign w:val="bottom"/>
            <w:tcBorders>
              <w:right w:val="single" w:sz="8" w:color="E5E5E5"/>
            </w:tcBorders>
            <w:shd w:val="clear" w:color="auto" w:fill="DBDBDB"/>
          </w:tcPr>
          <w:p>
            <w:pPr>
              <w:spacing w:after="0"/>
              <w:rPr>
                <w:sz w:val="22"/>
                <w:szCs w:val="22"/>
                <w:color w:val="auto"/>
              </w:rPr>
            </w:pPr>
          </w:p>
        </w:tc>
        <w:tc>
          <w:tcPr>
            <w:tcW w:w="200" w:type="dxa"/>
            <w:vAlign w:val="bottom"/>
            <w:shd w:val="clear" w:color="auto" w:fill="DBDBDB"/>
          </w:tcPr>
          <w:p>
            <w:pPr>
              <w:spacing w:after="0"/>
              <w:rPr>
                <w:sz w:val="22"/>
                <w:szCs w:val="22"/>
                <w:color w:val="auto"/>
              </w:rPr>
            </w:pPr>
          </w:p>
        </w:tc>
        <w:tc>
          <w:tcPr>
            <w:tcW w:w="920" w:type="dxa"/>
            <w:vAlign w:val="bottom"/>
            <w:tcBorders>
              <w:right w:val="single" w:sz="8" w:color="E5E5E5"/>
            </w:tcBorders>
            <w:shd w:val="clear" w:color="auto" w:fill="DBDBDB"/>
          </w:tcPr>
          <w:p>
            <w:pPr>
              <w:spacing w:after="0"/>
              <w:rPr>
                <w:sz w:val="22"/>
                <w:szCs w:val="22"/>
                <w:color w:val="auto"/>
              </w:rPr>
            </w:pPr>
          </w:p>
        </w:tc>
        <w:tc>
          <w:tcPr>
            <w:tcW w:w="140" w:type="dxa"/>
            <w:vAlign w:val="bottom"/>
            <w:shd w:val="clear" w:color="auto" w:fill="DBDBDB"/>
          </w:tcPr>
          <w:p>
            <w:pPr>
              <w:spacing w:after="0"/>
              <w:rPr>
                <w:sz w:val="22"/>
                <w:szCs w:val="22"/>
                <w:color w:val="auto"/>
              </w:rPr>
            </w:pPr>
          </w:p>
        </w:tc>
        <w:tc>
          <w:tcPr>
            <w:tcW w:w="1020" w:type="dxa"/>
            <w:vAlign w:val="bottom"/>
            <w:tcBorders>
              <w:right w:val="single" w:sz="8" w:color="E5E5E5"/>
            </w:tcBorders>
            <w:shd w:val="clear" w:color="auto" w:fill="DBDBDB"/>
          </w:tcPr>
          <w:p>
            <w:pPr>
              <w:spacing w:after="0"/>
              <w:rPr>
                <w:sz w:val="22"/>
                <w:szCs w:val="22"/>
                <w:color w:val="auto"/>
              </w:rPr>
            </w:pPr>
          </w:p>
        </w:tc>
        <w:tc>
          <w:tcPr>
            <w:tcW w:w="1040" w:type="dxa"/>
            <w:vAlign w:val="bottom"/>
            <w:tcBorders>
              <w:right w:val="single" w:sz="8" w:color="E5E5E5"/>
            </w:tcBorders>
            <w:shd w:val="clear" w:color="auto" w:fill="DBDBDB"/>
          </w:tcPr>
          <w:p>
            <w:pPr>
              <w:spacing w:after="0"/>
              <w:rPr>
                <w:sz w:val="22"/>
                <w:szCs w:val="22"/>
                <w:color w:val="auto"/>
              </w:rPr>
            </w:pPr>
          </w:p>
        </w:tc>
        <w:tc>
          <w:tcPr>
            <w:tcW w:w="760" w:type="dxa"/>
            <w:vAlign w:val="bottom"/>
            <w:tcBorders>
              <w:right w:val="single" w:sz="8" w:color="E5E5E5"/>
            </w:tcBorders>
            <w:shd w:val="clear" w:color="auto" w:fill="DBDBDB"/>
          </w:tcPr>
          <w:p>
            <w:pPr>
              <w:spacing w:after="0"/>
              <w:rPr>
                <w:sz w:val="22"/>
                <w:szCs w:val="22"/>
                <w:color w:val="auto"/>
              </w:rPr>
            </w:pPr>
          </w:p>
        </w:tc>
        <w:tc>
          <w:tcPr>
            <w:tcW w:w="1040" w:type="dxa"/>
            <w:vAlign w:val="bottom"/>
            <w:tcBorders>
              <w:right w:val="single" w:sz="8" w:color="E5E5E5"/>
            </w:tcBorders>
            <w:shd w:val="clear" w:color="auto" w:fill="DBDBDB"/>
          </w:tcPr>
          <w:p>
            <w:pPr>
              <w:spacing w:after="0"/>
              <w:rPr>
                <w:sz w:val="22"/>
                <w:szCs w:val="22"/>
                <w:color w:val="auto"/>
              </w:rPr>
            </w:pPr>
          </w:p>
        </w:tc>
        <w:tc>
          <w:tcPr>
            <w:tcW w:w="1220" w:type="dxa"/>
            <w:vAlign w:val="bottom"/>
            <w:tcBorders>
              <w:right w:val="single" w:sz="8" w:color="E5E5E5"/>
            </w:tcBorders>
            <w:shd w:val="clear" w:color="auto" w:fill="DBDBDB"/>
          </w:tcPr>
          <w:p>
            <w:pPr>
              <w:jc w:val="right"/>
              <w:spacing w:after="0"/>
              <w:rPr>
                <w:sz w:val="20"/>
                <w:szCs w:val="20"/>
                <w:color w:val="auto"/>
              </w:rPr>
            </w:pPr>
            <w:r>
              <w:rPr>
                <w:rFonts w:ascii="Arial" w:cs="Arial" w:eastAsia="Arial" w:hAnsi="Arial"/>
                <w:sz w:val="16"/>
                <w:szCs w:val="16"/>
                <w:color w:val="auto"/>
              </w:rPr>
              <w:t>1,314</w:t>
            </w:r>
          </w:p>
        </w:tc>
        <w:tc>
          <w:tcPr>
            <w:tcW w:w="12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right w:val="single" w:sz="8" w:color="E5E5E5"/>
            </w:tcBorders>
            <w:shd w:val="clear" w:color="auto" w:fill="DBDBDB"/>
          </w:tcPr>
          <w:p>
            <w:pPr>
              <w:jc w:val="right"/>
              <w:ind w:right="23"/>
              <w:spacing w:after="0"/>
              <w:rPr>
                <w:sz w:val="20"/>
                <w:szCs w:val="20"/>
                <w:color w:val="auto"/>
              </w:rPr>
            </w:pPr>
            <w:r>
              <w:rPr>
                <w:rFonts w:ascii="Arial" w:cs="Arial" w:eastAsia="Arial" w:hAnsi="Arial"/>
                <w:sz w:val="16"/>
                <w:szCs w:val="16"/>
                <w:color w:val="auto"/>
              </w:rPr>
              <w:t>299,907</w:t>
            </w:r>
          </w:p>
        </w:tc>
        <w:tc>
          <w:tcPr>
            <w:tcW w:w="0" w:type="dxa"/>
            <w:vAlign w:val="bottom"/>
          </w:tcPr>
          <w:p>
            <w:pPr>
              <w:spacing w:after="0"/>
              <w:rPr>
                <w:sz w:val="1"/>
                <w:szCs w:val="1"/>
                <w:color w:val="auto"/>
              </w:rPr>
            </w:pPr>
          </w:p>
        </w:tc>
      </w:tr>
      <w:tr>
        <w:trPr>
          <w:trHeight w:val="264"/>
        </w:trPr>
        <w:tc>
          <w:tcPr>
            <w:tcW w:w="980" w:type="dxa"/>
            <w:vAlign w:val="bottom"/>
            <w:tcBorders>
              <w:left w:val="single" w:sz="8" w:color="E5E5E5"/>
              <w:right w:val="single" w:sz="8" w:color="E5E5E5"/>
            </w:tcBorders>
            <w:shd w:val="clear" w:color="auto" w:fill="DBDBDB"/>
          </w:tcPr>
          <w:p>
            <w:pPr>
              <w:spacing w:after="0"/>
              <w:rPr>
                <w:sz w:val="22"/>
                <w:szCs w:val="22"/>
                <w:color w:val="auto"/>
              </w:rPr>
            </w:pPr>
          </w:p>
        </w:tc>
        <w:tc>
          <w:tcPr>
            <w:tcW w:w="740" w:type="dxa"/>
            <w:vAlign w:val="bottom"/>
            <w:tcBorders>
              <w:right w:val="single" w:sz="8" w:color="E5E5E5"/>
            </w:tcBorders>
            <w:shd w:val="clear" w:color="auto" w:fill="DBDBDB"/>
          </w:tcPr>
          <w:p>
            <w:pPr>
              <w:jc w:val="right"/>
              <w:spacing w:after="0"/>
              <w:rPr>
                <w:sz w:val="20"/>
                <w:szCs w:val="20"/>
                <w:color w:val="auto"/>
              </w:rPr>
            </w:pPr>
            <w:r>
              <w:rPr>
                <w:rFonts w:ascii="Arial" w:cs="Arial" w:eastAsia="Arial" w:hAnsi="Arial"/>
                <w:sz w:val="16"/>
                <w:szCs w:val="16"/>
                <w:color w:val="auto"/>
              </w:rPr>
              <w:t>2/20/24</w:t>
            </w:r>
          </w:p>
        </w:tc>
        <w:tc>
          <w:tcPr>
            <w:tcW w:w="960" w:type="dxa"/>
            <w:vAlign w:val="bottom"/>
            <w:tcBorders>
              <w:right w:val="single" w:sz="8" w:color="E5E5E5"/>
            </w:tcBorders>
            <w:shd w:val="clear" w:color="auto" w:fill="DBDBDB"/>
          </w:tcPr>
          <w:p>
            <w:pPr>
              <w:jc w:val="right"/>
              <w:spacing w:after="0"/>
              <w:rPr>
                <w:sz w:val="20"/>
                <w:szCs w:val="20"/>
                <w:color w:val="auto"/>
              </w:rPr>
            </w:pPr>
            <w:r>
              <w:rPr>
                <w:rFonts w:ascii="Arial" w:cs="Arial" w:eastAsia="Arial" w:hAnsi="Arial"/>
                <w:sz w:val="16"/>
                <w:szCs w:val="16"/>
                <w:color w:val="auto"/>
              </w:rPr>
              <w:t>2/12/24</w:t>
            </w:r>
          </w:p>
        </w:tc>
        <w:tc>
          <w:tcPr>
            <w:tcW w:w="100" w:type="dxa"/>
            <w:vAlign w:val="bottom"/>
            <w:shd w:val="clear" w:color="auto" w:fill="DBDBDB"/>
          </w:tcPr>
          <w:p>
            <w:pPr>
              <w:spacing w:after="0"/>
              <w:rPr>
                <w:sz w:val="22"/>
                <w:szCs w:val="22"/>
                <w:color w:val="auto"/>
              </w:rPr>
            </w:pPr>
          </w:p>
        </w:tc>
        <w:tc>
          <w:tcPr>
            <w:tcW w:w="980" w:type="dxa"/>
            <w:vAlign w:val="bottom"/>
            <w:tcBorders>
              <w:right w:val="single" w:sz="8" w:color="E5E5E5"/>
            </w:tcBorders>
            <w:shd w:val="clear" w:color="auto" w:fill="DBDBDB"/>
          </w:tcPr>
          <w:p>
            <w:pPr>
              <w:spacing w:after="0"/>
              <w:rPr>
                <w:sz w:val="22"/>
                <w:szCs w:val="22"/>
                <w:color w:val="auto"/>
              </w:rPr>
            </w:pPr>
          </w:p>
        </w:tc>
        <w:tc>
          <w:tcPr>
            <w:tcW w:w="200" w:type="dxa"/>
            <w:vAlign w:val="bottom"/>
            <w:shd w:val="clear" w:color="auto" w:fill="DBDBDB"/>
          </w:tcPr>
          <w:p>
            <w:pPr>
              <w:spacing w:after="0"/>
              <w:rPr>
                <w:sz w:val="22"/>
                <w:szCs w:val="22"/>
                <w:color w:val="auto"/>
              </w:rPr>
            </w:pPr>
          </w:p>
        </w:tc>
        <w:tc>
          <w:tcPr>
            <w:tcW w:w="920" w:type="dxa"/>
            <w:vAlign w:val="bottom"/>
            <w:tcBorders>
              <w:right w:val="single" w:sz="8" w:color="E5E5E5"/>
            </w:tcBorders>
            <w:shd w:val="clear" w:color="auto" w:fill="DBDBDB"/>
          </w:tcPr>
          <w:p>
            <w:pPr>
              <w:spacing w:after="0"/>
              <w:rPr>
                <w:sz w:val="22"/>
                <w:szCs w:val="22"/>
                <w:color w:val="auto"/>
              </w:rPr>
            </w:pPr>
          </w:p>
        </w:tc>
        <w:tc>
          <w:tcPr>
            <w:tcW w:w="140" w:type="dxa"/>
            <w:vAlign w:val="bottom"/>
            <w:shd w:val="clear" w:color="auto" w:fill="DBDBDB"/>
          </w:tcPr>
          <w:p>
            <w:pPr>
              <w:spacing w:after="0"/>
              <w:rPr>
                <w:sz w:val="22"/>
                <w:szCs w:val="22"/>
                <w:color w:val="auto"/>
              </w:rPr>
            </w:pPr>
          </w:p>
        </w:tc>
        <w:tc>
          <w:tcPr>
            <w:tcW w:w="1020" w:type="dxa"/>
            <w:vAlign w:val="bottom"/>
            <w:tcBorders>
              <w:right w:val="single" w:sz="8" w:color="E5E5E5"/>
            </w:tcBorders>
            <w:shd w:val="clear" w:color="auto" w:fill="DBDBDB"/>
          </w:tcPr>
          <w:p>
            <w:pPr>
              <w:spacing w:after="0"/>
              <w:rPr>
                <w:sz w:val="22"/>
                <w:szCs w:val="22"/>
                <w:color w:val="auto"/>
              </w:rPr>
            </w:pPr>
          </w:p>
        </w:tc>
        <w:tc>
          <w:tcPr>
            <w:tcW w:w="1040" w:type="dxa"/>
            <w:vAlign w:val="bottom"/>
            <w:tcBorders>
              <w:right w:val="single" w:sz="8" w:color="E5E5E5"/>
            </w:tcBorders>
            <w:shd w:val="clear" w:color="auto" w:fill="DBDBDB"/>
          </w:tcPr>
          <w:p>
            <w:pPr>
              <w:jc w:val="right"/>
              <w:spacing w:after="0"/>
              <w:rPr>
                <w:sz w:val="20"/>
                <w:szCs w:val="20"/>
                <w:color w:val="auto"/>
              </w:rPr>
            </w:pPr>
            <w:r>
              <w:rPr>
                <w:rFonts w:ascii="Arial" w:cs="Arial" w:eastAsia="Arial" w:hAnsi="Arial"/>
                <w:sz w:val="16"/>
                <w:szCs w:val="16"/>
                <w:color w:val="auto"/>
              </w:rPr>
              <w:t>346</w:t>
            </w:r>
          </w:p>
        </w:tc>
        <w:tc>
          <w:tcPr>
            <w:tcW w:w="760" w:type="dxa"/>
            <w:vAlign w:val="bottom"/>
            <w:tcBorders>
              <w:right w:val="single" w:sz="8" w:color="E5E5E5"/>
            </w:tcBorders>
            <w:shd w:val="clear" w:color="auto" w:fill="DBDBDB"/>
          </w:tcPr>
          <w:p>
            <w:pPr>
              <w:jc w:val="right"/>
              <w:spacing w:after="0"/>
              <w:rPr>
                <w:sz w:val="20"/>
                <w:szCs w:val="20"/>
                <w:color w:val="auto"/>
              </w:rPr>
            </w:pPr>
            <w:r>
              <w:rPr>
                <w:rFonts w:ascii="Arial" w:cs="Arial" w:eastAsia="Arial" w:hAnsi="Arial"/>
                <w:sz w:val="16"/>
                <w:szCs w:val="16"/>
                <w:color w:val="auto"/>
              </w:rPr>
              <w:t>691</w:t>
            </w:r>
          </w:p>
        </w:tc>
        <w:tc>
          <w:tcPr>
            <w:tcW w:w="1040" w:type="dxa"/>
            <w:vAlign w:val="bottom"/>
            <w:tcBorders>
              <w:right w:val="single" w:sz="8" w:color="E5E5E5"/>
            </w:tcBorders>
            <w:shd w:val="clear" w:color="auto" w:fill="DBDBDB"/>
          </w:tcPr>
          <w:p>
            <w:pPr>
              <w:jc w:val="right"/>
              <w:spacing w:after="0"/>
              <w:rPr>
                <w:sz w:val="20"/>
                <w:szCs w:val="20"/>
                <w:color w:val="auto"/>
              </w:rPr>
            </w:pPr>
            <w:r>
              <w:rPr>
                <w:rFonts w:ascii="Arial" w:cs="Arial" w:eastAsia="Arial" w:hAnsi="Arial"/>
                <w:sz w:val="16"/>
                <w:szCs w:val="16"/>
                <w:color w:val="auto"/>
              </w:rPr>
              <w:t>1,037</w:t>
            </w:r>
          </w:p>
        </w:tc>
        <w:tc>
          <w:tcPr>
            <w:tcW w:w="1220" w:type="dxa"/>
            <w:vAlign w:val="bottom"/>
            <w:tcBorders>
              <w:right w:val="single" w:sz="8" w:color="E5E5E5"/>
            </w:tcBorders>
            <w:shd w:val="clear" w:color="auto" w:fill="DBDBDB"/>
          </w:tcPr>
          <w:p>
            <w:pPr>
              <w:spacing w:after="0"/>
              <w:rPr>
                <w:sz w:val="22"/>
                <w:szCs w:val="22"/>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right w:val="single" w:sz="8" w:color="E5E5E5"/>
            </w:tcBorders>
            <w:shd w:val="clear" w:color="auto" w:fill="DBDBDB"/>
          </w:tcPr>
          <w:p>
            <w:pPr>
              <w:jc w:val="right"/>
              <w:ind w:right="23"/>
              <w:spacing w:after="0"/>
              <w:rPr>
                <w:sz w:val="20"/>
                <w:szCs w:val="20"/>
                <w:color w:val="auto"/>
              </w:rPr>
            </w:pPr>
            <w:r>
              <w:rPr>
                <w:rFonts w:ascii="Arial" w:cs="Arial" w:eastAsia="Arial" w:hAnsi="Arial"/>
                <w:sz w:val="16"/>
                <w:szCs w:val="16"/>
                <w:color w:val="auto"/>
              </w:rPr>
              <w:t>149,871</w:t>
            </w:r>
          </w:p>
        </w:tc>
        <w:tc>
          <w:tcPr>
            <w:tcW w:w="0" w:type="dxa"/>
            <w:vAlign w:val="bottom"/>
          </w:tcPr>
          <w:p>
            <w:pPr>
              <w:spacing w:after="0"/>
              <w:rPr>
                <w:sz w:val="1"/>
                <w:szCs w:val="1"/>
                <w:color w:val="auto"/>
              </w:rPr>
            </w:pPr>
          </w:p>
        </w:tc>
      </w:tr>
      <w:tr>
        <w:trPr>
          <w:trHeight w:val="189"/>
        </w:trPr>
        <w:tc>
          <w:tcPr>
            <w:tcW w:w="980" w:type="dxa"/>
            <w:vAlign w:val="bottom"/>
            <w:tcBorders>
              <w:left w:val="single" w:sz="8" w:color="E5E5E5"/>
              <w:right w:val="single" w:sz="8" w:color="E5E5E5"/>
            </w:tcBorders>
          </w:tcPr>
          <w:p>
            <w:pPr>
              <w:ind w:left="40"/>
              <w:spacing w:after="0"/>
              <w:rPr>
                <w:sz w:val="20"/>
                <w:szCs w:val="20"/>
                <w:color w:val="auto"/>
              </w:rPr>
            </w:pPr>
            <w:r>
              <w:rPr>
                <w:rFonts w:ascii="Arial" w:cs="Arial" w:eastAsia="Arial" w:hAnsi="Arial"/>
                <w:sz w:val="16"/>
                <w:szCs w:val="16"/>
                <w:color w:val="auto"/>
              </w:rPr>
              <w:t>George A.</w:t>
            </w:r>
          </w:p>
        </w:tc>
        <w:tc>
          <w:tcPr>
            <w:tcW w:w="740" w:type="dxa"/>
            <w:vAlign w:val="bottom"/>
            <w:tcBorders>
              <w:right w:val="single" w:sz="8" w:color="E5E5E5"/>
            </w:tcBorders>
          </w:tcPr>
          <w:p>
            <w:pPr>
              <w:jc w:val="right"/>
              <w:spacing w:after="0"/>
              <w:rPr>
                <w:sz w:val="20"/>
                <w:szCs w:val="20"/>
                <w:color w:val="auto"/>
              </w:rPr>
            </w:pPr>
            <w:r>
              <w:rPr>
                <w:rFonts w:ascii="Arial" w:cs="Arial" w:eastAsia="Arial" w:hAnsi="Arial"/>
                <w:sz w:val="16"/>
                <w:szCs w:val="16"/>
                <w:color w:val="auto"/>
              </w:rPr>
              <w:t>2/12/24</w:t>
            </w:r>
          </w:p>
        </w:tc>
        <w:tc>
          <w:tcPr>
            <w:tcW w:w="960" w:type="dxa"/>
            <w:vAlign w:val="bottom"/>
            <w:tcBorders>
              <w:right w:val="single" w:sz="8" w:color="E5E5E5"/>
            </w:tcBorders>
          </w:tcPr>
          <w:p>
            <w:pPr>
              <w:jc w:val="right"/>
              <w:spacing w:after="0"/>
              <w:rPr>
                <w:sz w:val="20"/>
                <w:szCs w:val="20"/>
                <w:color w:val="auto"/>
              </w:rPr>
            </w:pPr>
            <w:r>
              <w:rPr>
                <w:rFonts w:ascii="Arial" w:cs="Arial" w:eastAsia="Arial" w:hAnsi="Arial"/>
                <w:sz w:val="16"/>
                <w:szCs w:val="16"/>
                <w:color w:val="auto"/>
              </w:rPr>
              <w:t>2/12/24</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right w:val="single" w:sz="8" w:color="E5E5E5"/>
            </w:tcBorders>
          </w:tcPr>
          <w:p>
            <w:pPr>
              <w:jc w:val="right"/>
              <w:ind w:right="20"/>
              <w:spacing w:after="0"/>
              <w:rPr>
                <w:sz w:val="20"/>
                <w:szCs w:val="20"/>
                <w:color w:val="auto"/>
              </w:rPr>
            </w:pPr>
            <w:r>
              <w:rPr>
                <w:rFonts w:ascii="Arial" w:cs="Arial" w:eastAsia="Arial" w:hAnsi="Arial"/>
                <w:sz w:val="16"/>
                <w:szCs w:val="16"/>
                <w:color w:val="auto"/>
              </w:rPr>
              <w:t>297,500</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right w:val="single" w:sz="8" w:color="E5E5E5"/>
            </w:tcBorders>
          </w:tcPr>
          <w:p>
            <w:pPr>
              <w:jc w:val="right"/>
              <w:ind w:right="19"/>
              <w:spacing w:after="0"/>
              <w:rPr>
                <w:sz w:val="20"/>
                <w:szCs w:val="20"/>
                <w:color w:val="auto"/>
              </w:rPr>
            </w:pPr>
            <w:r>
              <w:rPr>
                <w:rFonts w:ascii="Arial" w:cs="Arial" w:eastAsia="Arial" w:hAnsi="Arial"/>
                <w:sz w:val="16"/>
                <w:szCs w:val="16"/>
                <w:color w:val="auto"/>
              </w:rPr>
              <w:t>595,000</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right w:val="single" w:sz="8" w:color="E5E5E5"/>
            </w:tcBorders>
          </w:tcPr>
          <w:p>
            <w:pPr>
              <w:jc w:val="right"/>
              <w:ind w:right="19"/>
              <w:spacing w:after="0"/>
              <w:rPr>
                <w:sz w:val="20"/>
                <w:szCs w:val="20"/>
                <w:color w:val="auto"/>
              </w:rPr>
            </w:pPr>
            <w:r>
              <w:rPr>
                <w:rFonts w:ascii="Arial" w:cs="Arial" w:eastAsia="Arial" w:hAnsi="Arial"/>
                <w:sz w:val="16"/>
                <w:szCs w:val="16"/>
                <w:color w:val="auto"/>
              </w:rPr>
              <w:t>1,190,000</w:t>
            </w:r>
          </w:p>
        </w:tc>
        <w:tc>
          <w:tcPr>
            <w:tcW w:w="1040" w:type="dxa"/>
            <w:vAlign w:val="bottom"/>
            <w:tcBorders>
              <w:right w:val="single" w:sz="8" w:color="E5E5E5"/>
            </w:tcBorders>
          </w:tcPr>
          <w:p>
            <w:pPr>
              <w:spacing w:after="0"/>
              <w:rPr>
                <w:sz w:val="16"/>
                <w:szCs w:val="16"/>
                <w:color w:val="auto"/>
              </w:rPr>
            </w:pPr>
          </w:p>
        </w:tc>
        <w:tc>
          <w:tcPr>
            <w:tcW w:w="760" w:type="dxa"/>
            <w:vAlign w:val="bottom"/>
            <w:tcBorders>
              <w:right w:val="single" w:sz="8" w:color="E5E5E5"/>
            </w:tcBorders>
          </w:tcPr>
          <w:p>
            <w:pPr>
              <w:spacing w:after="0"/>
              <w:rPr>
                <w:sz w:val="16"/>
                <w:szCs w:val="16"/>
                <w:color w:val="auto"/>
              </w:rPr>
            </w:pPr>
          </w:p>
        </w:tc>
        <w:tc>
          <w:tcPr>
            <w:tcW w:w="1040" w:type="dxa"/>
            <w:vAlign w:val="bottom"/>
            <w:tcBorders>
              <w:right w:val="single" w:sz="8" w:color="E5E5E5"/>
            </w:tcBorders>
          </w:tcPr>
          <w:p>
            <w:pPr>
              <w:spacing w:after="0"/>
              <w:rPr>
                <w:sz w:val="16"/>
                <w:szCs w:val="16"/>
                <w:color w:val="auto"/>
              </w:rPr>
            </w:pPr>
          </w:p>
        </w:tc>
        <w:tc>
          <w:tcPr>
            <w:tcW w:w="1220" w:type="dxa"/>
            <w:vAlign w:val="bottom"/>
            <w:tcBorders>
              <w:right w:val="single" w:sz="8" w:color="E5E5E5"/>
            </w:tcBorders>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Borders>
              <w:right w:val="single" w:sz="8" w:color="E5E5E5"/>
            </w:tcBorders>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980" w:type="dxa"/>
            <w:vAlign w:val="bottom"/>
            <w:tcBorders>
              <w:left w:val="single" w:sz="8" w:color="E5E5E5"/>
              <w:right w:val="single" w:sz="8" w:color="E5E5E5"/>
            </w:tcBorders>
            <w:vMerge w:val="restart"/>
          </w:tcPr>
          <w:p>
            <w:pPr>
              <w:ind w:left="40"/>
              <w:spacing w:after="0"/>
              <w:rPr>
                <w:sz w:val="20"/>
                <w:szCs w:val="20"/>
                <w:color w:val="auto"/>
              </w:rPr>
            </w:pPr>
            <w:r>
              <w:rPr>
                <w:rFonts w:ascii="Arial" w:cs="Arial" w:eastAsia="Arial" w:hAnsi="Arial"/>
                <w:sz w:val="16"/>
                <w:szCs w:val="16"/>
                <w:color w:val="auto"/>
              </w:rPr>
              <w:t>Villasana</w:t>
            </w:r>
          </w:p>
        </w:tc>
        <w:tc>
          <w:tcPr>
            <w:tcW w:w="740" w:type="dxa"/>
            <w:vAlign w:val="bottom"/>
            <w:tcBorders>
              <w:bottom w:val="single" w:sz="8" w:color="E5E5E5"/>
              <w:right w:val="single" w:sz="8" w:color="E5E5E5"/>
            </w:tcBorders>
          </w:tcPr>
          <w:p>
            <w:pPr>
              <w:spacing w:after="0"/>
              <w:rPr>
                <w:sz w:val="4"/>
                <w:szCs w:val="4"/>
                <w:color w:val="auto"/>
              </w:rPr>
            </w:pPr>
          </w:p>
        </w:tc>
        <w:tc>
          <w:tcPr>
            <w:tcW w:w="960" w:type="dxa"/>
            <w:vAlign w:val="bottom"/>
            <w:tcBorders>
              <w:bottom w:val="single" w:sz="8" w:color="E5E5E5"/>
              <w:right w:val="single" w:sz="8" w:color="E5E5E5"/>
            </w:tcBorders>
          </w:tcPr>
          <w:p>
            <w:pPr>
              <w:spacing w:after="0"/>
              <w:rPr>
                <w:sz w:val="4"/>
                <w:szCs w:val="4"/>
                <w:color w:val="auto"/>
              </w:rPr>
            </w:pPr>
          </w:p>
        </w:tc>
        <w:tc>
          <w:tcPr>
            <w:tcW w:w="100" w:type="dxa"/>
            <w:vAlign w:val="bottom"/>
            <w:tcBorders>
              <w:bottom w:val="single" w:sz="8" w:color="E5E5E5"/>
            </w:tcBorders>
          </w:tcPr>
          <w:p>
            <w:pPr>
              <w:spacing w:after="0"/>
              <w:rPr>
                <w:sz w:val="4"/>
                <w:szCs w:val="4"/>
                <w:color w:val="auto"/>
              </w:rPr>
            </w:pPr>
          </w:p>
        </w:tc>
        <w:tc>
          <w:tcPr>
            <w:tcW w:w="980" w:type="dxa"/>
            <w:vAlign w:val="bottom"/>
            <w:tcBorders>
              <w:bottom w:val="single" w:sz="8" w:color="E5E5E5"/>
              <w:right w:val="single" w:sz="8" w:color="E5E5E5"/>
            </w:tcBorders>
          </w:tcPr>
          <w:p>
            <w:pPr>
              <w:spacing w:after="0"/>
              <w:rPr>
                <w:sz w:val="4"/>
                <w:szCs w:val="4"/>
                <w:color w:val="auto"/>
              </w:rPr>
            </w:pPr>
          </w:p>
        </w:tc>
        <w:tc>
          <w:tcPr>
            <w:tcW w:w="200" w:type="dxa"/>
            <w:vAlign w:val="bottom"/>
            <w:tcBorders>
              <w:bottom w:val="single" w:sz="8" w:color="E5E5E5"/>
            </w:tcBorders>
          </w:tcPr>
          <w:p>
            <w:pPr>
              <w:spacing w:after="0"/>
              <w:rPr>
                <w:sz w:val="4"/>
                <w:szCs w:val="4"/>
                <w:color w:val="auto"/>
              </w:rPr>
            </w:pPr>
          </w:p>
        </w:tc>
        <w:tc>
          <w:tcPr>
            <w:tcW w:w="920" w:type="dxa"/>
            <w:vAlign w:val="bottom"/>
            <w:tcBorders>
              <w:bottom w:val="single" w:sz="8" w:color="E5E5E5"/>
              <w:right w:val="single" w:sz="8" w:color="E5E5E5"/>
            </w:tcBorders>
          </w:tcPr>
          <w:p>
            <w:pPr>
              <w:spacing w:after="0"/>
              <w:rPr>
                <w:sz w:val="4"/>
                <w:szCs w:val="4"/>
                <w:color w:val="auto"/>
              </w:rPr>
            </w:pPr>
          </w:p>
        </w:tc>
        <w:tc>
          <w:tcPr>
            <w:tcW w:w="140" w:type="dxa"/>
            <w:vAlign w:val="bottom"/>
            <w:tcBorders>
              <w:bottom w:val="single" w:sz="8" w:color="E5E5E5"/>
            </w:tcBorders>
          </w:tcPr>
          <w:p>
            <w:pPr>
              <w:spacing w:after="0"/>
              <w:rPr>
                <w:sz w:val="4"/>
                <w:szCs w:val="4"/>
                <w:color w:val="auto"/>
              </w:rPr>
            </w:pPr>
          </w:p>
        </w:tc>
        <w:tc>
          <w:tcPr>
            <w:tcW w:w="1020" w:type="dxa"/>
            <w:vAlign w:val="bottom"/>
            <w:tcBorders>
              <w:bottom w:val="single" w:sz="8" w:color="E5E5E5"/>
              <w:right w:val="single" w:sz="8" w:color="E5E5E5"/>
            </w:tcBorders>
          </w:tcPr>
          <w:p>
            <w:pPr>
              <w:spacing w:after="0"/>
              <w:rPr>
                <w:sz w:val="4"/>
                <w:szCs w:val="4"/>
                <w:color w:val="auto"/>
              </w:rPr>
            </w:pPr>
          </w:p>
        </w:tc>
        <w:tc>
          <w:tcPr>
            <w:tcW w:w="1040" w:type="dxa"/>
            <w:vAlign w:val="bottom"/>
            <w:tcBorders>
              <w:bottom w:val="single" w:sz="8" w:color="E5E5E5"/>
              <w:right w:val="single" w:sz="8" w:color="E5E5E5"/>
            </w:tcBorders>
          </w:tcPr>
          <w:p>
            <w:pPr>
              <w:spacing w:after="0"/>
              <w:rPr>
                <w:sz w:val="4"/>
                <w:szCs w:val="4"/>
                <w:color w:val="auto"/>
              </w:rPr>
            </w:pPr>
          </w:p>
        </w:tc>
        <w:tc>
          <w:tcPr>
            <w:tcW w:w="760" w:type="dxa"/>
            <w:vAlign w:val="bottom"/>
            <w:tcBorders>
              <w:bottom w:val="single" w:sz="8" w:color="E5E5E5"/>
              <w:right w:val="single" w:sz="8" w:color="E5E5E5"/>
            </w:tcBorders>
          </w:tcPr>
          <w:p>
            <w:pPr>
              <w:spacing w:after="0"/>
              <w:rPr>
                <w:sz w:val="4"/>
                <w:szCs w:val="4"/>
                <w:color w:val="auto"/>
              </w:rPr>
            </w:pPr>
          </w:p>
        </w:tc>
        <w:tc>
          <w:tcPr>
            <w:tcW w:w="1040" w:type="dxa"/>
            <w:vAlign w:val="bottom"/>
            <w:tcBorders>
              <w:bottom w:val="single" w:sz="8" w:color="E5E5E5"/>
              <w:right w:val="single" w:sz="8" w:color="E5E5E5"/>
            </w:tcBorders>
          </w:tcPr>
          <w:p>
            <w:pPr>
              <w:spacing w:after="0"/>
              <w:rPr>
                <w:sz w:val="4"/>
                <w:szCs w:val="4"/>
                <w:color w:val="auto"/>
              </w:rPr>
            </w:pPr>
          </w:p>
        </w:tc>
        <w:tc>
          <w:tcPr>
            <w:tcW w:w="1220" w:type="dxa"/>
            <w:vAlign w:val="bottom"/>
            <w:tcBorders>
              <w:bottom w:val="single" w:sz="8" w:color="E5E5E5"/>
              <w:right w:val="single" w:sz="8" w:color="E5E5E5"/>
            </w:tcBorders>
          </w:tcPr>
          <w:p>
            <w:pPr>
              <w:spacing w:after="0"/>
              <w:rPr>
                <w:sz w:val="4"/>
                <w:szCs w:val="4"/>
                <w:color w:val="auto"/>
              </w:rPr>
            </w:pPr>
          </w:p>
        </w:tc>
        <w:tc>
          <w:tcPr>
            <w:tcW w:w="120" w:type="dxa"/>
            <w:vAlign w:val="bottom"/>
            <w:tcBorders>
              <w:bottom w:val="single" w:sz="8" w:color="E5E5E5"/>
            </w:tcBorders>
          </w:tcPr>
          <w:p>
            <w:pPr>
              <w:spacing w:after="0"/>
              <w:rPr>
                <w:sz w:val="4"/>
                <w:szCs w:val="4"/>
                <w:color w:val="auto"/>
              </w:rPr>
            </w:pPr>
          </w:p>
        </w:tc>
        <w:tc>
          <w:tcPr>
            <w:tcW w:w="1040" w:type="dxa"/>
            <w:vAlign w:val="bottom"/>
            <w:tcBorders>
              <w:bottom w:val="single" w:sz="8" w:color="E5E5E5"/>
              <w:right w:val="single" w:sz="8" w:color="E5E5E5"/>
            </w:tcBorders>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980" w:type="dxa"/>
            <w:vAlign w:val="bottom"/>
            <w:tcBorders>
              <w:left w:val="single" w:sz="8" w:color="E5E5E5"/>
              <w:right w:val="single" w:sz="8" w:color="E5E5E5"/>
            </w:tcBorders>
            <w:vMerge w:val="continue"/>
          </w:tcPr>
          <w:p>
            <w:pPr>
              <w:spacing w:after="0"/>
              <w:rPr>
                <w:sz w:val="12"/>
                <w:szCs w:val="12"/>
                <w:color w:val="auto"/>
              </w:rPr>
            </w:pPr>
          </w:p>
        </w:tc>
        <w:tc>
          <w:tcPr>
            <w:tcW w:w="740" w:type="dxa"/>
            <w:vAlign w:val="bottom"/>
            <w:tcBorders>
              <w:right w:val="single" w:sz="8" w:color="E5E5E5"/>
            </w:tcBorders>
            <w:vMerge w:val="restart"/>
          </w:tcPr>
          <w:p>
            <w:pPr>
              <w:jc w:val="right"/>
              <w:spacing w:after="0"/>
              <w:rPr>
                <w:sz w:val="20"/>
                <w:szCs w:val="20"/>
                <w:color w:val="auto"/>
              </w:rPr>
            </w:pPr>
            <w:r>
              <w:rPr>
                <w:rFonts w:ascii="Arial" w:cs="Arial" w:eastAsia="Arial" w:hAnsi="Arial"/>
                <w:sz w:val="16"/>
                <w:szCs w:val="16"/>
                <w:color w:val="auto"/>
              </w:rPr>
              <w:t>2/20/24</w:t>
            </w:r>
          </w:p>
        </w:tc>
        <w:tc>
          <w:tcPr>
            <w:tcW w:w="960" w:type="dxa"/>
            <w:vAlign w:val="bottom"/>
            <w:tcBorders>
              <w:right w:val="single" w:sz="8" w:color="E5E5E5"/>
            </w:tcBorders>
            <w:vMerge w:val="restart"/>
          </w:tcPr>
          <w:p>
            <w:pPr>
              <w:jc w:val="right"/>
              <w:spacing w:after="0"/>
              <w:rPr>
                <w:sz w:val="20"/>
                <w:szCs w:val="20"/>
                <w:color w:val="auto"/>
              </w:rPr>
            </w:pPr>
            <w:r>
              <w:rPr>
                <w:rFonts w:ascii="Arial" w:cs="Arial" w:eastAsia="Arial" w:hAnsi="Arial"/>
                <w:sz w:val="16"/>
                <w:szCs w:val="16"/>
                <w:color w:val="auto"/>
              </w:rPr>
              <w:t>2/12/24</w:t>
            </w:r>
          </w:p>
        </w:tc>
        <w:tc>
          <w:tcPr>
            <w:tcW w:w="100" w:type="dxa"/>
            <w:vAlign w:val="bottom"/>
          </w:tcPr>
          <w:p>
            <w:pPr>
              <w:spacing w:after="0"/>
              <w:rPr>
                <w:sz w:val="12"/>
                <w:szCs w:val="12"/>
                <w:color w:val="auto"/>
              </w:rPr>
            </w:pPr>
          </w:p>
        </w:tc>
        <w:tc>
          <w:tcPr>
            <w:tcW w:w="980" w:type="dxa"/>
            <w:vAlign w:val="bottom"/>
            <w:tcBorders>
              <w:right w:val="single" w:sz="8" w:color="E5E5E5"/>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right w:val="single" w:sz="8" w:color="E5E5E5"/>
            </w:tcBorders>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Borders>
              <w:right w:val="single" w:sz="8" w:color="E5E5E5"/>
            </w:tcBorders>
          </w:tcPr>
          <w:p>
            <w:pPr>
              <w:spacing w:after="0"/>
              <w:rPr>
                <w:sz w:val="12"/>
                <w:szCs w:val="12"/>
                <w:color w:val="auto"/>
              </w:rPr>
            </w:pPr>
          </w:p>
        </w:tc>
        <w:tc>
          <w:tcPr>
            <w:tcW w:w="1040" w:type="dxa"/>
            <w:vAlign w:val="bottom"/>
            <w:tcBorders>
              <w:right w:val="single" w:sz="8" w:color="E5E5E5"/>
            </w:tcBorders>
          </w:tcPr>
          <w:p>
            <w:pPr>
              <w:spacing w:after="0"/>
              <w:rPr>
                <w:sz w:val="12"/>
                <w:szCs w:val="12"/>
                <w:color w:val="auto"/>
              </w:rPr>
            </w:pPr>
          </w:p>
        </w:tc>
        <w:tc>
          <w:tcPr>
            <w:tcW w:w="760" w:type="dxa"/>
            <w:vAlign w:val="bottom"/>
            <w:tcBorders>
              <w:right w:val="single" w:sz="8" w:color="E5E5E5"/>
            </w:tcBorders>
          </w:tcPr>
          <w:p>
            <w:pPr>
              <w:spacing w:after="0"/>
              <w:rPr>
                <w:sz w:val="12"/>
                <w:szCs w:val="12"/>
                <w:color w:val="auto"/>
              </w:rPr>
            </w:pPr>
          </w:p>
        </w:tc>
        <w:tc>
          <w:tcPr>
            <w:tcW w:w="1040" w:type="dxa"/>
            <w:vAlign w:val="bottom"/>
            <w:tcBorders>
              <w:right w:val="single" w:sz="8" w:color="E5E5E5"/>
            </w:tcBorders>
          </w:tcPr>
          <w:p>
            <w:pPr>
              <w:spacing w:after="0"/>
              <w:rPr>
                <w:sz w:val="12"/>
                <w:szCs w:val="12"/>
                <w:color w:val="auto"/>
              </w:rPr>
            </w:pPr>
          </w:p>
        </w:tc>
        <w:tc>
          <w:tcPr>
            <w:tcW w:w="1220" w:type="dxa"/>
            <w:vAlign w:val="bottom"/>
            <w:tcBorders>
              <w:right w:val="single" w:sz="8" w:color="E5E5E5"/>
            </w:tcBorders>
            <w:vMerge w:val="restart"/>
          </w:tcPr>
          <w:p>
            <w:pPr>
              <w:jc w:val="right"/>
              <w:spacing w:after="0"/>
              <w:rPr>
                <w:sz w:val="20"/>
                <w:szCs w:val="20"/>
                <w:color w:val="auto"/>
              </w:rPr>
            </w:pPr>
            <w:r>
              <w:rPr>
                <w:rFonts w:ascii="Arial" w:cs="Arial" w:eastAsia="Arial" w:hAnsi="Arial"/>
                <w:sz w:val="16"/>
                <w:szCs w:val="16"/>
                <w:color w:val="auto"/>
              </w:rPr>
              <w:t>1,752</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right w:val="single" w:sz="8" w:color="E5E5E5"/>
            </w:tcBorders>
            <w:vMerge w:val="restart"/>
          </w:tcPr>
          <w:p>
            <w:pPr>
              <w:jc w:val="right"/>
              <w:ind w:right="23"/>
              <w:spacing w:after="0"/>
              <w:rPr>
                <w:sz w:val="20"/>
                <w:szCs w:val="20"/>
                <w:color w:val="auto"/>
              </w:rPr>
            </w:pPr>
            <w:r>
              <w:rPr>
                <w:rFonts w:ascii="Arial" w:cs="Arial" w:eastAsia="Arial" w:hAnsi="Arial"/>
                <w:sz w:val="16"/>
                <w:szCs w:val="16"/>
                <w:color w:val="auto"/>
              </w:rPr>
              <w:t>379,991</w:t>
            </w:r>
          </w:p>
        </w:tc>
        <w:tc>
          <w:tcPr>
            <w:tcW w:w="0" w:type="dxa"/>
            <w:vAlign w:val="bottom"/>
          </w:tcPr>
          <w:p>
            <w:pPr>
              <w:spacing w:after="0"/>
              <w:rPr>
                <w:sz w:val="1"/>
                <w:szCs w:val="1"/>
                <w:color w:val="auto"/>
              </w:rPr>
            </w:pPr>
          </w:p>
        </w:tc>
      </w:tr>
      <w:tr>
        <w:trPr>
          <w:trHeight w:val="95"/>
        </w:trPr>
        <w:tc>
          <w:tcPr>
            <w:tcW w:w="980" w:type="dxa"/>
            <w:vAlign w:val="bottom"/>
            <w:tcBorders>
              <w:left w:val="single" w:sz="8" w:color="E5E5E5"/>
              <w:right w:val="single" w:sz="8" w:color="E5E5E5"/>
            </w:tcBorders>
          </w:tcPr>
          <w:p>
            <w:pPr>
              <w:spacing w:after="0"/>
              <w:rPr>
                <w:sz w:val="8"/>
                <w:szCs w:val="8"/>
                <w:color w:val="auto"/>
              </w:rPr>
            </w:pPr>
          </w:p>
        </w:tc>
        <w:tc>
          <w:tcPr>
            <w:tcW w:w="740" w:type="dxa"/>
            <w:vAlign w:val="bottom"/>
            <w:tcBorders>
              <w:bottom w:val="single" w:sz="8" w:color="E5E5E5"/>
              <w:right w:val="single" w:sz="8" w:color="E5E5E5"/>
            </w:tcBorders>
            <w:vMerge w:val="continue"/>
          </w:tcPr>
          <w:p>
            <w:pPr>
              <w:spacing w:after="0"/>
              <w:rPr>
                <w:sz w:val="8"/>
                <w:szCs w:val="8"/>
                <w:color w:val="auto"/>
              </w:rPr>
            </w:pPr>
          </w:p>
        </w:tc>
        <w:tc>
          <w:tcPr>
            <w:tcW w:w="960" w:type="dxa"/>
            <w:vAlign w:val="bottom"/>
            <w:tcBorders>
              <w:bottom w:val="single" w:sz="8" w:color="E5E5E5"/>
              <w:right w:val="single" w:sz="8" w:color="E5E5E5"/>
            </w:tcBorders>
            <w:vMerge w:val="continue"/>
          </w:tcPr>
          <w:p>
            <w:pPr>
              <w:spacing w:after="0"/>
              <w:rPr>
                <w:sz w:val="8"/>
                <w:szCs w:val="8"/>
                <w:color w:val="auto"/>
              </w:rPr>
            </w:pPr>
          </w:p>
        </w:tc>
        <w:tc>
          <w:tcPr>
            <w:tcW w:w="100" w:type="dxa"/>
            <w:vAlign w:val="bottom"/>
            <w:tcBorders>
              <w:bottom w:val="single" w:sz="8" w:color="E5E5E5"/>
            </w:tcBorders>
          </w:tcPr>
          <w:p>
            <w:pPr>
              <w:spacing w:after="0"/>
              <w:rPr>
                <w:sz w:val="8"/>
                <w:szCs w:val="8"/>
                <w:color w:val="auto"/>
              </w:rPr>
            </w:pPr>
          </w:p>
        </w:tc>
        <w:tc>
          <w:tcPr>
            <w:tcW w:w="980" w:type="dxa"/>
            <w:vAlign w:val="bottom"/>
            <w:tcBorders>
              <w:bottom w:val="single" w:sz="8" w:color="E5E5E5"/>
              <w:right w:val="single" w:sz="8" w:color="E5E5E5"/>
            </w:tcBorders>
          </w:tcPr>
          <w:p>
            <w:pPr>
              <w:spacing w:after="0"/>
              <w:rPr>
                <w:sz w:val="8"/>
                <w:szCs w:val="8"/>
                <w:color w:val="auto"/>
              </w:rPr>
            </w:pPr>
          </w:p>
        </w:tc>
        <w:tc>
          <w:tcPr>
            <w:tcW w:w="200" w:type="dxa"/>
            <w:vAlign w:val="bottom"/>
            <w:tcBorders>
              <w:bottom w:val="single" w:sz="8" w:color="E5E5E5"/>
            </w:tcBorders>
          </w:tcPr>
          <w:p>
            <w:pPr>
              <w:spacing w:after="0"/>
              <w:rPr>
                <w:sz w:val="8"/>
                <w:szCs w:val="8"/>
                <w:color w:val="auto"/>
              </w:rPr>
            </w:pPr>
          </w:p>
        </w:tc>
        <w:tc>
          <w:tcPr>
            <w:tcW w:w="920" w:type="dxa"/>
            <w:vAlign w:val="bottom"/>
            <w:tcBorders>
              <w:bottom w:val="single" w:sz="8" w:color="E5E5E5"/>
              <w:right w:val="single" w:sz="8" w:color="E5E5E5"/>
            </w:tcBorders>
          </w:tcPr>
          <w:p>
            <w:pPr>
              <w:spacing w:after="0"/>
              <w:rPr>
                <w:sz w:val="8"/>
                <w:szCs w:val="8"/>
                <w:color w:val="auto"/>
              </w:rPr>
            </w:pPr>
          </w:p>
        </w:tc>
        <w:tc>
          <w:tcPr>
            <w:tcW w:w="140" w:type="dxa"/>
            <w:vAlign w:val="bottom"/>
            <w:tcBorders>
              <w:bottom w:val="single" w:sz="8" w:color="E5E5E5"/>
            </w:tcBorders>
          </w:tcPr>
          <w:p>
            <w:pPr>
              <w:spacing w:after="0"/>
              <w:rPr>
                <w:sz w:val="8"/>
                <w:szCs w:val="8"/>
                <w:color w:val="auto"/>
              </w:rPr>
            </w:pPr>
          </w:p>
        </w:tc>
        <w:tc>
          <w:tcPr>
            <w:tcW w:w="1020" w:type="dxa"/>
            <w:vAlign w:val="bottom"/>
            <w:tcBorders>
              <w:bottom w:val="single" w:sz="8" w:color="E5E5E5"/>
              <w:right w:val="single" w:sz="8" w:color="E5E5E5"/>
            </w:tcBorders>
          </w:tcPr>
          <w:p>
            <w:pPr>
              <w:spacing w:after="0"/>
              <w:rPr>
                <w:sz w:val="8"/>
                <w:szCs w:val="8"/>
                <w:color w:val="auto"/>
              </w:rPr>
            </w:pPr>
          </w:p>
        </w:tc>
        <w:tc>
          <w:tcPr>
            <w:tcW w:w="1040" w:type="dxa"/>
            <w:vAlign w:val="bottom"/>
            <w:tcBorders>
              <w:bottom w:val="single" w:sz="8" w:color="E5E5E5"/>
              <w:right w:val="single" w:sz="8" w:color="E5E5E5"/>
            </w:tcBorders>
          </w:tcPr>
          <w:p>
            <w:pPr>
              <w:spacing w:after="0"/>
              <w:rPr>
                <w:sz w:val="8"/>
                <w:szCs w:val="8"/>
                <w:color w:val="auto"/>
              </w:rPr>
            </w:pPr>
          </w:p>
        </w:tc>
        <w:tc>
          <w:tcPr>
            <w:tcW w:w="760" w:type="dxa"/>
            <w:vAlign w:val="bottom"/>
            <w:tcBorders>
              <w:bottom w:val="single" w:sz="8" w:color="E5E5E5"/>
              <w:right w:val="single" w:sz="8" w:color="E5E5E5"/>
            </w:tcBorders>
          </w:tcPr>
          <w:p>
            <w:pPr>
              <w:spacing w:after="0"/>
              <w:rPr>
                <w:sz w:val="8"/>
                <w:szCs w:val="8"/>
                <w:color w:val="auto"/>
              </w:rPr>
            </w:pPr>
          </w:p>
        </w:tc>
        <w:tc>
          <w:tcPr>
            <w:tcW w:w="1040" w:type="dxa"/>
            <w:vAlign w:val="bottom"/>
            <w:tcBorders>
              <w:bottom w:val="single" w:sz="8" w:color="E5E5E5"/>
              <w:right w:val="single" w:sz="8" w:color="E5E5E5"/>
            </w:tcBorders>
          </w:tcPr>
          <w:p>
            <w:pPr>
              <w:spacing w:after="0"/>
              <w:rPr>
                <w:sz w:val="8"/>
                <w:szCs w:val="8"/>
                <w:color w:val="auto"/>
              </w:rPr>
            </w:pPr>
          </w:p>
        </w:tc>
        <w:tc>
          <w:tcPr>
            <w:tcW w:w="1220" w:type="dxa"/>
            <w:vAlign w:val="bottom"/>
            <w:tcBorders>
              <w:bottom w:val="single" w:sz="8" w:color="E5E5E5"/>
              <w:right w:val="single" w:sz="8" w:color="E5E5E5"/>
            </w:tcBorders>
            <w:vMerge w:val="continue"/>
          </w:tcPr>
          <w:p>
            <w:pPr>
              <w:spacing w:after="0"/>
              <w:rPr>
                <w:sz w:val="8"/>
                <w:szCs w:val="8"/>
                <w:color w:val="auto"/>
              </w:rPr>
            </w:pPr>
          </w:p>
        </w:tc>
        <w:tc>
          <w:tcPr>
            <w:tcW w:w="120" w:type="dxa"/>
            <w:vAlign w:val="bottom"/>
            <w:tcBorders>
              <w:bottom w:val="single" w:sz="8" w:color="E5E5E5"/>
            </w:tcBorders>
            <w:vMerge w:val="continue"/>
          </w:tcPr>
          <w:p>
            <w:pPr>
              <w:spacing w:after="0"/>
              <w:rPr>
                <w:sz w:val="8"/>
                <w:szCs w:val="8"/>
                <w:color w:val="auto"/>
              </w:rPr>
            </w:pPr>
          </w:p>
        </w:tc>
        <w:tc>
          <w:tcPr>
            <w:tcW w:w="1040" w:type="dxa"/>
            <w:vAlign w:val="bottom"/>
            <w:tcBorders>
              <w:bottom w:val="single" w:sz="8" w:color="E5E5E5"/>
              <w:right w:val="single" w:sz="8" w:color="E5E5E5"/>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6"/>
        </w:trPr>
        <w:tc>
          <w:tcPr>
            <w:tcW w:w="980" w:type="dxa"/>
            <w:vAlign w:val="bottom"/>
            <w:tcBorders>
              <w:left w:val="single" w:sz="8" w:color="E5E5E5"/>
              <w:right w:val="single" w:sz="8" w:color="E5E5E5"/>
            </w:tcBorders>
          </w:tcPr>
          <w:p>
            <w:pPr>
              <w:spacing w:after="0"/>
              <w:rPr>
                <w:sz w:val="20"/>
                <w:szCs w:val="20"/>
                <w:color w:val="auto"/>
              </w:rPr>
            </w:pPr>
          </w:p>
        </w:tc>
        <w:tc>
          <w:tcPr>
            <w:tcW w:w="740" w:type="dxa"/>
            <w:vAlign w:val="bottom"/>
            <w:tcBorders>
              <w:right w:val="single" w:sz="8" w:color="E5E5E5"/>
            </w:tcBorders>
          </w:tcPr>
          <w:p>
            <w:pPr>
              <w:jc w:val="right"/>
              <w:spacing w:after="0"/>
              <w:rPr>
                <w:sz w:val="20"/>
                <w:szCs w:val="20"/>
                <w:color w:val="auto"/>
              </w:rPr>
            </w:pPr>
            <w:r>
              <w:rPr>
                <w:rFonts w:ascii="Arial" w:cs="Arial" w:eastAsia="Arial" w:hAnsi="Arial"/>
                <w:sz w:val="16"/>
                <w:szCs w:val="16"/>
                <w:color w:val="auto"/>
              </w:rPr>
              <w:t>2/20/24</w:t>
            </w:r>
          </w:p>
        </w:tc>
        <w:tc>
          <w:tcPr>
            <w:tcW w:w="960" w:type="dxa"/>
            <w:vAlign w:val="bottom"/>
            <w:tcBorders>
              <w:right w:val="single" w:sz="8" w:color="E5E5E5"/>
            </w:tcBorders>
          </w:tcPr>
          <w:p>
            <w:pPr>
              <w:jc w:val="right"/>
              <w:spacing w:after="0"/>
              <w:rPr>
                <w:sz w:val="20"/>
                <w:szCs w:val="20"/>
                <w:color w:val="auto"/>
              </w:rPr>
            </w:pPr>
            <w:r>
              <w:rPr>
                <w:rFonts w:ascii="Arial" w:cs="Arial" w:eastAsia="Arial" w:hAnsi="Arial"/>
                <w:sz w:val="16"/>
                <w:szCs w:val="16"/>
                <w:color w:val="auto"/>
              </w:rPr>
              <w:t>2/12/24</w:t>
            </w:r>
          </w:p>
        </w:tc>
        <w:tc>
          <w:tcPr>
            <w:tcW w:w="100" w:type="dxa"/>
            <w:vAlign w:val="bottom"/>
          </w:tcPr>
          <w:p>
            <w:pPr>
              <w:spacing w:after="0"/>
              <w:rPr>
                <w:sz w:val="20"/>
                <w:szCs w:val="20"/>
                <w:color w:val="auto"/>
              </w:rPr>
            </w:pPr>
          </w:p>
        </w:tc>
        <w:tc>
          <w:tcPr>
            <w:tcW w:w="980" w:type="dxa"/>
            <w:vAlign w:val="bottom"/>
            <w:tcBorders>
              <w:right w:val="single" w:sz="8" w:color="E5E5E5"/>
            </w:tcBorders>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Borders>
              <w:right w:val="single" w:sz="8" w:color="E5E5E5"/>
            </w:tcBorders>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Borders>
              <w:right w:val="single" w:sz="8" w:color="E5E5E5"/>
            </w:tcBorders>
          </w:tcPr>
          <w:p>
            <w:pPr>
              <w:spacing w:after="0"/>
              <w:rPr>
                <w:sz w:val="20"/>
                <w:szCs w:val="20"/>
                <w:color w:val="auto"/>
              </w:rPr>
            </w:pPr>
          </w:p>
        </w:tc>
        <w:tc>
          <w:tcPr>
            <w:tcW w:w="1040" w:type="dxa"/>
            <w:vAlign w:val="bottom"/>
            <w:tcBorders>
              <w:right w:val="single" w:sz="8" w:color="E5E5E5"/>
            </w:tcBorders>
          </w:tcPr>
          <w:p>
            <w:pPr>
              <w:jc w:val="right"/>
              <w:spacing w:after="0"/>
              <w:rPr>
                <w:sz w:val="20"/>
                <w:szCs w:val="20"/>
                <w:color w:val="auto"/>
              </w:rPr>
            </w:pPr>
            <w:r>
              <w:rPr>
                <w:rFonts w:ascii="Arial" w:cs="Arial" w:eastAsia="Arial" w:hAnsi="Arial"/>
                <w:sz w:val="16"/>
                <w:szCs w:val="16"/>
                <w:color w:val="auto"/>
              </w:rPr>
              <w:t>1,314</w:t>
            </w:r>
          </w:p>
        </w:tc>
        <w:tc>
          <w:tcPr>
            <w:tcW w:w="760" w:type="dxa"/>
            <w:vAlign w:val="bottom"/>
            <w:tcBorders>
              <w:right w:val="single" w:sz="8" w:color="E5E5E5"/>
            </w:tcBorders>
          </w:tcPr>
          <w:p>
            <w:pPr>
              <w:jc w:val="right"/>
              <w:spacing w:after="0"/>
              <w:rPr>
                <w:sz w:val="20"/>
                <w:szCs w:val="20"/>
                <w:color w:val="auto"/>
              </w:rPr>
            </w:pPr>
            <w:r>
              <w:rPr>
                <w:rFonts w:ascii="Arial" w:cs="Arial" w:eastAsia="Arial" w:hAnsi="Arial"/>
                <w:sz w:val="16"/>
                <w:szCs w:val="16"/>
                <w:color w:val="auto"/>
              </w:rPr>
              <w:t>2,628</w:t>
            </w:r>
          </w:p>
        </w:tc>
        <w:tc>
          <w:tcPr>
            <w:tcW w:w="1040" w:type="dxa"/>
            <w:vAlign w:val="bottom"/>
            <w:tcBorders>
              <w:right w:val="single" w:sz="8" w:color="E5E5E5"/>
            </w:tcBorders>
          </w:tcPr>
          <w:p>
            <w:pPr>
              <w:jc w:val="right"/>
              <w:spacing w:after="0"/>
              <w:rPr>
                <w:sz w:val="20"/>
                <w:szCs w:val="20"/>
                <w:color w:val="auto"/>
              </w:rPr>
            </w:pPr>
            <w:r>
              <w:rPr>
                <w:rFonts w:ascii="Arial" w:cs="Arial" w:eastAsia="Arial" w:hAnsi="Arial"/>
                <w:sz w:val="16"/>
                <w:szCs w:val="16"/>
                <w:color w:val="auto"/>
              </w:rPr>
              <w:t>3,942</w:t>
            </w:r>
          </w:p>
        </w:tc>
        <w:tc>
          <w:tcPr>
            <w:tcW w:w="1220" w:type="dxa"/>
            <w:vAlign w:val="bottom"/>
            <w:tcBorders>
              <w:right w:val="single" w:sz="8" w:color="E5E5E5"/>
            </w:tcBorders>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right w:val="single" w:sz="8" w:color="E5E5E5"/>
            </w:tcBorders>
          </w:tcPr>
          <w:p>
            <w:pPr>
              <w:jc w:val="right"/>
              <w:ind w:right="23"/>
              <w:spacing w:after="0"/>
              <w:rPr>
                <w:sz w:val="20"/>
                <w:szCs w:val="20"/>
                <w:color w:val="auto"/>
              </w:rPr>
            </w:pPr>
            <w:r>
              <w:rPr>
                <w:rFonts w:ascii="Arial" w:cs="Arial" w:eastAsia="Arial" w:hAnsi="Arial"/>
                <w:sz w:val="16"/>
                <w:szCs w:val="16"/>
                <w:color w:val="auto"/>
              </w:rPr>
              <w:t>569,987</w:t>
            </w:r>
          </w:p>
        </w:tc>
        <w:tc>
          <w:tcPr>
            <w:tcW w:w="0" w:type="dxa"/>
            <w:vAlign w:val="bottom"/>
          </w:tcPr>
          <w:p>
            <w:pPr>
              <w:spacing w:after="0"/>
              <w:rPr>
                <w:sz w:val="1"/>
                <w:szCs w:val="1"/>
                <w:color w:val="auto"/>
              </w:rPr>
            </w:pPr>
          </w:p>
        </w:tc>
      </w:tr>
      <w:tr>
        <w:trPr>
          <w:trHeight w:val="264"/>
        </w:trPr>
        <w:tc>
          <w:tcPr>
            <w:tcW w:w="980" w:type="dxa"/>
            <w:vAlign w:val="bottom"/>
            <w:tcBorders>
              <w:left w:val="single" w:sz="8" w:color="E5E5E5"/>
              <w:right w:val="single" w:sz="8" w:color="E5E5E5"/>
            </w:tcBorders>
            <w:shd w:val="clear" w:color="auto" w:fill="DBDBDB"/>
          </w:tcPr>
          <w:p>
            <w:pPr>
              <w:ind w:left="40"/>
              <w:spacing w:after="0"/>
              <w:rPr>
                <w:sz w:val="20"/>
                <w:szCs w:val="20"/>
                <w:color w:val="auto"/>
              </w:rPr>
            </w:pPr>
            <w:r>
              <w:rPr>
                <w:rFonts w:ascii="Arial" w:cs="Arial" w:eastAsia="Arial" w:hAnsi="Arial"/>
                <w:sz w:val="16"/>
                <w:szCs w:val="16"/>
                <w:color w:val="auto"/>
              </w:rPr>
              <w:t>Miran Maric</w:t>
            </w:r>
          </w:p>
        </w:tc>
        <w:tc>
          <w:tcPr>
            <w:tcW w:w="740" w:type="dxa"/>
            <w:vAlign w:val="bottom"/>
            <w:tcBorders>
              <w:right w:val="single" w:sz="8" w:color="E5E5E5"/>
            </w:tcBorders>
            <w:shd w:val="clear" w:color="auto" w:fill="DBDBDB"/>
          </w:tcPr>
          <w:p>
            <w:pPr>
              <w:jc w:val="right"/>
              <w:spacing w:after="0"/>
              <w:rPr>
                <w:sz w:val="20"/>
                <w:szCs w:val="20"/>
                <w:color w:val="auto"/>
              </w:rPr>
            </w:pPr>
            <w:r>
              <w:rPr>
                <w:rFonts w:ascii="Arial" w:cs="Arial" w:eastAsia="Arial" w:hAnsi="Arial"/>
                <w:sz w:val="16"/>
                <w:szCs w:val="16"/>
                <w:color w:val="auto"/>
              </w:rPr>
              <w:t>2/12/24</w:t>
            </w:r>
          </w:p>
        </w:tc>
        <w:tc>
          <w:tcPr>
            <w:tcW w:w="960" w:type="dxa"/>
            <w:vAlign w:val="bottom"/>
            <w:tcBorders>
              <w:right w:val="single" w:sz="8" w:color="E5E5E5"/>
            </w:tcBorders>
            <w:shd w:val="clear" w:color="auto" w:fill="DBDBDB"/>
          </w:tcPr>
          <w:p>
            <w:pPr>
              <w:jc w:val="right"/>
              <w:spacing w:after="0"/>
              <w:rPr>
                <w:sz w:val="20"/>
                <w:szCs w:val="20"/>
                <w:color w:val="auto"/>
              </w:rPr>
            </w:pPr>
            <w:r>
              <w:rPr>
                <w:rFonts w:ascii="Arial" w:cs="Arial" w:eastAsia="Arial" w:hAnsi="Arial"/>
                <w:sz w:val="16"/>
                <w:szCs w:val="16"/>
                <w:color w:val="auto"/>
              </w:rPr>
              <w:t>2/12/24</w:t>
            </w:r>
          </w:p>
        </w:tc>
        <w:tc>
          <w:tcPr>
            <w:tcW w:w="10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right w:val="single" w:sz="8" w:color="E5E5E5"/>
            </w:tcBorders>
            <w:shd w:val="clear" w:color="auto" w:fill="DBDBDB"/>
          </w:tcPr>
          <w:p>
            <w:pPr>
              <w:jc w:val="right"/>
              <w:ind w:right="20"/>
              <w:spacing w:after="0"/>
              <w:rPr>
                <w:sz w:val="20"/>
                <w:szCs w:val="20"/>
                <w:color w:val="auto"/>
              </w:rPr>
            </w:pPr>
            <w:r>
              <w:rPr>
                <w:rFonts w:ascii="Arial" w:cs="Arial" w:eastAsia="Arial" w:hAnsi="Arial"/>
                <w:sz w:val="16"/>
                <w:szCs w:val="16"/>
                <w:color w:val="auto"/>
              </w:rPr>
              <w:t>255,000</w:t>
            </w:r>
          </w:p>
        </w:tc>
        <w:tc>
          <w:tcPr>
            <w:tcW w:w="20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right w:val="single" w:sz="8" w:color="E5E5E5"/>
            </w:tcBorders>
            <w:shd w:val="clear" w:color="auto" w:fill="DBDBDB"/>
          </w:tcPr>
          <w:p>
            <w:pPr>
              <w:jc w:val="right"/>
              <w:ind w:right="19"/>
              <w:spacing w:after="0"/>
              <w:rPr>
                <w:sz w:val="20"/>
                <w:szCs w:val="20"/>
                <w:color w:val="auto"/>
              </w:rPr>
            </w:pPr>
            <w:r>
              <w:rPr>
                <w:rFonts w:ascii="Arial" w:cs="Arial" w:eastAsia="Arial" w:hAnsi="Arial"/>
                <w:sz w:val="16"/>
                <w:szCs w:val="16"/>
                <w:color w:val="auto"/>
              </w:rPr>
              <w:t>510,000</w:t>
            </w: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right w:val="single" w:sz="8" w:color="E5E5E5"/>
            </w:tcBorders>
            <w:shd w:val="clear" w:color="auto" w:fill="DBDBDB"/>
          </w:tcPr>
          <w:p>
            <w:pPr>
              <w:jc w:val="right"/>
              <w:ind w:right="19"/>
              <w:spacing w:after="0"/>
              <w:rPr>
                <w:sz w:val="20"/>
                <w:szCs w:val="20"/>
                <w:color w:val="auto"/>
              </w:rPr>
            </w:pPr>
            <w:r>
              <w:rPr>
                <w:rFonts w:ascii="Arial" w:cs="Arial" w:eastAsia="Arial" w:hAnsi="Arial"/>
                <w:sz w:val="16"/>
                <w:szCs w:val="16"/>
                <w:color w:val="auto"/>
              </w:rPr>
              <w:t>1,020,000</w:t>
            </w:r>
          </w:p>
        </w:tc>
        <w:tc>
          <w:tcPr>
            <w:tcW w:w="1040" w:type="dxa"/>
            <w:vAlign w:val="bottom"/>
            <w:tcBorders>
              <w:right w:val="single" w:sz="8" w:color="E5E5E5"/>
            </w:tcBorders>
            <w:shd w:val="clear" w:color="auto" w:fill="DBDBDB"/>
          </w:tcPr>
          <w:p>
            <w:pPr>
              <w:spacing w:after="0"/>
              <w:rPr>
                <w:sz w:val="22"/>
                <w:szCs w:val="22"/>
                <w:color w:val="auto"/>
              </w:rPr>
            </w:pPr>
          </w:p>
        </w:tc>
        <w:tc>
          <w:tcPr>
            <w:tcW w:w="760" w:type="dxa"/>
            <w:vAlign w:val="bottom"/>
            <w:tcBorders>
              <w:right w:val="single" w:sz="8" w:color="E5E5E5"/>
            </w:tcBorders>
            <w:shd w:val="clear" w:color="auto" w:fill="DBDBDB"/>
          </w:tcPr>
          <w:p>
            <w:pPr>
              <w:spacing w:after="0"/>
              <w:rPr>
                <w:sz w:val="22"/>
                <w:szCs w:val="22"/>
                <w:color w:val="auto"/>
              </w:rPr>
            </w:pPr>
          </w:p>
        </w:tc>
        <w:tc>
          <w:tcPr>
            <w:tcW w:w="1040" w:type="dxa"/>
            <w:vAlign w:val="bottom"/>
            <w:tcBorders>
              <w:right w:val="single" w:sz="8" w:color="E5E5E5"/>
            </w:tcBorders>
            <w:shd w:val="clear" w:color="auto" w:fill="DBDBDB"/>
          </w:tcPr>
          <w:p>
            <w:pPr>
              <w:spacing w:after="0"/>
              <w:rPr>
                <w:sz w:val="22"/>
                <w:szCs w:val="22"/>
                <w:color w:val="auto"/>
              </w:rPr>
            </w:pPr>
          </w:p>
        </w:tc>
        <w:tc>
          <w:tcPr>
            <w:tcW w:w="1220" w:type="dxa"/>
            <w:vAlign w:val="bottom"/>
            <w:tcBorders>
              <w:right w:val="single" w:sz="8" w:color="E5E5E5"/>
            </w:tcBorders>
            <w:shd w:val="clear" w:color="auto" w:fill="DBDBDB"/>
          </w:tcPr>
          <w:p>
            <w:pPr>
              <w:spacing w:after="0"/>
              <w:rPr>
                <w:sz w:val="22"/>
                <w:szCs w:val="22"/>
                <w:color w:val="auto"/>
              </w:rPr>
            </w:pPr>
          </w:p>
        </w:tc>
        <w:tc>
          <w:tcPr>
            <w:tcW w:w="120" w:type="dxa"/>
            <w:vAlign w:val="bottom"/>
            <w:shd w:val="clear" w:color="auto" w:fill="DBDBDB"/>
          </w:tcPr>
          <w:p>
            <w:pPr>
              <w:spacing w:after="0"/>
              <w:rPr>
                <w:sz w:val="22"/>
                <w:szCs w:val="22"/>
                <w:color w:val="auto"/>
              </w:rPr>
            </w:pPr>
          </w:p>
        </w:tc>
        <w:tc>
          <w:tcPr>
            <w:tcW w:w="1040" w:type="dxa"/>
            <w:vAlign w:val="bottom"/>
            <w:tcBorders>
              <w:right w:val="single" w:sz="8" w:color="E5E5E5"/>
            </w:tcBorders>
            <w:shd w:val="clear" w:color="auto" w:fill="DBDBDB"/>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980" w:type="dxa"/>
            <w:vAlign w:val="bottom"/>
            <w:tcBorders>
              <w:left w:val="single" w:sz="8" w:color="E5E5E5"/>
              <w:right w:val="single" w:sz="8" w:color="E5E5E5"/>
            </w:tcBorders>
            <w:shd w:val="clear" w:color="auto" w:fill="DBDBDB"/>
          </w:tcPr>
          <w:p>
            <w:pPr>
              <w:spacing w:after="0"/>
              <w:rPr>
                <w:sz w:val="22"/>
                <w:szCs w:val="22"/>
                <w:color w:val="auto"/>
              </w:rPr>
            </w:pPr>
          </w:p>
        </w:tc>
        <w:tc>
          <w:tcPr>
            <w:tcW w:w="740" w:type="dxa"/>
            <w:vAlign w:val="bottom"/>
            <w:tcBorders>
              <w:right w:val="single" w:sz="8" w:color="E5E5E5"/>
            </w:tcBorders>
            <w:shd w:val="clear" w:color="auto" w:fill="DBDBDB"/>
          </w:tcPr>
          <w:p>
            <w:pPr>
              <w:jc w:val="right"/>
              <w:spacing w:after="0"/>
              <w:rPr>
                <w:sz w:val="20"/>
                <w:szCs w:val="20"/>
                <w:color w:val="auto"/>
              </w:rPr>
            </w:pPr>
            <w:r>
              <w:rPr>
                <w:rFonts w:ascii="Arial" w:cs="Arial" w:eastAsia="Arial" w:hAnsi="Arial"/>
                <w:sz w:val="16"/>
                <w:szCs w:val="16"/>
                <w:color w:val="auto"/>
              </w:rPr>
              <w:t>2/20/24</w:t>
            </w:r>
          </w:p>
        </w:tc>
        <w:tc>
          <w:tcPr>
            <w:tcW w:w="960" w:type="dxa"/>
            <w:vAlign w:val="bottom"/>
            <w:tcBorders>
              <w:right w:val="single" w:sz="8" w:color="E5E5E5"/>
            </w:tcBorders>
            <w:shd w:val="clear" w:color="auto" w:fill="DBDBDB"/>
          </w:tcPr>
          <w:p>
            <w:pPr>
              <w:jc w:val="right"/>
              <w:spacing w:after="0"/>
              <w:rPr>
                <w:sz w:val="20"/>
                <w:szCs w:val="20"/>
                <w:color w:val="auto"/>
              </w:rPr>
            </w:pPr>
            <w:r>
              <w:rPr>
                <w:rFonts w:ascii="Arial" w:cs="Arial" w:eastAsia="Arial" w:hAnsi="Arial"/>
                <w:sz w:val="16"/>
                <w:szCs w:val="16"/>
                <w:color w:val="auto"/>
              </w:rPr>
              <w:t>2/12/24</w:t>
            </w:r>
          </w:p>
        </w:tc>
        <w:tc>
          <w:tcPr>
            <w:tcW w:w="100" w:type="dxa"/>
            <w:vAlign w:val="bottom"/>
            <w:shd w:val="clear" w:color="auto" w:fill="DBDBDB"/>
          </w:tcPr>
          <w:p>
            <w:pPr>
              <w:spacing w:after="0"/>
              <w:rPr>
                <w:sz w:val="22"/>
                <w:szCs w:val="22"/>
                <w:color w:val="auto"/>
              </w:rPr>
            </w:pPr>
          </w:p>
        </w:tc>
        <w:tc>
          <w:tcPr>
            <w:tcW w:w="980" w:type="dxa"/>
            <w:vAlign w:val="bottom"/>
            <w:tcBorders>
              <w:right w:val="single" w:sz="8" w:color="E5E5E5"/>
            </w:tcBorders>
            <w:shd w:val="clear" w:color="auto" w:fill="DBDBDB"/>
          </w:tcPr>
          <w:p>
            <w:pPr>
              <w:spacing w:after="0"/>
              <w:rPr>
                <w:sz w:val="22"/>
                <w:szCs w:val="22"/>
                <w:color w:val="auto"/>
              </w:rPr>
            </w:pPr>
          </w:p>
        </w:tc>
        <w:tc>
          <w:tcPr>
            <w:tcW w:w="200" w:type="dxa"/>
            <w:vAlign w:val="bottom"/>
            <w:shd w:val="clear" w:color="auto" w:fill="DBDBDB"/>
          </w:tcPr>
          <w:p>
            <w:pPr>
              <w:spacing w:after="0"/>
              <w:rPr>
                <w:sz w:val="22"/>
                <w:szCs w:val="22"/>
                <w:color w:val="auto"/>
              </w:rPr>
            </w:pPr>
          </w:p>
        </w:tc>
        <w:tc>
          <w:tcPr>
            <w:tcW w:w="920" w:type="dxa"/>
            <w:vAlign w:val="bottom"/>
            <w:tcBorders>
              <w:right w:val="single" w:sz="8" w:color="E5E5E5"/>
            </w:tcBorders>
            <w:shd w:val="clear" w:color="auto" w:fill="DBDBDB"/>
          </w:tcPr>
          <w:p>
            <w:pPr>
              <w:spacing w:after="0"/>
              <w:rPr>
                <w:sz w:val="22"/>
                <w:szCs w:val="22"/>
                <w:color w:val="auto"/>
              </w:rPr>
            </w:pPr>
          </w:p>
        </w:tc>
        <w:tc>
          <w:tcPr>
            <w:tcW w:w="140" w:type="dxa"/>
            <w:vAlign w:val="bottom"/>
            <w:shd w:val="clear" w:color="auto" w:fill="DBDBDB"/>
          </w:tcPr>
          <w:p>
            <w:pPr>
              <w:spacing w:after="0"/>
              <w:rPr>
                <w:sz w:val="22"/>
                <w:szCs w:val="22"/>
                <w:color w:val="auto"/>
              </w:rPr>
            </w:pPr>
          </w:p>
        </w:tc>
        <w:tc>
          <w:tcPr>
            <w:tcW w:w="1020" w:type="dxa"/>
            <w:vAlign w:val="bottom"/>
            <w:tcBorders>
              <w:right w:val="single" w:sz="8" w:color="E5E5E5"/>
            </w:tcBorders>
            <w:shd w:val="clear" w:color="auto" w:fill="DBDBDB"/>
          </w:tcPr>
          <w:p>
            <w:pPr>
              <w:spacing w:after="0"/>
              <w:rPr>
                <w:sz w:val="22"/>
                <w:szCs w:val="22"/>
                <w:color w:val="auto"/>
              </w:rPr>
            </w:pPr>
          </w:p>
        </w:tc>
        <w:tc>
          <w:tcPr>
            <w:tcW w:w="1040" w:type="dxa"/>
            <w:vAlign w:val="bottom"/>
            <w:tcBorders>
              <w:right w:val="single" w:sz="8" w:color="E5E5E5"/>
            </w:tcBorders>
            <w:shd w:val="clear" w:color="auto" w:fill="DBDBDB"/>
          </w:tcPr>
          <w:p>
            <w:pPr>
              <w:spacing w:after="0"/>
              <w:rPr>
                <w:sz w:val="22"/>
                <w:szCs w:val="22"/>
                <w:color w:val="auto"/>
              </w:rPr>
            </w:pPr>
          </w:p>
        </w:tc>
        <w:tc>
          <w:tcPr>
            <w:tcW w:w="760" w:type="dxa"/>
            <w:vAlign w:val="bottom"/>
            <w:tcBorders>
              <w:right w:val="single" w:sz="8" w:color="E5E5E5"/>
            </w:tcBorders>
            <w:shd w:val="clear" w:color="auto" w:fill="DBDBDB"/>
          </w:tcPr>
          <w:p>
            <w:pPr>
              <w:spacing w:after="0"/>
              <w:rPr>
                <w:sz w:val="22"/>
                <w:szCs w:val="22"/>
                <w:color w:val="auto"/>
              </w:rPr>
            </w:pPr>
          </w:p>
        </w:tc>
        <w:tc>
          <w:tcPr>
            <w:tcW w:w="1040" w:type="dxa"/>
            <w:vAlign w:val="bottom"/>
            <w:tcBorders>
              <w:right w:val="single" w:sz="8" w:color="E5E5E5"/>
            </w:tcBorders>
            <w:shd w:val="clear" w:color="auto" w:fill="DBDBDB"/>
          </w:tcPr>
          <w:p>
            <w:pPr>
              <w:spacing w:after="0"/>
              <w:rPr>
                <w:sz w:val="22"/>
                <w:szCs w:val="22"/>
                <w:color w:val="auto"/>
              </w:rPr>
            </w:pPr>
          </w:p>
        </w:tc>
        <w:tc>
          <w:tcPr>
            <w:tcW w:w="1220" w:type="dxa"/>
            <w:vAlign w:val="bottom"/>
            <w:tcBorders>
              <w:right w:val="single" w:sz="8" w:color="E5E5E5"/>
            </w:tcBorders>
            <w:shd w:val="clear" w:color="auto" w:fill="DBDBDB"/>
          </w:tcPr>
          <w:p>
            <w:pPr>
              <w:jc w:val="right"/>
              <w:spacing w:after="0"/>
              <w:rPr>
                <w:sz w:val="20"/>
                <w:szCs w:val="20"/>
                <w:color w:val="auto"/>
              </w:rPr>
            </w:pPr>
            <w:r>
              <w:rPr>
                <w:rFonts w:ascii="Arial" w:cs="Arial" w:eastAsia="Arial" w:hAnsi="Arial"/>
                <w:sz w:val="16"/>
                <w:szCs w:val="16"/>
                <w:color w:val="auto"/>
              </w:rPr>
              <w:t>1,476</w:t>
            </w:r>
          </w:p>
        </w:tc>
        <w:tc>
          <w:tcPr>
            <w:tcW w:w="12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right w:val="single" w:sz="8" w:color="E5E5E5"/>
            </w:tcBorders>
            <w:shd w:val="clear" w:color="auto" w:fill="DBDBDB"/>
          </w:tcPr>
          <w:p>
            <w:pPr>
              <w:jc w:val="right"/>
              <w:ind w:right="23"/>
              <w:spacing w:after="0"/>
              <w:rPr>
                <w:sz w:val="20"/>
                <w:szCs w:val="20"/>
                <w:color w:val="auto"/>
              </w:rPr>
            </w:pPr>
            <w:r>
              <w:rPr>
                <w:rFonts w:ascii="Arial" w:cs="Arial" w:eastAsia="Arial" w:hAnsi="Arial"/>
                <w:sz w:val="16"/>
                <w:szCs w:val="16"/>
                <w:color w:val="auto"/>
              </w:rPr>
              <w:t>320,130</w:t>
            </w:r>
          </w:p>
        </w:tc>
        <w:tc>
          <w:tcPr>
            <w:tcW w:w="0" w:type="dxa"/>
            <w:vAlign w:val="bottom"/>
          </w:tcPr>
          <w:p>
            <w:pPr>
              <w:spacing w:after="0"/>
              <w:rPr>
                <w:sz w:val="1"/>
                <w:szCs w:val="1"/>
                <w:color w:val="auto"/>
              </w:rPr>
            </w:pPr>
          </w:p>
        </w:tc>
      </w:tr>
      <w:tr>
        <w:trPr>
          <w:trHeight w:val="264"/>
        </w:trPr>
        <w:tc>
          <w:tcPr>
            <w:tcW w:w="980" w:type="dxa"/>
            <w:vAlign w:val="bottom"/>
            <w:tcBorders>
              <w:left w:val="single" w:sz="8" w:color="E5E5E5"/>
              <w:right w:val="single" w:sz="8" w:color="E5E5E5"/>
            </w:tcBorders>
            <w:shd w:val="clear" w:color="auto" w:fill="DBDBDB"/>
          </w:tcPr>
          <w:p>
            <w:pPr>
              <w:spacing w:after="0"/>
              <w:rPr>
                <w:sz w:val="22"/>
                <w:szCs w:val="22"/>
                <w:color w:val="auto"/>
              </w:rPr>
            </w:pPr>
          </w:p>
        </w:tc>
        <w:tc>
          <w:tcPr>
            <w:tcW w:w="740" w:type="dxa"/>
            <w:vAlign w:val="bottom"/>
            <w:tcBorders>
              <w:right w:val="single" w:sz="8" w:color="E5E5E5"/>
            </w:tcBorders>
            <w:shd w:val="clear" w:color="auto" w:fill="DBDBDB"/>
          </w:tcPr>
          <w:p>
            <w:pPr>
              <w:jc w:val="right"/>
              <w:spacing w:after="0"/>
              <w:rPr>
                <w:sz w:val="20"/>
                <w:szCs w:val="20"/>
                <w:color w:val="auto"/>
              </w:rPr>
            </w:pPr>
            <w:r>
              <w:rPr>
                <w:rFonts w:ascii="Arial" w:cs="Arial" w:eastAsia="Arial" w:hAnsi="Arial"/>
                <w:sz w:val="16"/>
                <w:szCs w:val="16"/>
                <w:color w:val="auto"/>
              </w:rPr>
              <w:t>2/20/24</w:t>
            </w:r>
          </w:p>
        </w:tc>
        <w:tc>
          <w:tcPr>
            <w:tcW w:w="960" w:type="dxa"/>
            <w:vAlign w:val="bottom"/>
            <w:tcBorders>
              <w:right w:val="single" w:sz="8" w:color="E5E5E5"/>
            </w:tcBorders>
            <w:shd w:val="clear" w:color="auto" w:fill="DBDBDB"/>
          </w:tcPr>
          <w:p>
            <w:pPr>
              <w:jc w:val="right"/>
              <w:spacing w:after="0"/>
              <w:rPr>
                <w:sz w:val="20"/>
                <w:szCs w:val="20"/>
                <w:color w:val="auto"/>
              </w:rPr>
            </w:pPr>
            <w:r>
              <w:rPr>
                <w:rFonts w:ascii="Arial" w:cs="Arial" w:eastAsia="Arial" w:hAnsi="Arial"/>
                <w:sz w:val="16"/>
                <w:szCs w:val="16"/>
                <w:color w:val="auto"/>
              </w:rPr>
              <w:t>2/12/24</w:t>
            </w:r>
          </w:p>
        </w:tc>
        <w:tc>
          <w:tcPr>
            <w:tcW w:w="100" w:type="dxa"/>
            <w:vAlign w:val="bottom"/>
            <w:shd w:val="clear" w:color="auto" w:fill="DBDBDB"/>
          </w:tcPr>
          <w:p>
            <w:pPr>
              <w:spacing w:after="0"/>
              <w:rPr>
                <w:sz w:val="22"/>
                <w:szCs w:val="22"/>
                <w:color w:val="auto"/>
              </w:rPr>
            </w:pPr>
          </w:p>
        </w:tc>
        <w:tc>
          <w:tcPr>
            <w:tcW w:w="980" w:type="dxa"/>
            <w:vAlign w:val="bottom"/>
            <w:tcBorders>
              <w:right w:val="single" w:sz="8" w:color="E5E5E5"/>
            </w:tcBorders>
            <w:shd w:val="clear" w:color="auto" w:fill="DBDBDB"/>
          </w:tcPr>
          <w:p>
            <w:pPr>
              <w:spacing w:after="0"/>
              <w:rPr>
                <w:sz w:val="22"/>
                <w:szCs w:val="22"/>
                <w:color w:val="auto"/>
              </w:rPr>
            </w:pPr>
          </w:p>
        </w:tc>
        <w:tc>
          <w:tcPr>
            <w:tcW w:w="200" w:type="dxa"/>
            <w:vAlign w:val="bottom"/>
            <w:shd w:val="clear" w:color="auto" w:fill="DBDBDB"/>
          </w:tcPr>
          <w:p>
            <w:pPr>
              <w:spacing w:after="0"/>
              <w:rPr>
                <w:sz w:val="22"/>
                <w:szCs w:val="22"/>
                <w:color w:val="auto"/>
              </w:rPr>
            </w:pPr>
          </w:p>
        </w:tc>
        <w:tc>
          <w:tcPr>
            <w:tcW w:w="920" w:type="dxa"/>
            <w:vAlign w:val="bottom"/>
            <w:tcBorders>
              <w:right w:val="single" w:sz="8" w:color="E5E5E5"/>
            </w:tcBorders>
            <w:shd w:val="clear" w:color="auto" w:fill="DBDBDB"/>
          </w:tcPr>
          <w:p>
            <w:pPr>
              <w:spacing w:after="0"/>
              <w:rPr>
                <w:sz w:val="22"/>
                <w:szCs w:val="22"/>
                <w:color w:val="auto"/>
              </w:rPr>
            </w:pPr>
          </w:p>
        </w:tc>
        <w:tc>
          <w:tcPr>
            <w:tcW w:w="140" w:type="dxa"/>
            <w:vAlign w:val="bottom"/>
            <w:shd w:val="clear" w:color="auto" w:fill="DBDBDB"/>
          </w:tcPr>
          <w:p>
            <w:pPr>
              <w:spacing w:after="0"/>
              <w:rPr>
                <w:sz w:val="22"/>
                <w:szCs w:val="22"/>
                <w:color w:val="auto"/>
              </w:rPr>
            </w:pPr>
          </w:p>
        </w:tc>
        <w:tc>
          <w:tcPr>
            <w:tcW w:w="1020" w:type="dxa"/>
            <w:vAlign w:val="bottom"/>
            <w:tcBorders>
              <w:right w:val="single" w:sz="8" w:color="E5E5E5"/>
            </w:tcBorders>
            <w:shd w:val="clear" w:color="auto" w:fill="DBDBDB"/>
          </w:tcPr>
          <w:p>
            <w:pPr>
              <w:spacing w:after="0"/>
              <w:rPr>
                <w:sz w:val="22"/>
                <w:szCs w:val="22"/>
                <w:color w:val="auto"/>
              </w:rPr>
            </w:pPr>
          </w:p>
        </w:tc>
        <w:tc>
          <w:tcPr>
            <w:tcW w:w="1040" w:type="dxa"/>
            <w:vAlign w:val="bottom"/>
            <w:tcBorders>
              <w:right w:val="single" w:sz="8" w:color="E5E5E5"/>
            </w:tcBorders>
            <w:shd w:val="clear" w:color="auto" w:fill="DBDBDB"/>
          </w:tcPr>
          <w:p>
            <w:pPr>
              <w:jc w:val="right"/>
              <w:spacing w:after="0"/>
              <w:rPr>
                <w:sz w:val="20"/>
                <w:szCs w:val="20"/>
                <w:color w:val="auto"/>
              </w:rPr>
            </w:pPr>
            <w:r>
              <w:rPr>
                <w:rFonts w:ascii="Arial" w:cs="Arial" w:eastAsia="Arial" w:hAnsi="Arial"/>
                <w:sz w:val="16"/>
                <w:szCs w:val="16"/>
                <w:color w:val="auto"/>
              </w:rPr>
              <w:t>1,107</w:t>
            </w:r>
          </w:p>
        </w:tc>
        <w:tc>
          <w:tcPr>
            <w:tcW w:w="760" w:type="dxa"/>
            <w:vAlign w:val="bottom"/>
            <w:tcBorders>
              <w:right w:val="single" w:sz="8" w:color="E5E5E5"/>
            </w:tcBorders>
            <w:shd w:val="clear" w:color="auto" w:fill="DBDBDB"/>
          </w:tcPr>
          <w:p>
            <w:pPr>
              <w:jc w:val="right"/>
              <w:spacing w:after="0"/>
              <w:rPr>
                <w:sz w:val="20"/>
                <w:szCs w:val="20"/>
                <w:color w:val="auto"/>
              </w:rPr>
            </w:pPr>
            <w:r>
              <w:rPr>
                <w:rFonts w:ascii="Arial" w:cs="Arial" w:eastAsia="Arial" w:hAnsi="Arial"/>
                <w:sz w:val="16"/>
                <w:szCs w:val="16"/>
                <w:color w:val="auto"/>
              </w:rPr>
              <w:t>2,213</w:t>
            </w:r>
          </w:p>
        </w:tc>
        <w:tc>
          <w:tcPr>
            <w:tcW w:w="1040" w:type="dxa"/>
            <w:vAlign w:val="bottom"/>
            <w:tcBorders>
              <w:right w:val="single" w:sz="8" w:color="E5E5E5"/>
            </w:tcBorders>
            <w:shd w:val="clear" w:color="auto" w:fill="DBDBDB"/>
          </w:tcPr>
          <w:p>
            <w:pPr>
              <w:jc w:val="right"/>
              <w:spacing w:after="0"/>
              <w:rPr>
                <w:sz w:val="20"/>
                <w:szCs w:val="20"/>
                <w:color w:val="auto"/>
              </w:rPr>
            </w:pPr>
            <w:r>
              <w:rPr>
                <w:rFonts w:ascii="Arial" w:cs="Arial" w:eastAsia="Arial" w:hAnsi="Arial"/>
                <w:sz w:val="16"/>
                <w:szCs w:val="16"/>
                <w:color w:val="auto"/>
              </w:rPr>
              <w:t>3,320</w:t>
            </w:r>
          </w:p>
        </w:tc>
        <w:tc>
          <w:tcPr>
            <w:tcW w:w="1220" w:type="dxa"/>
            <w:vAlign w:val="bottom"/>
            <w:tcBorders>
              <w:right w:val="single" w:sz="8" w:color="E5E5E5"/>
            </w:tcBorders>
            <w:shd w:val="clear" w:color="auto" w:fill="DBDBDB"/>
          </w:tcPr>
          <w:p>
            <w:pPr>
              <w:spacing w:after="0"/>
              <w:rPr>
                <w:sz w:val="22"/>
                <w:szCs w:val="22"/>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right w:val="single" w:sz="8" w:color="E5E5E5"/>
            </w:tcBorders>
            <w:shd w:val="clear" w:color="auto" w:fill="DBDBDB"/>
          </w:tcPr>
          <w:p>
            <w:pPr>
              <w:jc w:val="right"/>
              <w:ind w:right="23"/>
              <w:spacing w:after="0"/>
              <w:rPr>
                <w:sz w:val="20"/>
                <w:szCs w:val="20"/>
                <w:color w:val="auto"/>
              </w:rPr>
            </w:pPr>
            <w:r>
              <w:rPr>
                <w:rFonts w:ascii="Arial" w:cs="Arial" w:eastAsia="Arial" w:hAnsi="Arial"/>
                <w:sz w:val="16"/>
                <w:szCs w:val="16"/>
                <w:color w:val="auto"/>
              </w:rPr>
              <w:t>479,978</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340" w:right="100" w:hanging="332"/>
        <w:spacing w:after="0" w:line="275" w:lineRule="auto"/>
        <w:tabs>
          <w:tab w:leader="none" w:pos="335" w:val="left"/>
        </w:tabs>
        <w:numPr>
          <w:ilvl w:val="0"/>
          <w:numId w:val="53"/>
        </w:numPr>
        <w:rPr>
          <w:rFonts w:ascii="Arial" w:cs="Arial" w:eastAsia="Arial" w:hAnsi="Arial"/>
          <w:sz w:val="16"/>
          <w:szCs w:val="16"/>
          <w:color w:val="auto"/>
        </w:rPr>
      </w:pPr>
      <w:r>
        <w:rPr>
          <w:rFonts w:ascii="Arial" w:cs="Arial" w:eastAsia="Arial" w:hAnsi="Arial"/>
          <w:sz w:val="16"/>
          <w:szCs w:val="16"/>
          <w:color w:val="auto"/>
        </w:rPr>
        <w:t>Represents potential payouts under our annual cash incentive plan for each named executive officer. For a more detailed discussion of the annual cash incentive plan and the actual awards paid under this plan, see the section of this proxy statement entitled, “Compensation Discussion &amp; Analysis— Review of 2024 Total Compensation—Annual Cash Incentive Opportunity” and the “Summary Compensation Table.”</w:t>
      </w:r>
    </w:p>
    <w:p>
      <w:pPr>
        <w:spacing w:after="0" w:line="2" w:lineRule="exact"/>
        <w:rPr>
          <w:rFonts w:ascii="Arial" w:cs="Arial" w:eastAsia="Arial" w:hAnsi="Arial"/>
          <w:sz w:val="16"/>
          <w:szCs w:val="16"/>
          <w:color w:val="auto"/>
        </w:rPr>
      </w:pPr>
    </w:p>
    <w:p>
      <w:pPr>
        <w:ind w:left="340" w:right="100" w:hanging="332"/>
        <w:spacing w:after="0" w:line="275" w:lineRule="auto"/>
        <w:tabs>
          <w:tab w:leader="none" w:pos="335" w:val="left"/>
        </w:tabs>
        <w:numPr>
          <w:ilvl w:val="0"/>
          <w:numId w:val="53"/>
        </w:numPr>
        <w:rPr>
          <w:rFonts w:ascii="Arial" w:cs="Arial" w:eastAsia="Arial" w:hAnsi="Arial"/>
          <w:sz w:val="16"/>
          <w:szCs w:val="16"/>
          <w:color w:val="auto"/>
        </w:rPr>
      </w:pPr>
      <w:r>
        <w:rPr>
          <w:rFonts w:ascii="Arial" w:cs="Arial" w:eastAsia="Arial" w:hAnsi="Arial"/>
          <w:sz w:val="16"/>
          <w:szCs w:val="16"/>
          <w:color w:val="auto"/>
        </w:rPr>
        <w:t>Represents performance share unit awards. For a more detailed discussion of the Company’s performance share unit award program, see the section of this proxy statement entitled, “Compensation Discussion &amp; Analysis—Review of 2024 Total Compensation—Annual Equity Awards Program” and the "Summary Compensation Table."</w:t>
      </w:r>
    </w:p>
    <w:p>
      <w:pPr>
        <w:spacing w:after="0" w:line="15" w:lineRule="exact"/>
        <w:rPr>
          <w:rFonts w:ascii="Arial" w:cs="Arial" w:eastAsia="Arial" w:hAnsi="Arial"/>
          <w:sz w:val="16"/>
          <w:szCs w:val="16"/>
          <w:color w:val="auto"/>
        </w:rPr>
      </w:pPr>
    </w:p>
    <w:p>
      <w:pPr>
        <w:jc w:val="both"/>
        <w:ind w:left="340" w:right="200" w:hanging="332"/>
        <w:spacing w:after="0" w:line="266" w:lineRule="auto"/>
        <w:tabs>
          <w:tab w:leader="none" w:pos="335" w:val="left"/>
        </w:tabs>
        <w:numPr>
          <w:ilvl w:val="0"/>
          <w:numId w:val="53"/>
        </w:numPr>
        <w:rPr>
          <w:rFonts w:ascii="Arial" w:cs="Arial" w:eastAsia="Arial" w:hAnsi="Arial"/>
          <w:sz w:val="16"/>
          <w:szCs w:val="16"/>
          <w:color w:val="auto"/>
        </w:rPr>
      </w:pPr>
      <w:r>
        <w:rPr>
          <w:rFonts w:ascii="Arial" w:cs="Arial" w:eastAsia="Arial" w:hAnsi="Arial"/>
          <w:sz w:val="16"/>
          <w:szCs w:val="16"/>
          <w:color w:val="auto"/>
        </w:rPr>
        <w:t>Represents grants of restricted stock units. For a more detailed discussion of the Company's restricted stock unit awards, see the section of this proxy statement entitled, “Compensation Discussion &amp; Analysis—Review of 2024 Total Compensation—Annual Equity Awards Program” and the “Summary Compensation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Outstanding Equity Awards at 2024 Fiscal Year-End</w:t>
      </w:r>
    </w:p>
    <w:p>
      <w:pPr>
        <w:spacing w:after="0" w:line="76"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2060" w:type="dxa"/>
            <w:vAlign w:val="bottom"/>
            <w:tcBorders>
              <w:left w:val="single" w:sz="8" w:color="E5E5E5"/>
              <w:right w:val="single" w:sz="8" w:color="E5E5E5"/>
            </w:tcBorders>
            <w:shd w:val="clear" w:color="auto" w:fill="D91E18"/>
          </w:tcPr>
          <w:p>
            <w:pPr>
              <w:spacing w:after="0"/>
              <w:rPr>
                <w:sz w:val="21"/>
                <w:szCs w:val="21"/>
                <w:color w:val="auto"/>
              </w:rPr>
            </w:pPr>
          </w:p>
        </w:tc>
        <w:tc>
          <w:tcPr>
            <w:tcW w:w="1080" w:type="dxa"/>
            <w:vAlign w:val="bottom"/>
            <w:tcBorders>
              <w:right w:val="single" w:sz="8" w:color="D91E18"/>
            </w:tcBorders>
            <w:shd w:val="clear" w:color="auto" w:fill="D91E18"/>
          </w:tcPr>
          <w:p>
            <w:pPr>
              <w:spacing w:after="0"/>
              <w:rPr>
                <w:sz w:val="21"/>
                <w:szCs w:val="21"/>
                <w:color w:val="auto"/>
              </w:rPr>
            </w:pPr>
          </w:p>
        </w:tc>
        <w:tc>
          <w:tcPr>
            <w:tcW w:w="1260" w:type="dxa"/>
            <w:vAlign w:val="bottom"/>
            <w:shd w:val="clear" w:color="auto" w:fill="D91E18"/>
          </w:tcPr>
          <w:p>
            <w:pPr>
              <w:spacing w:after="0"/>
              <w:rPr>
                <w:sz w:val="21"/>
                <w:szCs w:val="21"/>
                <w:color w:val="auto"/>
              </w:rPr>
            </w:pPr>
          </w:p>
        </w:tc>
        <w:tc>
          <w:tcPr>
            <w:tcW w:w="320" w:type="dxa"/>
            <w:vAlign w:val="bottom"/>
            <w:tcBorders>
              <w:right w:val="single" w:sz="8" w:color="D91E18"/>
            </w:tcBorders>
            <w:shd w:val="clear" w:color="auto" w:fill="D91E18"/>
          </w:tcPr>
          <w:p>
            <w:pPr>
              <w:spacing w:after="0"/>
              <w:rPr>
                <w:sz w:val="21"/>
                <w:szCs w:val="21"/>
                <w:color w:val="auto"/>
              </w:rPr>
            </w:pPr>
          </w:p>
        </w:tc>
        <w:tc>
          <w:tcPr>
            <w:tcW w:w="140" w:type="dxa"/>
            <w:vAlign w:val="bottom"/>
            <w:shd w:val="clear" w:color="auto" w:fill="D91E18"/>
          </w:tcPr>
          <w:p>
            <w:pPr>
              <w:spacing w:after="0"/>
              <w:rPr>
                <w:sz w:val="21"/>
                <w:szCs w:val="21"/>
                <w:color w:val="auto"/>
              </w:rPr>
            </w:pPr>
          </w:p>
        </w:tc>
        <w:tc>
          <w:tcPr>
            <w:tcW w:w="3420" w:type="dxa"/>
            <w:vAlign w:val="bottom"/>
            <w:gridSpan w:val="2"/>
            <w:shd w:val="clear" w:color="auto" w:fill="D91E18"/>
          </w:tcPr>
          <w:p>
            <w:pPr>
              <w:jc w:val="right"/>
              <w:ind w:right="959"/>
              <w:spacing w:after="0"/>
              <w:rPr>
                <w:sz w:val="20"/>
                <w:szCs w:val="20"/>
                <w:color w:val="auto"/>
              </w:rPr>
            </w:pPr>
            <w:r>
              <w:rPr>
                <w:rFonts w:ascii="Arial" w:cs="Arial" w:eastAsia="Arial" w:hAnsi="Arial"/>
                <w:sz w:val="16"/>
                <w:szCs w:val="16"/>
                <w:b w:val="1"/>
                <w:bCs w:val="1"/>
                <w:color w:val="FFFFFF"/>
              </w:rPr>
              <w:t>Stock Awards</w:t>
            </w:r>
            <w:r>
              <w:rPr>
                <w:rFonts w:ascii="Arial" w:cs="Arial" w:eastAsia="Arial" w:hAnsi="Arial"/>
                <w:sz w:val="21"/>
                <w:szCs w:val="21"/>
                <w:b w:val="1"/>
                <w:bCs w:val="1"/>
                <w:color w:val="FFFFFF"/>
                <w:vertAlign w:val="superscript"/>
              </w:rPr>
              <w:t>(1)</w:t>
            </w:r>
          </w:p>
        </w:tc>
        <w:tc>
          <w:tcPr>
            <w:tcW w:w="300" w:type="dxa"/>
            <w:vAlign w:val="bottom"/>
            <w:tcBorders>
              <w:right w:val="single" w:sz="8" w:color="D91E18"/>
            </w:tcBorders>
            <w:shd w:val="clear" w:color="auto" w:fill="D91E18"/>
          </w:tcPr>
          <w:p>
            <w:pPr>
              <w:spacing w:after="0"/>
              <w:rPr>
                <w:sz w:val="21"/>
                <w:szCs w:val="21"/>
                <w:color w:val="auto"/>
              </w:rPr>
            </w:pPr>
          </w:p>
        </w:tc>
        <w:tc>
          <w:tcPr>
            <w:tcW w:w="140" w:type="dxa"/>
            <w:vAlign w:val="bottom"/>
            <w:shd w:val="clear" w:color="auto" w:fill="D91E18"/>
          </w:tcPr>
          <w:p>
            <w:pPr>
              <w:spacing w:after="0"/>
              <w:rPr>
                <w:sz w:val="21"/>
                <w:szCs w:val="21"/>
                <w:color w:val="auto"/>
              </w:rPr>
            </w:pPr>
          </w:p>
        </w:tc>
        <w:tc>
          <w:tcPr>
            <w:tcW w:w="2540" w:type="dxa"/>
            <w:vAlign w:val="bottom"/>
            <w:tcBorders>
              <w:right w:val="single" w:sz="8" w:color="E5E5E5"/>
            </w:tcBorders>
            <w:shd w:val="clear" w:color="auto" w:fill="D91E18"/>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60" w:type="dxa"/>
            <w:vAlign w:val="bottom"/>
            <w:tcBorders>
              <w:left w:val="single" w:sz="8" w:color="E5E5E5"/>
              <w:right w:val="single" w:sz="8" w:color="E5E5E5"/>
            </w:tcBorders>
            <w:shd w:val="clear" w:color="auto" w:fill="D91E18"/>
          </w:tcPr>
          <w:p>
            <w:pPr>
              <w:spacing w:after="0"/>
              <w:rPr>
                <w:sz w:val="17"/>
                <w:szCs w:val="17"/>
                <w:color w:val="auto"/>
              </w:rPr>
            </w:pPr>
          </w:p>
        </w:tc>
        <w:tc>
          <w:tcPr>
            <w:tcW w:w="1080" w:type="dxa"/>
            <w:vAlign w:val="bottom"/>
            <w:tcBorders>
              <w:right w:val="single" w:sz="8" w:color="E5E5E5"/>
            </w:tcBorders>
            <w:shd w:val="clear" w:color="auto" w:fill="D91E18"/>
          </w:tcPr>
          <w:p>
            <w:pPr>
              <w:spacing w:after="0"/>
              <w:rPr>
                <w:sz w:val="17"/>
                <w:szCs w:val="17"/>
                <w:color w:val="auto"/>
              </w:rPr>
            </w:pPr>
          </w:p>
        </w:tc>
        <w:tc>
          <w:tcPr>
            <w:tcW w:w="1580" w:type="dxa"/>
            <w:vAlign w:val="bottom"/>
            <w:tcBorders>
              <w:right w:val="single" w:sz="8" w:color="E5E5E5"/>
            </w:tcBorders>
            <w:gridSpan w:val="2"/>
            <w:vMerge w:val="restart"/>
            <w:shd w:val="clear" w:color="auto" w:fill="D91E18"/>
          </w:tcPr>
          <w:p>
            <w:pPr>
              <w:jc w:val="center"/>
              <w:spacing w:after="0"/>
              <w:rPr>
                <w:sz w:val="20"/>
                <w:szCs w:val="20"/>
                <w:color w:val="auto"/>
              </w:rPr>
            </w:pPr>
            <w:r>
              <w:rPr>
                <w:rFonts w:ascii="Arial" w:cs="Arial" w:eastAsia="Arial" w:hAnsi="Arial"/>
                <w:sz w:val="16"/>
                <w:szCs w:val="16"/>
                <w:b w:val="1"/>
                <w:bCs w:val="1"/>
                <w:color w:val="FFFFFF"/>
              </w:rPr>
              <w:t>Number of Shares</w:t>
            </w:r>
          </w:p>
        </w:tc>
        <w:tc>
          <w:tcPr>
            <w:tcW w:w="140" w:type="dxa"/>
            <w:vAlign w:val="bottom"/>
            <w:shd w:val="clear" w:color="auto" w:fill="D91E18"/>
          </w:tcPr>
          <w:p>
            <w:pPr>
              <w:spacing w:after="0"/>
              <w:rPr>
                <w:sz w:val="17"/>
                <w:szCs w:val="17"/>
                <w:color w:val="auto"/>
              </w:rPr>
            </w:pPr>
          </w:p>
        </w:tc>
        <w:tc>
          <w:tcPr>
            <w:tcW w:w="1580" w:type="dxa"/>
            <w:vAlign w:val="bottom"/>
            <w:tcBorders>
              <w:right w:val="single" w:sz="8" w:color="E5E5E5"/>
            </w:tcBorders>
            <w:vMerge w:val="restart"/>
            <w:shd w:val="clear" w:color="auto" w:fill="D91E18"/>
          </w:tcPr>
          <w:p>
            <w:pPr>
              <w:jc w:val="center"/>
              <w:ind w:right="79"/>
              <w:spacing w:after="0"/>
              <w:rPr>
                <w:sz w:val="20"/>
                <w:szCs w:val="20"/>
                <w:color w:val="auto"/>
              </w:rPr>
            </w:pPr>
            <w:r>
              <w:rPr>
                <w:rFonts w:ascii="Arial" w:cs="Arial" w:eastAsia="Arial" w:hAnsi="Arial"/>
                <w:sz w:val="16"/>
                <w:szCs w:val="16"/>
                <w:b w:val="1"/>
                <w:bCs w:val="1"/>
                <w:color w:val="FFFFFF"/>
                <w:w w:val="99"/>
              </w:rPr>
              <w:t>Market Value of</w:t>
            </w:r>
          </w:p>
        </w:tc>
        <w:tc>
          <w:tcPr>
            <w:tcW w:w="2140" w:type="dxa"/>
            <w:vAlign w:val="bottom"/>
            <w:tcBorders>
              <w:right w:val="single" w:sz="8" w:color="E5E5E5"/>
            </w:tcBorders>
            <w:gridSpan w:val="2"/>
            <w:shd w:val="clear" w:color="auto" w:fill="D91E18"/>
          </w:tcPr>
          <w:p>
            <w:pPr>
              <w:jc w:val="center"/>
              <w:spacing w:after="0"/>
              <w:rPr>
                <w:sz w:val="20"/>
                <w:szCs w:val="20"/>
                <w:color w:val="auto"/>
              </w:rPr>
            </w:pPr>
            <w:r>
              <w:rPr>
                <w:rFonts w:ascii="Arial" w:cs="Arial" w:eastAsia="Arial" w:hAnsi="Arial"/>
                <w:sz w:val="16"/>
                <w:szCs w:val="16"/>
                <w:b w:val="1"/>
                <w:bCs w:val="1"/>
                <w:color w:val="FFFFFF"/>
              </w:rPr>
              <w:t>Equity Incentive Plan</w:t>
            </w:r>
          </w:p>
        </w:tc>
        <w:tc>
          <w:tcPr>
            <w:tcW w:w="140" w:type="dxa"/>
            <w:vAlign w:val="bottom"/>
            <w:shd w:val="clear" w:color="auto" w:fill="D91E18"/>
          </w:tcPr>
          <w:p>
            <w:pPr>
              <w:spacing w:after="0"/>
              <w:rPr>
                <w:sz w:val="17"/>
                <w:szCs w:val="17"/>
                <w:color w:val="auto"/>
              </w:rPr>
            </w:pPr>
          </w:p>
        </w:tc>
        <w:tc>
          <w:tcPr>
            <w:tcW w:w="2540" w:type="dxa"/>
            <w:vAlign w:val="bottom"/>
            <w:tcBorders>
              <w:right w:val="single" w:sz="8" w:color="E5E5E5"/>
            </w:tcBorders>
            <w:vMerge w:val="restart"/>
            <w:shd w:val="clear" w:color="auto" w:fill="D91E18"/>
          </w:tcPr>
          <w:p>
            <w:pPr>
              <w:jc w:val="center"/>
              <w:ind w:right="79"/>
              <w:spacing w:after="0"/>
              <w:rPr>
                <w:sz w:val="20"/>
                <w:szCs w:val="20"/>
                <w:color w:val="auto"/>
              </w:rPr>
            </w:pPr>
            <w:r>
              <w:rPr>
                <w:rFonts w:ascii="Arial" w:cs="Arial" w:eastAsia="Arial" w:hAnsi="Arial"/>
                <w:sz w:val="16"/>
                <w:szCs w:val="16"/>
                <w:b w:val="1"/>
                <w:bCs w:val="1"/>
                <w:color w:val="FFFFFF"/>
              </w:rPr>
              <w:t>Equity Incentive Plan Awards:</w:t>
            </w:r>
          </w:p>
        </w:tc>
        <w:tc>
          <w:tcPr>
            <w:tcW w:w="0" w:type="dxa"/>
            <w:vAlign w:val="bottom"/>
          </w:tcPr>
          <w:p>
            <w:pPr>
              <w:spacing w:after="0"/>
              <w:rPr>
                <w:sz w:val="1"/>
                <w:szCs w:val="1"/>
                <w:color w:val="auto"/>
              </w:rPr>
            </w:pPr>
          </w:p>
        </w:tc>
      </w:tr>
      <w:tr>
        <w:trPr>
          <w:trHeight w:val="162"/>
        </w:trPr>
        <w:tc>
          <w:tcPr>
            <w:tcW w:w="2060" w:type="dxa"/>
            <w:vAlign w:val="bottom"/>
            <w:tcBorders>
              <w:left w:val="single" w:sz="8" w:color="E5E5E5"/>
              <w:right w:val="single" w:sz="8" w:color="E5E5E5"/>
            </w:tcBorders>
            <w:shd w:val="clear" w:color="auto" w:fill="D91E18"/>
          </w:tcPr>
          <w:p>
            <w:pPr>
              <w:spacing w:after="0"/>
              <w:rPr>
                <w:sz w:val="14"/>
                <w:szCs w:val="14"/>
                <w:color w:val="auto"/>
              </w:rPr>
            </w:pPr>
          </w:p>
        </w:tc>
        <w:tc>
          <w:tcPr>
            <w:tcW w:w="1080" w:type="dxa"/>
            <w:vAlign w:val="bottom"/>
            <w:tcBorders>
              <w:right w:val="single" w:sz="8" w:color="E5E5E5"/>
            </w:tcBorders>
            <w:shd w:val="clear" w:color="auto" w:fill="D91E18"/>
          </w:tcPr>
          <w:p>
            <w:pPr>
              <w:spacing w:after="0"/>
              <w:rPr>
                <w:sz w:val="14"/>
                <w:szCs w:val="14"/>
                <w:color w:val="auto"/>
              </w:rPr>
            </w:pPr>
          </w:p>
        </w:tc>
        <w:tc>
          <w:tcPr>
            <w:tcW w:w="1580" w:type="dxa"/>
            <w:vAlign w:val="bottom"/>
            <w:tcBorders>
              <w:right w:val="single" w:sz="8" w:color="E5E5E5"/>
            </w:tcBorders>
            <w:gridSpan w:val="2"/>
            <w:vMerge w:val="continue"/>
            <w:shd w:val="clear" w:color="auto" w:fill="D91E18"/>
          </w:tcPr>
          <w:p>
            <w:pPr>
              <w:spacing w:after="0"/>
              <w:rPr>
                <w:sz w:val="14"/>
                <w:szCs w:val="14"/>
                <w:color w:val="auto"/>
              </w:rPr>
            </w:pPr>
          </w:p>
        </w:tc>
        <w:tc>
          <w:tcPr>
            <w:tcW w:w="140" w:type="dxa"/>
            <w:vAlign w:val="bottom"/>
            <w:shd w:val="clear" w:color="auto" w:fill="D91E18"/>
          </w:tcPr>
          <w:p>
            <w:pPr>
              <w:spacing w:after="0"/>
              <w:rPr>
                <w:sz w:val="14"/>
                <w:szCs w:val="14"/>
                <w:color w:val="auto"/>
              </w:rPr>
            </w:pPr>
          </w:p>
        </w:tc>
        <w:tc>
          <w:tcPr>
            <w:tcW w:w="1580" w:type="dxa"/>
            <w:vAlign w:val="bottom"/>
            <w:tcBorders>
              <w:right w:val="single" w:sz="8" w:color="E5E5E5"/>
            </w:tcBorders>
            <w:vMerge w:val="continue"/>
            <w:shd w:val="clear" w:color="auto" w:fill="D91E18"/>
          </w:tcPr>
          <w:p>
            <w:pPr>
              <w:spacing w:after="0"/>
              <w:rPr>
                <w:sz w:val="14"/>
                <w:szCs w:val="14"/>
                <w:color w:val="auto"/>
              </w:rPr>
            </w:pPr>
          </w:p>
        </w:tc>
        <w:tc>
          <w:tcPr>
            <w:tcW w:w="1840" w:type="dxa"/>
            <w:vAlign w:val="bottom"/>
            <w:shd w:val="clear" w:color="auto" w:fill="D91E18"/>
          </w:tcPr>
          <w:p>
            <w:pPr>
              <w:jc w:val="center"/>
              <w:ind w:left="199"/>
              <w:spacing w:after="0" w:line="162" w:lineRule="exact"/>
              <w:rPr>
                <w:sz w:val="20"/>
                <w:szCs w:val="20"/>
                <w:color w:val="auto"/>
              </w:rPr>
            </w:pPr>
            <w:r>
              <w:rPr>
                <w:rFonts w:ascii="Arial" w:cs="Arial" w:eastAsia="Arial" w:hAnsi="Arial"/>
                <w:sz w:val="16"/>
                <w:szCs w:val="16"/>
                <w:b w:val="1"/>
                <w:bCs w:val="1"/>
                <w:color w:val="FFFFFF"/>
              </w:rPr>
              <w:t>Awards: Number of</w:t>
            </w:r>
          </w:p>
        </w:tc>
        <w:tc>
          <w:tcPr>
            <w:tcW w:w="300" w:type="dxa"/>
            <w:vAlign w:val="bottom"/>
            <w:tcBorders>
              <w:right w:val="single" w:sz="8" w:color="E5E5E5"/>
            </w:tcBorders>
            <w:shd w:val="clear" w:color="auto" w:fill="D91E18"/>
          </w:tcPr>
          <w:p>
            <w:pPr>
              <w:spacing w:after="0"/>
              <w:rPr>
                <w:sz w:val="14"/>
                <w:szCs w:val="14"/>
                <w:color w:val="auto"/>
              </w:rPr>
            </w:pPr>
          </w:p>
        </w:tc>
        <w:tc>
          <w:tcPr>
            <w:tcW w:w="140" w:type="dxa"/>
            <w:vAlign w:val="bottom"/>
            <w:shd w:val="clear" w:color="auto" w:fill="D91E18"/>
          </w:tcPr>
          <w:p>
            <w:pPr>
              <w:spacing w:after="0"/>
              <w:rPr>
                <w:sz w:val="14"/>
                <w:szCs w:val="14"/>
                <w:color w:val="auto"/>
              </w:rPr>
            </w:pPr>
          </w:p>
        </w:tc>
        <w:tc>
          <w:tcPr>
            <w:tcW w:w="2540" w:type="dxa"/>
            <w:vAlign w:val="bottom"/>
            <w:tcBorders>
              <w:right w:val="single" w:sz="8" w:color="E5E5E5"/>
            </w:tcBorders>
            <w:vMerge w:val="continue"/>
            <w:shd w:val="clear" w:color="auto" w:fill="D91E18"/>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60" w:type="dxa"/>
            <w:vAlign w:val="bottom"/>
            <w:tcBorders>
              <w:left w:val="single" w:sz="8" w:color="E5E5E5"/>
              <w:right w:val="single" w:sz="8" w:color="E5E5E5"/>
            </w:tcBorders>
            <w:shd w:val="clear" w:color="auto" w:fill="D91E18"/>
          </w:tcPr>
          <w:p>
            <w:pPr>
              <w:spacing w:after="0"/>
              <w:rPr>
                <w:sz w:val="14"/>
                <w:szCs w:val="14"/>
                <w:color w:val="auto"/>
              </w:rPr>
            </w:pPr>
          </w:p>
        </w:tc>
        <w:tc>
          <w:tcPr>
            <w:tcW w:w="1080" w:type="dxa"/>
            <w:vAlign w:val="bottom"/>
            <w:tcBorders>
              <w:right w:val="single" w:sz="8" w:color="E5E5E5"/>
            </w:tcBorders>
            <w:shd w:val="clear" w:color="auto" w:fill="D91E18"/>
          </w:tcPr>
          <w:p>
            <w:pPr>
              <w:spacing w:after="0"/>
              <w:rPr>
                <w:sz w:val="14"/>
                <w:szCs w:val="14"/>
                <w:color w:val="auto"/>
              </w:rPr>
            </w:pPr>
          </w:p>
        </w:tc>
        <w:tc>
          <w:tcPr>
            <w:tcW w:w="1580" w:type="dxa"/>
            <w:vAlign w:val="bottom"/>
            <w:tcBorders>
              <w:right w:val="single" w:sz="8" w:color="E5E5E5"/>
            </w:tcBorders>
            <w:gridSpan w:val="2"/>
            <w:shd w:val="clear" w:color="auto" w:fill="D91E18"/>
          </w:tcPr>
          <w:p>
            <w:pPr>
              <w:jc w:val="right"/>
              <w:ind w:right="87"/>
              <w:spacing w:after="0" w:line="162" w:lineRule="exact"/>
              <w:rPr>
                <w:sz w:val="20"/>
                <w:szCs w:val="20"/>
                <w:color w:val="auto"/>
              </w:rPr>
            </w:pPr>
            <w:r>
              <w:rPr>
                <w:rFonts w:ascii="Arial" w:cs="Arial" w:eastAsia="Arial" w:hAnsi="Arial"/>
                <w:sz w:val="16"/>
                <w:szCs w:val="16"/>
                <w:b w:val="1"/>
                <w:bCs w:val="1"/>
                <w:color w:val="FFFFFF"/>
              </w:rPr>
              <w:t>or Units of Stock</w:t>
            </w:r>
          </w:p>
        </w:tc>
        <w:tc>
          <w:tcPr>
            <w:tcW w:w="140" w:type="dxa"/>
            <w:vAlign w:val="bottom"/>
            <w:shd w:val="clear" w:color="auto" w:fill="D91E18"/>
          </w:tcPr>
          <w:p>
            <w:pPr>
              <w:spacing w:after="0"/>
              <w:rPr>
                <w:sz w:val="14"/>
                <w:szCs w:val="14"/>
                <w:color w:val="auto"/>
              </w:rPr>
            </w:pPr>
          </w:p>
        </w:tc>
        <w:tc>
          <w:tcPr>
            <w:tcW w:w="1580" w:type="dxa"/>
            <w:vAlign w:val="bottom"/>
            <w:tcBorders>
              <w:right w:val="single" w:sz="8" w:color="E5E5E5"/>
            </w:tcBorders>
            <w:shd w:val="clear" w:color="auto" w:fill="D91E18"/>
          </w:tcPr>
          <w:p>
            <w:pPr>
              <w:jc w:val="center"/>
              <w:ind w:right="79"/>
              <w:spacing w:after="0" w:line="162" w:lineRule="exact"/>
              <w:rPr>
                <w:sz w:val="20"/>
                <w:szCs w:val="20"/>
                <w:color w:val="auto"/>
              </w:rPr>
            </w:pPr>
            <w:r>
              <w:rPr>
                <w:rFonts w:ascii="Arial" w:cs="Arial" w:eastAsia="Arial" w:hAnsi="Arial"/>
                <w:sz w:val="16"/>
                <w:szCs w:val="16"/>
                <w:b w:val="1"/>
                <w:bCs w:val="1"/>
                <w:color w:val="FFFFFF"/>
              </w:rPr>
              <w:t>Shares or Units of</w:t>
            </w:r>
          </w:p>
        </w:tc>
        <w:tc>
          <w:tcPr>
            <w:tcW w:w="2140" w:type="dxa"/>
            <w:vAlign w:val="bottom"/>
            <w:tcBorders>
              <w:right w:val="single" w:sz="8" w:color="E5E5E5"/>
            </w:tcBorders>
            <w:gridSpan w:val="2"/>
            <w:shd w:val="clear" w:color="auto" w:fill="D91E18"/>
          </w:tcPr>
          <w:p>
            <w:pPr>
              <w:jc w:val="center"/>
              <w:spacing w:after="0" w:line="162" w:lineRule="exact"/>
              <w:rPr>
                <w:sz w:val="20"/>
                <w:szCs w:val="20"/>
                <w:color w:val="auto"/>
              </w:rPr>
            </w:pPr>
            <w:r>
              <w:rPr>
                <w:rFonts w:ascii="Arial" w:cs="Arial" w:eastAsia="Arial" w:hAnsi="Arial"/>
                <w:sz w:val="16"/>
                <w:szCs w:val="16"/>
                <w:b w:val="1"/>
                <w:bCs w:val="1"/>
                <w:color w:val="FFFFFF"/>
              </w:rPr>
              <w:t>Unearned Shares, Units or</w:t>
            </w:r>
          </w:p>
        </w:tc>
        <w:tc>
          <w:tcPr>
            <w:tcW w:w="140" w:type="dxa"/>
            <w:vAlign w:val="bottom"/>
            <w:shd w:val="clear" w:color="auto" w:fill="D91E18"/>
          </w:tcPr>
          <w:p>
            <w:pPr>
              <w:spacing w:after="0"/>
              <w:rPr>
                <w:sz w:val="14"/>
                <w:szCs w:val="14"/>
                <w:color w:val="auto"/>
              </w:rPr>
            </w:pPr>
          </w:p>
        </w:tc>
        <w:tc>
          <w:tcPr>
            <w:tcW w:w="2540" w:type="dxa"/>
            <w:vAlign w:val="bottom"/>
            <w:tcBorders>
              <w:right w:val="single" w:sz="8" w:color="E5E5E5"/>
            </w:tcBorders>
            <w:shd w:val="clear" w:color="auto" w:fill="D91E18"/>
          </w:tcPr>
          <w:p>
            <w:pPr>
              <w:jc w:val="center"/>
              <w:ind w:right="79"/>
              <w:spacing w:after="0" w:line="162" w:lineRule="exact"/>
              <w:rPr>
                <w:sz w:val="20"/>
                <w:szCs w:val="20"/>
                <w:color w:val="auto"/>
              </w:rPr>
            </w:pPr>
            <w:r>
              <w:rPr>
                <w:rFonts w:ascii="Arial" w:cs="Arial" w:eastAsia="Arial" w:hAnsi="Arial"/>
                <w:sz w:val="16"/>
                <w:szCs w:val="16"/>
                <w:b w:val="1"/>
                <w:bCs w:val="1"/>
                <w:color w:val="FFFFFF"/>
              </w:rPr>
              <w:t>Market or Payout Value of</w:t>
            </w:r>
          </w:p>
        </w:tc>
        <w:tc>
          <w:tcPr>
            <w:tcW w:w="0" w:type="dxa"/>
            <w:vAlign w:val="bottom"/>
          </w:tcPr>
          <w:p>
            <w:pPr>
              <w:spacing w:after="0"/>
              <w:rPr>
                <w:sz w:val="1"/>
                <w:szCs w:val="1"/>
                <w:color w:val="auto"/>
              </w:rPr>
            </w:pPr>
          </w:p>
        </w:tc>
      </w:tr>
      <w:tr>
        <w:trPr>
          <w:trHeight w:val="162"/>
        </w:trPr>
        <w:tc>
          <w:tcPr>
            <w:tcW w:w="2060" w:type="dxa"/>
            <w:vAlign w:val="bottom"/>
            <w:tcBorders>
              <w:left w:val="single" w:sz="8" w:color="E5E5E5"/>
              <w:right w:val="single" w:sz="8" w:color="E5E5E5"/>
            </w:tcBorders>
            <w:vMerge w:val="restart"/>
            <w:shd w:val="clear" w:color="auto" w:fill="D91E18"/>
          </w:tcPr>
          <w:p>
            <w:pPr>
              <w:ind w:left="820"/>
              <w:spacing w:after="0"/>
              <w:rPr>
                <w:sz w:val="20"/>
                <w:szCs w:val="20"/>
                <w:color w:val="auto"/>
              </w:rPr>
            </w:pPr>
            <w:r>
              <w:rPr>
                <w:rFonts w:ascii="Arial" w:cs="Arial" w:eastAsia="Arial" w:hAnsi="Arial"/>
                <w:sz w:val="16"/>
                <w:szCs w:val="16"/>
                <w:b w:val="1"/>
                <w:bCs w:val="1"/>
                <w:color w:val="FFFFFF"/>
              </w:rPr>
              <w:t>Name</w:t>
            </w:r>
          </w:p>
        </w:tc>
        <w:tc>
          <w:tcPr>
            <w:tcW w:w="1080" w:type="dxa"/>
            <w:vAlign w:val="bottom"/>
            <w:tcBorders>
              <w:right w:val="single" w:sz="8" w:color="E5E5E5"/>
            </w:tcBorders>
            <w:vMerge w:val="restart"/>
            <w:shd w:val="clear" w:color="auto" w:fill="D91E18"/>
          </w:tcPr>
          <w:p>
            <w:pPr>
              <w:jc w:val="right"/>
              <w:ind w:right="59"/>
              <w:spacing w:after="0"/>
              <w:rPr>
                <w:sz w:val="20"/>
                <w:szCs w:val="20"/>
                <w:color w:val="auto"/>
              </w:rPr>
            </w:pPr>
            <w:r>
              <w:rPr>
                <w:rFonts w:ascii="Arial" w:cs="Arial" w:eastAsia="Arial" w:hAnsi="Arial"/>
                <w:sz w:val="16"/>
                <w:szCs w:val="16"/>
                <w:b w:val="1"/>
                <w:bCs w:val="1"/>
                <w:color w:val="FFFFFF"/>
              </w:rPr>
              <w:t>Grant Date</w:t>
            </w:r>
          </w:p>
        </w:tc>
        <w:tc>
          <w:tcPr>
            <w:tcW w:w="1580" w:type="dxa"/>
            <w:vAlign w:val="bottom"/>
            <w:tcBorders>
              <w:right w:val="single" w:sz="8" w:color="E5E5E5"/>
            </w:tcBorders>
            <w:gridSpan w:val="2"/>
            <w:shd w:val="clear" w:color="auto" w:fill="D91E18"/>
          </w:tcPr>
          <w:p>
            <w:pPr>
              <w:jc w:val="center"/>
              <w:spacing w:after="0" w:line="162" w:lineRule="exact"/>
              <w:rPr>
                <w:sz w:val="20"/>
                <w:szCs w:val="20"/>
                <w:color w:val="auto"/>
              </w:rPr>
            </w:pPr>
            <w:r>
              <w:rPr>
                <w:rFonts w:ascii="Arial" w:cs="Arial" w:eastAsia="Arial" w:hAnsi="Arial"/>
                <w:sz w:val="16"/>
                <w:szCs w:val="16"/>
                <w:b w:val="1"/>
                <w:bCs w:val="1"/>
                <w:color w:val="FFFFFF"/>
              </w:rPr>
              <w:t>That Have Not</w:t>
            </w:r>
          </w:p>
        </w:tc>
        <w:tc>
          <w:tcPr>
            <w:tcW w:w="1720" w:type="dxa"/>
            <w:vAlign w:val="bottom"/>
            <w:tcBorders>
              <w:right w:val="single" w:sz="8" w:color="E5E5E5"/>
            </w:tcBorders>
            <w:gridSpan w:val="2"/>
            <w:shd w:val="clear" w:color="auto" w:fill="D91E18"/>
          </w:tcPr>
          <w:p>
            <w:pPr>
              <w:jc w:val="center"/>
              <w:spacing w:after="0" w:line="162" w:lineRule="exact"/>
              <w:rPr>
                <w:sz w:val="20"/>
                <w:szCs w:val="20"/>
                <w:color w:val="auto"/>
              </w:rPr>
            </w:pPr>
            <w:r>
              <w:rPr>
                <w:rFonts w:ascii="Arial" w:cs="Arial" w:eastAsia="Arial" w:hAnsi="Arial"/>
                <w:sz w:val="16"/>
                <w:szCs w:val="16"/>
                <w:b w:val="1"/>
                <w:bCs w:val="1"/>
                <w:color w:val="FFFFFF"/>
              </w:rPr>
              <w:t>Stock That Have Not</w:t>
            </w:r>
          </w:p>
        </w:tc>
        <w:tc>
          <w:tcPr>
            <w:tcW w:w="2140" w:type="dxa"/>
            <w:vAlign w:val="bottom"/>
            <w:tcBorders>
              <w:right w:val="single" w:sz="8" w:color="E5E5E5"/>
            </w:tcBorders>
            <w:gridSpan w:val="2"/>
            <w:shd w:val="clear" w:color="auto" w:fill="D91E18"/>
          </w:tcPr>
          <w:p>
            <w:pPr>
              <w:jc w:val="center"/>
              <w:spacing w:after="0" w:line="162" w:lineRule="exact"/>
              <w:rPr>
                <w:sz w:val="20"/>
                <w:szCs w:val="20"/>
                <w:color w:val="auto"/>
              </w:rPr>
            </w:pPr>
            <w:r>
              <w:rPr>
                <w:rFonts w:ascii="Arial" w:cs="Arial" w:eastAsia="Arial" w:hAnsi="Arial"/>
                <w:sz w:val="16"/>
                <w:szCs w:val="16"/>
                <w:b w:val="1"/>
                <w:bCs w:val="1"/>
                <w:color w:val="FFFFFF"/>
              </w:rPr>
              <w:t>Other Rights That Have</w:t>
            </w:r>
          </w:p>
        </w:tc>
        <w:tc>
          <w:tcPr>
            <w:tcW w:w="2680" w:type="dxa"/>
            <w:vAlign w:val="bottom"/>
            <w:tcBorders>
              <w:right w:val="single" w:sz="8" w:color="E5E5E5"/>
            </w:tcBorders>
            <w:gridSpan w:val="2"/>
            <w:shd w:val="clear" w:color="auto" w:fill="D91E18"/>
          </w:tcPr>
          <w:p>
            <w:pPr>
              <w:jc w:val="center"/>
              <w:spacing w:after="0" w:line="162" w:lineRule="exact"/>
              <w:rPr>
                <w:sz w:val="20"/>
                <w:szCs w:val="20"/>
                <w:color w:val="auto"/>
              </w:rPr>
            </w:pPr>
            <w:r>
              <w:rPr>
                <w:rFonts w:ascii="Arial" w:cs="Arial" w:eastAsia="Arial" w:hAnsi="Arial"/>
                <w:sz w:val="16"/>
                <w:szCs w:val="16"/>
                <w:b w:val="1"/>
                <w:bCs w:val="1"/>
                <w:color w:val="FFFFFF"/>
              </w:rPr>
              <w:t>Unearned Shares, Units or Other</w:t>
            </w:r>
          </w:p>
        </w:tc>
        <w:tc>
          <w:tcPr>
            <w:tcW w:w="0" w:type="dxa"/>
            <w:vAlign w:val="bottom"/>
          </w:tcPr>
          <w:p>
            <w:pPr>
              <w:spacing w:after="0"/>
              <w:rPr>
                <w:sz w:val="1"/>
                <w:szCs w:val="1"/>
                <w:color w:val="auto"/>
              </w:rPr>
            </w:pPr>
          </w:p>
        </w:tc>
      </w:tr>
      <w:tr>
        <w:trPr>
          <w:trHeight w:val="223"/>
        </w:trPr>
        <w:tc>
          <w:tcPr>
            <w:tcW w:w="2060" w:type="dxa"/>
            <w:vAlign w:val="bottom"/>
            <w:tcBorders>
              <w:left w:val="single" w:sz="8" w:color="E5E5E5"/>
              <w:right w:val="single" w:sz="8" w:color="E5E5E5"/>
            </w:tcBorders>
            <w:vMerge w:val="continue"/>
            <w:shd w:val="clear" w:color="auto" w:fill="D91E18"/>
          </w:tcPr>
          <w:p>
            <w:pPr>
              <w:spacing w:after="0"/>
              <w:rPr>
                <w:sz w:val="19"/>
                <w:szCs w:val="19"/>
                <w:color w:val="auto"/>
              </w:rPr>
            </w:pPr>
          </w:p>
        </w:tc>
        <w:tc>
          <w:tcPr>
            <w:tcW w:w="1080" w:type="dxa"/>
            <w:vAlign w:val="bottom"/>
            <w:tcBorders>
              <w:right w:val="single" w:sz="8" w:color="E5E5E5"/>
            </w:tcBorders>
            <w:vMerge w:val="continue"/>
            <w:shd w:val="clear" w:color="auto" w:fill="D91E18"/>
          </w:tcPr>
          <w:p>
            <w:pPr>
              <w:spacing w:after="0"/>
              <w:rPr>
                <w:sz w:val="19"/>
                <w:szCs w:val="19"/>
                <w:color w:val="auto"/>
              </w:rPr>
            </w:pPr>
          </w:p>
        </w:tc>
        <w:tc>
          <w:tcPr>
            <w:tcW w:w="1260" w:type="dxa"/>
            <w:vAlign w:val="bottom"/>
            <w:shd w:val="clear" w:color="auto" w:fill="D91E18"/>
          </w:tcPr>
          <w:p>
            <w:pPr>
              <w:jc w:val="center"/>
              <w:ind w:left="219"/>
              <w:spacing w:after="0"/>
              <w:rPr>
                <w:sz w:val="20"/>
                <w:szCs w:val="20"/>
                <w:color w:val="auto"/>
              </w:rPr>
            </w:pPr>
            <w:r>
              <w:rPr>
                <w:rFonts w:ascii="Arial" w:cs="Arial" w:eastAsia="Arial" w:hAnsi="Arial"/>
                <w:sz w:val="16"/>
                <w:szCs w:val="16"/>
                <w:b w:val="1"/>
                <w:bCs w:val="1"/>
                <w:color w:val="FFFFFF"/>
                <w:w w:val="99"/>
              </w:rPr>
              <w:t>Vested</w:t>
            </w:r>
          </w:p>
        </w:tc>
        <w:tc>
          <w:tcPr>
            <w:tcW w:w="320" w:type="dxa"/>
            <w:vAlign w:val="bottom"/>
            <w:tcBorders>
              <w:right w:val="single" w:sz="8" w:color="E5E5E5"/>
            </w:tcBorders>
            <w:shd w:val="clear" w:color="auto" w:fill="D91E18"/>
          </w:tcPr>
          <w:p>
            <w:pPr>
              <w:spacing w:after="0"/>
              <w:rPr>
                <w:sz w:val="19"/>
                <w:szCs w:val="19"/>
                <w:color w:val="auto"/>
              </w:rPr>
            </w:pPr>
          </w:p>
        </w:tc>
        <w:tc>
          <w:tcPr>
            <w:tcW w:w="140" w:type="dxa"/>
            <w:vAlign w:val="bottom"/>
            <w:shd w:val="clear" w:color="auto" w:fill="D91E18"/>
          </w:tcPr>
          <w:p>
            <w:pPr>
              <w:spacing w:after="0"/>
              <w:rPr>
                <w:sz w:val="19"/>
                <w:szCs w:val="19"/>
                <w:color w:val="auto"/>
              </w:rPr>
            </w:pPr>
          </w:p>
        </w:tc>
        <w:tc>
          <w:tcPr>
            <w:tcW w:w="1580" w:type="dxa"/>
            <w:vAlign w:val="bottom"/>
            <w:tcBorders>
              <w:right w:val="single" w:sz="8" w:color="E5E5E5"/>
            </w:tcBorders>
            <w:shd w:val="clear" w:color="auto" w:fill="D91E18"/>
          </w:tcPr>
          <w:p>
            <w:pPr>
              <w:jc w:val="center"/>
              <w:ind w:right="79"/>
              <w:spacing w:after="0" w:line="216" w:lineRule="exact"/>
              <w:rPr>
                <w:sz w:val="20"/>
                <w:szCs w:val="20"/>
                <w:color w:val="auto"/>
              </w:rPr>
            </w:pPr>
            <w:r>
              <w:rPr>
                <w:rFonts w:ascii="Arial" w:cs="Arial" w:eastAsia="Arial" w:hAnsi="Arial"/>
                <w:sz w:val="16"/>
                <w:szCs w:val="16"/>
                <w:b w:val="1"/>
                <w:bCs w:val="1"/>
                <w:color w:val="FFFFFF"/>
                <w:w w:val="94"/>
              </w:rPr>
              <w:t>Vested</w:t>
            </w:r>
            <w:r>
              <w:rPr>
                <w:rFonts w:ascii="Arial" w:cs="Arial" w:eastAsia="Arial" w:hAnsi="Arial"/>
                <w:sz w:val="21"/>
                <w:szCs w:val="21"/>
                <w:b w:val="1"/>
                <w:bCs w:val="1"/>
                <w:color w:val="FFFFFF"/>
                <w:w w:val="94"/>
                <w:vertAlign w:val="superscript"/>
              </w:rPr>
              <w:t>(2)</w:t>
            </w:r>
          </w:p>
        </w:tc>
        <w:tc>
          <w:tcPr>
            <w:tcW w:w="1840" w:type="dxa"/>
            <w:vAlign w:val="bottom"/>
            <w:shd w:val="clear" w:color="auto" w:fill="D91E18"/>
          </w:tcPr>
          <w:p>
            <w:pPr>
              <w:jc w:val="center"/>
              <w:ind w:left="199"/>
              <w:spacing w:after="0"/>
              <w:rPr>
                <w:sz w:val="20"/>
                <w:szCs w:val="20"/>
                <w:color w:val="auto"/>
              </w:rPr>
            </w:pPr>
            <w:r>
              <w:rPr>
                <w:rFonts w:ascii="Arial" w:cs="Arial" w:eastAsia="Arial" w:hAnsi="Arial"/>
                <w:sz w:val="16"/>
                <w:szCs w:val="16"/>
                <w:b w:val="1"/>
                <w:bCs w:val="1"/>
                <w:color w:val="FFFFFF"/>
              </w:rPr>
              <w:t>Not Vested</w:t>
            </w:r>
          </w:p>
        </w:tc>
        <w:tc>
          <w:tcPr>
            <w:tcW w:w="300" w:type="dxa"/>
            <w:vAlign w:val="bottom"/>
            <w:tcBorders>
              <w:right w:val="single" w:sz="8" w:color="E5E5E5"/>
            </w:tcBorders>
            <w:shd w:val="clear" w:color="auto" w:fill="D91E18"/>
          </w:tcPr>
          <w:p>
            <w:pPr>
              <w:spacing w:after="0"/>
              <w:rPr>
                <w:sz w:val="19"/>
                <w:szCs w:val="19"/>
                <w:color w:val="auto"/>
              </w:rPr>
            </w:pPr>
          </w:p>
        </w:tc>
        <w:tc>
          <w:tcPr>
            <w:tcW w:w="140" w:type="dxa"/>
            <w:vAlign w:val="bottom"/>
            <w:shd w:val="clear" w:color="auto" w:fill="D91E18"/>
          </w:tcPr>
          <w:p>
            <w:pPr>
              <w:spacing w:after="0"/>
              <w:rPr>
                <w:sz w:val="19"/>
                <w:szCs w:val="19"/>
                <w:color w:val="auto"/>
              </w:rPr>
            </w:pPr>
          </w:p>
        </w:tc>
        <w:tc>
          <w:tcPr>
            <w:tcW w:w="2540" w:type="dxa"/>
            <w:vAlign w:val="bottom"/>
            <w:tcBorders>
              <w:right w:val="single" w:sz="8" w:color="E5E5E5"/>
            </w:tcBorders>
            <w:shd w:val="clear" w:color="auto" w:fill="D91E18"/>
          </w:tcPr>
          <w:p>
            <w:pPr>
              <w:jc w:val="center"/>
              <w:ind w:right="79"/>
              <w:spacing w:after="0" w:line="216" w:lineRule="exact"/>
              <w:rPr>
                <w:sz w:val="20"/>
                <w:szCs w:val="20"/>
                <w:color w:val="auto"/>
              </w:rPr>
            </w:pPr>
            <w:r>
              <w:rPr>
                <w:rFonts w:ascii="Arial" w:cs="Arial" w:eastAsia="Arial" w:hAnsi="Arial"/>
                <w:sz w:val="16"/>
                <w:szCs w:val="16"/>
                <w:b w:val="1"/>
                <w:bCs w:val="1"/>
                <w:color w:val="FFFFFF"/>
                <w:w w:val="99"/>
              </w:rPr>
              <w:t>Rights That Have Not Vested</w:t>
            </w:r>
            <w:r>
              <w:rPr>
                <w:rFonts w:ascii="Arial" w:cs="Arial" w:eastAsia="Arial" w:hAnsi="Arial"/>
                <w:sz w:val="21"/>
                <w:szCs w:val="21"/>
                <w:b w:val="1"/>
                <w:bCs w:val="1"/>
                <w:color w:val="FFFFFF"/>
                <w:w w:val="99"/>
                <w:vertAlign w:val="superscript"/>
              </w:rPr>
              <w:t>(3)</w:t>
            </w:r>
          </w:p>
        </w:tc>
        <w:tc>
          <w:tcPr>
            <w:tcW w:w="0" w:type="dxa"/>
            <w:vAlign w:val="bottom"/>
          </w:tcPr>
          <w:p>
            <w:pPr>
              <w:spacing w:after="0"/>
              <w:rPr>
                <w:sz w:val="1"/>
                <w:szCs w:val="1"/>
                <w:color w:val="auto"/>
              </w:rPr>
            </w:pPr>
          </w:p>
        </w:tc>
      </w:tr>
      <w:tr>
        <w:trPr>
          <w:trHeight w:val="256"/>
        </w:trPr>
        <w:tc>
          <w:tcPr>
            <w:tcW w:w="2060" w:type="dxa"/>
            <w:vAlign w:val="bottom"/>
            <w:tcBorders>
              <w:left w:val="single" w:sz="8" w:color="E5E5E5"/>
              <w:right w:val="single" w:sz="8" w:color="E5E5E5"/>
            </w:tcBorders>
            <w:shd w:val="clear" w:color="auto" w:fill="DBDBDB"/>
          </w:tcPr>
          <w:p>
            <w:pPr>
              <w:ind w:left="40"/>
              <w:spacing w:after="0"/>
              <w:rPr>
                <w:sz w:val="20"/>
                <w:szCs w:val="20"/>
                <w:color w:val="auto"/>
              </w:rPr>
            </w:pPr>
            <w:r>
              <w:rPr>
                <w:rFonts w:ascii="Arial" w:cs="Arial" w:eastAsia="Arial" w:hAnsi="Arial"/>
                <w:sz w:val="16"/>
                <w:szCs w:val="16"/>
                <w:color w:val="auto"/>
              </w:rPr>
              <w:t>David W. Hult</w:t>
            </w:r>
          </w:p>
        </w:tc>
        <w:tc>
          <w:tcPr>
            <w:tcW w:w="1080" w:type="dxa"/>
            <w:vAlign w:val="bottom"/>
            <w:tcBorders>
              <w:right w:val="single" w:sz="8" w:color="E5E5E5"/>
            </w:tcBorders>
            <w:shd w:val="clear" w:color="auto" w:fill="DBDBDB"/>
          </w:tcPr>
          <w:p>
            <w:pPr>
              <w:jc w:val="right"/>
              <w:spacing w:after="0"/>
              <w:rPr>
                <w:sz w:val="20"/>
                <w:szCs w:val="20"/>
                <w:color w:val="auto"/>
              </w:rPr>
            </w:pPr>
            <w:r>
              <w:rPr>
                <w:rFonts w:ascii="Arial" w:cs="Arial" w:eastAsia="Arial" w:hAnsi="Arial"/>
                <w:sz w:val="16"/>
                <w:szCs w:val="16"/>
                <w:color w:val="auto"/>
              </w:rPr>
              <w:t>2/16/22</w:t>
            </w: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8,797</w:t>
            </w:r>
          </w:p>
        </w:tc>
        <w:tc>
          <w:tcPr>
            <w:tcW w:w="320" w:type="dxa"/>
            <w:vAlign w:val="bottom"/>
            <w:tcBorders>
              <w:right w:val="single" w:sz="8" w:color="E5E5E5"/>
            </w:tcBorders>
            <w:shd w:val="clear" w:color="auto" w:fill="DBDBDB"/>
          </w:tcPr>
          <w:p>
            <w:pPr>
              <w:jc w:val="right"/>
              <w:ind w:right="107"/>
              <w:spacing w:after="0"/>
              <w:rPr>
                <w:sz w:val="20"/>
                <w:szCs w:val="20"/>
                <w:color w:val="auto"/>
              </w:rPr>
            </w:pPr>
            <w:r>
              <w:rPr>
                <w:rFonts w:ascii="Arial" w:cs="Arial" w:eastAsia="Arial" w:hAnsi="Arial"/>
                <w:sz w:val="11"/>
                <w:szCs w:val="11"/>
                <w:color w:val="auto"/>
              </w:rPr>
              <w:t>(4)</w:t>
            </w: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right w:val="single" w:sz="8" w:color="E5E5E5"/>
            </w:tcBorders>
            <w:shd w:val="clear" w:color="auto" w:fill="DBDBDB"/>
          </w:tcPr>
          <w:p>
            <w:pPr>
              <w:jc w:val="right"/>
              <w:ind w:right="119"/>
              <w:spacing w:after="0"/>
              <w:rPr>
                <w:sz w:val="20"/>
                <w:szCs w:val="20"/>
                <w:color w:val="auto"/>
              </w:rPr>
            </w:pPr>
            <w:r>
              <w:rPr>
                <w:rFonts w:ascii="Arial" w:cs="Arial" w:eastAsia="Arial" w:hAnsi="Arial"/>
                <w:sz w:val="16"/>
                <w:szCs w:val="16"/>
                <w:color w:val="auto"/>
              </w:rPr>
              <w:t>2,137,935</w:t>
            </w:r>
          </w:p>
        </w:tc>
        <w:tc>
          <w:tcPr>
            <w:tcW w:w="1840" w:type="dxa"/>
            <w:vAlign w:val="bottom"/>
            <w:shd w:val="clear" w:color="auto" w:fill="DBDBDB"/>
          </w:tcPr>
          <w:p>
            <w:pPr>
              <w:spacing w:after="0"/>
              <w:rPr>
                <w:sz w:val="22"/>
                <w:szCs w:val="22"/>
                <w:color w:val="auto"/>
              </w:rPr>
            </w:pPr>
          </w:p>
        </w:tc>
        <w:tc>
          <w:tcPr>
            <w:tcW w:w="300" w:type="dxa"/>
            <w:vAlign w:val="bottom"/>
            <w:tcBorders>
              <w:right w:val="single" w:sz="8" w:color="E5E5E5"/>
            </w:tcBorders>
            <w:shd w:val="clear" w:color="auto" w:fill="DBDBDB"/>
          </w:tcPr>
          <w:p>
            <w:pPr>
              <w:spacing w:after="0"/>
              <w:rPr>
                <w:sz w:val="22"/>
                <w:szCs w:val="22"/>
                <w:color w:val="auto"/>
              </w:rPr>
            </w:pPr>
          </w:p>
        </w:tc>
        <w:tc>
          <w:tcPr>
            <w:tcW w:w="140" w:type="dxa"/>
            <w:vAlign w:val="bottom"/>
            <w:shd w:val="clear" w:color="auto" w:fill="DBDBDB"/>
          </w:tcPr>
          <w:p>
            <w:pPr>
              <w:spacing w:after="0"/>
              <w:rPr>
                <w:sz w:val="22"/>
                <w:szCs w:val="22"/>
                <w:color w:val="auto"/>
              </w:rPr>
            </w:pPr>
          </w:p>
        </w:tc>
        <w:tc>
          <w:tcPr>
            <w:tcW w:w="2540" w:type="dxa"/>
            <w:vAlign w:val="bottom"/>
            <w:tcBorders>
              <w:right w:val="single" w:sz="8" w:color="E5E5E5"/>
            </w:tcBorders>
            <w:shd w:val="clear" w:color="auto" w:fill="DBDBDB"/>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060" w:type="dxa"/>
            <w:vAlign w:val="bottom"/>
            <w:tcBorders>
              <w:left w:val="single" w:sz="8" w:color="E5E5E5"/>
              <w:right w:val="single" w:sz="8" w:color="E5E5E5"/>
            </w:tcBorders>
            <w:shd w:val="clear" w:color="auto" w:fill="DBDBDB"/>
          </w:tcPr>
          <w:p>
            <w:pPr>
              <w:spacing w:after="0"/>
              <w:rPr>
                <w:sz w:val="22"/>
                <w:szCs w:val="22"/>
                <w:color w:val="auto"/>
              </w:rPr>
            </w:pPr>
          </w:p>
        </w:tc>
        <w:tc>
          <w:tcPr>
            <w:tcW w:w="1080" w:type="dxa"/>
            <w:vAlign w:val="bottom"/>
            <w:tcBorders>
              <w:right w:val="single" w:sz="8" w:color="E5E5E5"/>
            </w:tcBorders>
            <w:shd w:val="clear" w:color="auto" w:fill="DBDBDB"/>
          </w:tcPr>
          <w:p>
            <w:pPr>
              <w:jc w:val="right"/>
              <w:spacing w:after="0"/>
              <w:rPr>
                <w:sz w:val="20"/>
                <w:szCs w:val="20"/>
                <w:color w:val="auto"/>
              </w:rPr>
            </w:pPr>
            <w:r>
              <w:rPr>
                <w:rFonts w:ascii="Arial" w:cs="Arial" w:eastAsia="Arial" w:hAnsi="Arial"/>
                <w:sz w:val="16"/>
                <w:szCs w:val="16"/>
                <w:color w:val="auto"/>
              </w:rPr>
              <w:t>2/14/23</w:t>
            </w: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13,924</w:t>
            </w:r>
          </w:p>
        </w:tc>
        <w:tc>
          <w:tcPr>
            <w:tcW w:w="320" w:type="dxa"/>
            <w:vAlign w:val="bottom"/>
            <w:tcBorders>
              <w:right w:val="single" w:sz="8" w:color="E5E5E5"/>
            </w:tcBorders>
            <w:shd w:val="clear" w:color="auto" w:fill="DBDBDB"/>
          </w:tcPr>
          <w:p>
            <w:pPr>
              <w:jc w:val="right"/>
              <w:ind w:right="107"/>
              <w:spacing w:after="0"/>
              <w:rPr>
                <w:sz w:val="20"/>
                <w:szCs w:val="20"/>
                <w:color w:val="auto"/>
              </w:rPr>
            </w:pPr>
            <w:r>
              <w:rPr>
                <w:rFonts w:ascii="Arial" w:cs="Arial" w:eastAsia="Arial" w:hAnsi="Arial"/>
                <w:sz w:val="11"/>
                <w:szCs w:val="11"/>
                <w:color w:val="auto"/>
              </w:rPr>
              <w:t>(5)</w:t>
            </w: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right w:val="single" w:sz="8" w:color="E5E5E5"/>
            </w:tcBorders>
            <w:shd w:val="clear" w:color="auto" w:fill="DBDBDB"/>
          </w:tcPr>
          <w:p>
            <w:pPr>
              <w:jc w:val="right"/>
              <w:ind w:right="119"/>
              <w:spacing w:after="0"/>
              <w:rPr>
                <w:sz w:val="20"/>
                <w:szCs w:val="20"/>
                <w:color w:val="auto"/>
              </w:rPr>
            </w:pPr>
            <w:r>
              <w:rPr>
                <w:rFonts w:ascii="Arial" w:cs="Arial" w:eastAsia="Arial" w:hAnsi="Arial"/>
                <w:sz w:val="16"/>
                <w:szCs w:val="16"/>
                <w:color w:val="auto"/>
              </w:rPr>
              <w:t>3,383,950</w:t>
            </w:r>
          </w:p>
        </w:tc>
        <w:tc>
          <w:tcPr>
            <w:tcW w:w="1840" w:type="dxa"/>
            <w:vAlign w:val="bottom"/>
            <w:shd w:val="clear" w:color="auto" w:fill="DBDBDB"/>
          </w:tcPr>
          <w:p>
            <w:pPr>
              <w:spacing w:after="0"/>
              <w:rPr>
                <w:sz w:val="22"/>
                <w:szCs w:val="22"/>
                <w:color w:val="auto"/>
              </w:rPr>
            </w:pPr>
          </w:p>
        </w:tc>
        <w:tc>
          <w:tcPr>
            <w:tcW w:w="300" w:type="dxa"/>
            <w:vAlign w:val="bottom"/>
            <w:tcBorders>
              <w:right w:val="single" w:sz="8" w:color="E5E5E5"/>
            </w:tcBorders>
            <w:shd w:val="clear" w:color="auto" w:fill="DBDBDB"/>
          </w:tcPr>
          <w:p>
            <w:pPr>
              <w:spacing w:after="0"/>
              <w:rPr>
                <w:sz w:val="22"/>
                <w:szCs w:val="22"/>
                <w:color w:val="auto"/>
              </w:rPr>
            </w:pPr>
          </w:p>
        </w:tc>
        <w:tc>
          <w:tcPr>
            <w:tcW w:w="140" w:type="dxa"/>
            <w:vAlign w:val="bottom"/>
            <w:shd w:val="clear" w:color="auto" w:fill="DBDBDB"/>
          </w:tcPr>
          <w:p>
            <w:pPr>
              <w:spacing w:after="0"/>
              <w:rPr>
                <w:sz w:val="22"/>
                <w:szCs w:val="22"/>
                <w:color w:val="auto"/>
              </w:rPr>
            </w:pPr>
          </w:p>
        </w:tc>
        <w:tc>
          <w:tcPr>
            <w:tcW w:w="2540" w:type="dxa"/>
            <w:vAlign w:val="bottom"/>
            <w:tcBorders>
              <w:right w:val="single" w:sz="8" w:color="E5E5E5"/>
            </w:tcBorders>
            <w:shd w:val="clear" w:color="auto" w:fill="DBDBDB"/>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060" w:type="dxa"/>
            <w:vAlign w:val="bottom"/>
            <w:tcBorders>
              <w:left w:val="single" w:sz="8" w:color="E5E5E5"/>
              <w:right w:val="single" w:sz="8" w:color="E5E5E5"/>
            </w:tcBorders>
            <w:shd w:val="clear" w:color="auto" w:fill="DBDBDB"/>
          </w:tcPr>
          <w:p>
            <w:pPr>
              <w:spacing w:after="0"/>
              <w:rPr>
                <w:sz w:val="22"/>
                <w:szCs w:val="22"/>
                <w:color w:val="auto"/>
              </w:rPr>
            </w:pPr>
          </w:p>
        </w:tc>
        <w:tc>
          <w:tcPr>
            <w:tcW w:w="1080" w:type="dxa"/>
            <w:vAlign w:val="bottom"/>
            <w:tcBorders>
              <w:right w:val="single" w:sz="8" w:color="E5E5E5"/>
            </w:tcBorders>
            <w:shd w:val="clear" w:color="auto" w:fill="DBDBDB"/>
          </w:tcPr>
          <w:p>
            <w:pPr>
              <w:jc w:val="right"/>
              <w:spacing w:after="0"/>
              <w:rPr>
                <w:sz w:val="20"/>
                <w:szCs w:val="20"/>
                <w:color w:val="auto"/>
              </w:rPr>
            </w:pPr>
            <w:r>
              <w:rPr>
                <w:rFonts w:ascii="Arial" w:cs="Arial" w:eastAsia="Arial" w:hAnsi="Arial"/>
                <w:sz w:val="16"/>
                <w:szCs w:val="16"/>
                <w:color w:val="auto"/>
              </w:rPr>
              <w:t>2/20/24</w:t>
            </w: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11,066</w:t>
            </w:r>
          </w:p>
        </w:tc>
        <w:tc>
          <w:tcPr>
            <w:tcW w:w="320" w:type="dxa"/>
            <w:vAlign w:val="bottom"/>
            <w:tcBorders>
              <w:right w:val="single" w:sz="8" w:color="E5E5E5"/>
            </w:tcBorders>
            <w:shd w:val="clear" w:color="auto" w:fill="DBDBDB"/>
          </w:tcPr>
          <w:p>
            <w:pPr>
              <w:jc w:val="right"/>
              <w:ind w:right="107"/>
              <w:spacing w:after="0"/>
              <w:rPr>
                <w:sz w:val="20"/>
                <w:szCs w:val="20"/>
                <w:color w:val="auto"/>
              </w:rPr>
            </w:pPr>
            <w:r>
              <w:rPr>
                <w:rFonts w:ascii="Arial" w:cs="Arial" w:eastAsia="Arial" w:hAnsi="Arial"/>
                <w:sz w:val="11"/>
                <w:szCs w:val="11"/>
                <w:color w:val="auto"/>
              </w:rPr>
              <w:t>(6)</w:t>
            </w: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right w:val="single" w:sz="8" w:color="E5E5E5"/>
            </w:tcBorders>
            <w:shd w:val="clear" w:color="auto" w:fill="DBDBDB"/>
          </w:tcPr>
          <w:p>
            <w:pPr>
              <w:jc w:val="right"/>
              <w:ind w:right="119"/>
              <w:spacing w:after="0"/>
              <w:rPr>
                <w:sz w:val="20"/>
                <w:szCs w:val="20"/>
                <w:color w:val="auto"/>
              </w:rPr>
            </w:pPr>
            <w:r>
              <w:rPr>
                <w:rFonts w:ascii="Arial" w:cs="Arial" w:eastAsia="Arial" w:hAnsi="Arial"/>
                <w:sz w:val="16"/>
                <w:szCs w:val="16"/>
                <w:color w:val="auto"/>
              </w:rPr>
              <w:t>2,689,370</w:t>
            </w:r>
          </w:p>
        </w:tc>
        <w:tc>
          <w:tcPr>
            <w:tcW w:w="18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24,897</w:t>
            </w:r>
          </w:p>
        </w:tc>
        <w:tc>
          <w:tcPr>
            <w:tcW w:w="300" w:type="dxa"/>
            <w:vAlign w:val="bottom"/>
            <w:tcBorders>
              <w:right w:val="single" w:sz="8" w:color="E5E5E5"/>
            </w:tcBorders>
            <w:shd w:val="clear" w:color="auto" w:fill="DBDBDB"/>
          </w:tcPr>
          <w:p>
            <w:pPr>
              <w:jc w:val="right"/>
              <w:ind w:right="87"/>
              <w:spacing w:after="0"/>
              <w:rPr>
                <w:sz w:val="20"/>
                <w:szCs w:val="20"/>
                <w:color w:val="auto"/>
              </w:rPr>
            </w:pPr>
            <w:r>
              <w:rPr>
                <w:rFonts w:ascii="Arial" w:cs="Arial" w:eastAsia="Arial" w:hAnsi="Arial"/>
                <w:sz w:val="11"/>
                <w:szCs w:val="11"/>
                <w:color w:val="auto"/>
              </w:rPr>
              <w:t>(7)</w:t>
            </w: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2540" w:type="dxa"/>
            <w:vAlign w:val="bottom"/>
            <w:tcBorders>
              <w:right w:val="single" w:sz="8" w:color="E5E5E5"/>
            </w:tcBorders>
            <w:shd w:val="clear" w:color="auto" w:fill="DBDBDB"/>
          </w:tcPr>
          <w:p>
            <w:pPr>
              <w:jc w:val="right"/>
              <w:ind w:right="119"/>
              <w:spacing w:after="0"/>
              <w:rPr>
                <w:sz w:val="20"/>
                <w:szCs w:val="20"/>
                <w:color w:val="auto"/>
              </w:rPr>
            </w:pPr>
            <w:r>
              <w:rPr>
                <w:rFonts w:ascii="Arial" w:cs="Arial" w:eastAsia="Arial" w:hAnsi="Arial"/>
                <w:sz w:val="16"/>
                <w:szCs w:val="16"/>
                <w:color w:val="auto"/>
              </w:rPr>
              <w:t>6,050,718</w:t>
            </w:r>
          </w:p>
        </w:tc>
        <w:tc>
          <w:tcPr>
            <w:tcW w:w="0" w:type="dxa"/>
            <w:vAlign w:val="bottom"/>
          </w:tcPr>
          <w:p>
            <w:pPr>
              <w:spacing w:after="0"/>
              <w:rPr>
                <w:sz w:val="1"/>
                <w:szCs w:val="1"/>
                <w:color w:val="auto"/>
              </w:rPr>
            </w:pPr>
          </w:p>
        </w:tc>
      </w:tr>
      <w:tr>
        <w:trPr>
          <w:trHeight w:val="215"/>
        </w:trPr>
        <w:tc>
          <w:tcPr>
            <w:tcW w:w="2060" w:type="dxa"/>
            <w:vAlign w:val="bottom"/>
            <w:tcBorders>
              <w:left w:val="single" w:sz="8" w:color="E5E5E5"/>
              <w:right w:val="single" w:sz="8" w:color="E5E5E5"/>
            </w:tcBorders>
          </w:tcPr>
          <w:p>
            <w:pPr>
              <w:ind w:left="40"/>
              <w:spacing w:after="0"/>
              <w:rPr>
                <w:sz w:val="20"/>
                <w:szCs w:val="20"/>
                <w:color w:val="auto"/>
              </w:rPr>
            </w:pPr>
            <w:r>
              <w:rPr>
                <w:rFonts w:ascii="Arial" w:cs="Arial" w:eastAsia="Arial" w:hAnsi="Arial"/>
                <w:sz w:val="16"/>
                <w:szCs w:val="16"/>
                <w:color w:val="auto"/>
              </w:rPr>
              <w:t>Michael Welch</w:t>
            </w:r>
          </w:p>
        </w:tc>
        <w:tc>
          <w:tcPr>
            <w:tcW w:w="1080" w:type="dxa"/>
            <w:vAlign w:val="bottom"/>
            <w:tcBorders>
              <w:right w:val="single" w:sz="8" w:color="E5E5E5"/>
            </w:tcBorders>
          </w:tcPr>
          <w:p>
            <w:pPr>
              <w:jc w:val="right"/>
              <w:spacing w:after="0"/>
              <w:rPr>
                <w:sz w:val="20"/>
                <w:szCs w:val="20"/>
                <w:color w:val="auto"/>
              </w:rPr>
            </w:pPr>
            <w:r>
              <w:rPr>
                <w:rFonts w:ascii="Arial" w:cs="Arial" w:eastAsia="Arial" w:hAnsi="Arial"/>
                <w:sz w:val="16"/>
                <w:szCs w:val="16"/>
                <w:color w:val="auto"/>
              </w:rPr>
              <w:t>2/16/22</w:t>
            </w:r>
          </w:p>
        </w:tc>
        <w:tc>
          <w:tcPr>
            <w:tcW w:w="1260" w:type="dxa"/>
            <w:vAlign w:val="bottom"/>
          </w:tcPr>
          <w:p>
            <w:pPr>
              <w:jc w:val="right"/>
              <w:spacing w:after="0"/>
              <w:rPr>
                <w:sz w:val="20"/>
                <w:szCs w:val="20"/>
                <w:color w:val="auto"/>
              </w:rPr>
            </w:pPr>
            <w:r>
              <w:rPr>
                <w:rFonts w:ascii="Arial" w:cs="Arial" w:eastAsia="Arial" w:hAnsi="Arial"/>
                <w:sz w:val="16"/>
                <w:szCs w:val="16"/>
                <w:color w:val="auto"/>
              </w:rPr>
              <w:t>1,760</w:t>
            </w:r>
          </w:p>
        </w:tc>
        <w:tc>
          <w:tcPr>
            <w:tcW w:w="320" w:type="dxa"/>
            <w:vAlign w:val="bottom"/>
            <w:tcBorders>
              <w:right w:val="single" w:sz="8" w:color="E5E5E5"/>
            </w:tcBorders>
          </w:tcPr>
          <w:p>
            <w:pPr>
              <w:jc w:val="right"/>
              <w:ind w:right="107"/>
              <w:spacing w:after="0"/>
              <w:rPr>
                <w:sz w:val="20"/>
                <w:szCs w:val="20"/>
                <w:color w:val="auto"/>
              </w:rPr>
            </w:pPr>
            <w:r>
              <w:rPr>
                <w:rFonts w:ascii="Arial" w:cs="Arial" w:eastAsia="Arial" w:hAnsi="Arial"/>
                <w:sz w:val="11"/>
                <w:szCs w:val="11"/>
                <w:color w:val="auto"/>
              </w:rPr>
              <w:t>(4)</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right w:val="single" w:sz="8" w:color="E5E5E5"/>
            </w:tcBorders>
          </w:tcPr>
          <w:p>
            <w:pPr>
              <w:jc w:val="right"/>
              <w:ind w:right="119"/>
              <w:spacing w:after="0"/>
              <w:rPr>
                <w:sz w:val="20"/>
                <w:szCs w:val="20"/>
                <w:color w:val="auto"/>
              </w:rPr>
            </w:pPr>
            <w:r>
              <w:rPr>
                <w:rFonts w:ascii="Arial" w:cs="Arial" w:eastAsia="Arial" w:hAnsi="Arial"/>
                <w:sz w:val="16"/>
                <w:szCs w:val="16"/>
                <w:color w:val="auto"/>
              </w:rPr>
              <w:t>427,733</w:t>
            </w:r>
          </w:p>
        </w:tc>
        <w:tc>
          <w:tcPr>
            <w:tcW w:w="1840" w:type="dxa"/>
            <w:vAlign w:val="bottom"/>
          </w:tcPr>
          <w:p>
            <w:pPr>
              <w:spacing w:after="0"/>
              <w:rPr>
                <w:sz w:val="18"/>
                <w:szCs w:val="18"/>
                <w:color w:val="auto"/>
              </w:rPr>
            </w:pPr>
          </w:p>
        </w:tc>
        <w:tc>
          <w:tcPr>
            <w:tcW w:w="300" w:type="dxa"/>
            <w:vAlign w:val="bottom"/>
            <w:tcBorders>
              <w:right w:val="single" w:sz="8" w:color="E5E5E5"/>
            </w:tcBorders>
          </w:tcPr>
          <w:p>
            <w:pPr>
              <w:spacing w:after="0"/>
              <w:rPr>
                <w:sz w:val="18"/>
                <w:szCs w:val="18"/>
                <w:color w:val="auto"/>
              </w:rPr>
            </w:pPr>
          </w:p>
        </w:tc>
        <w:tc>
          <w:tcPr>
            <w:tcW w:w="140" w:type="dxa"/>
            <w:vAlign w:val="bottom"/>
          </w:tcPr>
          <w:p>
            <w:pPr>
              <w:spacing w:after="0"/>
              <w:rPr>
                <w:sz w:val="18"/>
                <w:szCs w:val="18"/>
                <w:color w:val="auto"/>
              </w:rPr>
            </w:pPr>
          </w:p>
        </w:tc>
        <w:tc>
          <w:tcPr>
            <w:tcW w:w="2540" w:type="dxa"/>
            <w:vAlign w:val="bottom"/>
            <w:tcBorders>
              <w:right w:val="single" w:sz="8" w:color="E5E5E5"/>
            </w:tcBorders>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2060" w:type="dxa"/>
            <w:vAlign w:val="bottom"/>
            <w:tcBorders>
              <w:left w:val="single" w:sz="8" w:color="E5E5E5"/>
              <w:right w:val="single" w:sz="8" w:color="E5E5E5"/>
            </w:tcBorders>
          </w:tcPr>
          <w:p>
            <w:pPr>
              <w:spacing w:after="0"/>
              <w:rPr>
                <w:sz w:val="2"/>
                <w:szCs w:val="2"/>
                <w:color w:val="auto"/>
              </w:rPr>
            </w:pPr>
          </w:p>
        </w:tc>
        <w:tc>
          <w:tcPr>
            <w:tcW w:w="1080" w:type="dxa"/>
            <w:vAlign w:val="bottom"/>
            <w:tcBorders>
              <w:bottom w:val="single" w:sz="8" w:color="E5E5E5"/>
              <w:right w:val="single" w:sz="8" w:color="E5E5E5"/>
            </w:tcBorders>
          </w:tcPr>
          <w:p>
            <w:pPr>
              <w:spacing w:after="0"/>
              <w:rPr>
                <w:sz w:val="2"/>
                <w:szCs w:val="2"/>
                <w:color w:val="auto"/>
              </w:rPr>
            </w:pPr>
          </w:p>
        </w:tc>
        <w:tc>
          <w:tcPr>
            <w:tcW w:w="1260" w:type="dxa"/>
            <w:vAlign w:val="bottom"/>
            <w:tcBorders>
              <w:bottom w:val="single" w:sz="8" w:color="E5E5E5"/>
            </w:tcBorders>
          </w:tcPr>
          <w:p>
            <w:pPr>
              <w:spacing w:after="0"/>
              <w:rPr>
                <w:sz w:val="2"/>
                <w:szCs w:val="2"/>
                <w:color w:val="auto"/>
              </w:rPr>
            </w:pPr>
          </w:p>
        </w:tc>
        <w:tc>
          <w:tcPr>
            <w:tcW w:w="320" w:type="dxa"/>
            <w:vAlign w:val="bottom"/>
            <w:tcBorders>
              <w:bottom w:val="single" w:sz="8" w:color="E5E5E5"/>
              <w:right w:val="single" w:sz="8" w:color="E5E5E5"/>
            </w:tcBorders>
          </w:tcPr>
          <w:p>
            <w:pPr>
              <w:spacing w:after="0"/>
              <w:rPr>
                <w:sz w:val="2"/>
                <w:szCs w:val="2"/>
                <w:color w:val="auto"/>
              </w:rPr>
            </w:pPr>
          </w:p>
        </w:tc>
        <w:tc>
          <w:tcPr>
            <w:tcW w:w="140" w:type="dxa"/>
            <w:vAlign w:val="bottom"/>
            <w:tcBorders>
              <w:bottom w:val="single" w:sz="8" w:color="E5E5E5"/>
            </w:tcBorders>
          </w:tcPr>
          <w:p>
            <w:pPr>
              <w:spacing w:after="0"/>
              <w:rPr>
                <w:sz w:val="2"/>
                <w:szCs w:val="2"/>
                <w:color w:val="auto"/>
              </w:rPr>
            </w:pPr>
          </w:p>
        </w:tc>
        <w:tc>
          <w:tcPr>
            <w:tcW w:w="1580" w:type="dxa"/>
            <w:vAlign w:val="bottom"/>
            <w:tcBorders>
              <w:bottom w:val="single" w:sz="8" w:color="E5E5E5"/>
              <w:right w:val="single" w:sz="8" w:color="E5E5E5"/>
            </w:tcBorders>
          </w:tcPr>
          <w:p>
            <w:pPr>
              <w:spacing w:after="0"/>
              <w:rPr>
                <w:sz w:val="2"/>
                <w:szCs w:val="2"/>
                <w:color w:val="auto"/>
              </w:rPr>
            </w:pPr>
          </w:p>
        </w:tc>
        <w:tc>
          <w:tcPr>
            <w:tcW w:w="1840" w:type="dxa"/>
            <w:vAlign w:val="bottom"/>
            <w:tcBorders>
              <w:bottom w:val="single" w:sz="8" w:color="E5E5E5"/>
            </w:tcBorders>
          </w:tcPr>
          <w:p>
            <w:pPr>
              <w:spacing w:after="0"/>
              <w:rPr>
                <w:sz w:val="2"/>
                <w:szCs w:val="2"/>
                <w:color w:val="auto"/>
              </w:rPr>
            </w:pPr>
          </w:p>
        </w:tc>
        <w:tc>
          <w:tcPr>
            <w:tcW w:w="300" w:type="dxa"/>
            <w:vAlign w:val="bottom"/>
            <w:tcBorders>
              <w:bottom w:val="single" w:sz="8" w:color="E5E5E5"/>
              <w:right w:val="single" w:sz="8" w:color="E5E5E5"/>
            </w:tcBorders>
          </w:tcPr>
          <w:p>
            <w:pPr>
              <w:spacing w:after="0"/>
              <w:rPr>
                <w:sz w:val="2"/>
                <w:szCs w:val="2"/>
                <w:color w:val="auto"/>
              </w:rPr>
            </w:pPr>
          </w:p>
        </w:tc>
        <w:tc>
          <w:tcPr>
            <w:tcW w:w="140" w:type="dxa"/>
            <w:vAlign w:val="bottom"/>
            <w:tcBorders>
              <w:bottom w:val="single" w:sz="8" w:color="E5E5E5"/>
            </w:tcBorders>
          </w:tcPr>
          <w:p>
            <w:pPr>
              <w:spacing w:after="0"/>
              <w:rPr>
                <w:sz w:val="2"/>
                <w:szCs w:val="2"/>
                <w:color w:val="auto"/>
              </w:rPr>
            </w:pPr>
          </w:p>
        </w:tc>
        <w:tc>
          <w:tcPr>
            <w:tcW w:w="2540" w:type="dxa"/>
            <w:vAlign w:val="bottom"/>
            <w:tcBorders>
              <w:bottom w:val="single" w:sz="8" w:color="E5E5E5"/>
              <w:right w:val="single" w:sz="8" w:color="E5E5E5"/>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2060" w:type="dxa"/>
            <w:vAlign w:val="bottom"/>
            <w:tcBorders>
              <w:left w:val="single" w:sz="8" w:color="E5E5E5"/>
              <w:right w:val="single" w:sz="8" w:color="E5E5E5"/>
            </w:tcBorders>
          </w:tcPr>
          <w:p>
            <w:pPr>
              <w:spacing w:after="0"/>
              <w:rPr>
                <w:sz w:val="18"/>
                <w:szCs w:val="18"/>
                <w:color w:val="auto"/>
              </w:rPr>
            </w:pPr>
          </w:p>
        </w:tc>
        <w:tc>
          <w:tcPr>
            <w:tcW w:w="1080" w:type="dxa"/>
            <w:vAlign w:val="bottom"/>
            <w:tcBorders>
              <w:right w:val="single" w:sz="8" w:color="E5E5E5"/>
            </w:tcBorders>
          </w:tcPr>
          <w:p>
            <w:pPr>
              <w:jc w:val="right"/>
              <w:spacing w:after="0"/>
              <w:rPr>
                <w:sz w:val="20"/>
                <w:szCs w:val="20"/>
                <w:color w:val="auto"/>
              </w:rPr>
            </w:pPr>
            <w:r>
              <w:rPr>
                <w:rFonts w:ascii="Arial" w:cs="Arial" w:eastAsia="Arial" w:hAnsi="Arial"/>
                <w:sz w:val="16"/>
                <w:szCs w:val="16"/>
                <w:color w:val="auto"/>
              </w:rPr>
              <w:t>2/14/23</w:t>
            </w:r>
          </w:p>
        </w:tc>
        <w:tc>
          <w:tcPr>
            <w:tcW w:w="1260" w:type="dxa"/>
            <w:vAlign w:val="bottom"/>
          </w:tcPr>
          <w:p>
            <w:pPr>
              <w:jc w:val="right"/>
              <w:spacing w:after="0"/>
              <w:rPr>
                <w:sz w:val="20"/>
                <w:szCs w:val="20"/>
                <w:color w:val="auto"/>
              </w:rPr>
            </w:pPr>
            <w:r>
              <w:rPr>
                <w:rFonts w:ascii="Arial" w:cs="Arial" w:eastAsia="Arial" w:hAnsi="Arial"/>
                <w:sz w:val="16"/>
                <w:szCs w:val="16"/>
                <w:color w:val="auto"/>
              </w:rPr>
              <w:t>2,229</w:t>
            </w:r>
          </w:p>
        </w:tc>
        <w:tc>
          <w:tcPr>
            <w:tcW w:w="320" w:type="dxa"/>
            <w:vAlign w:val="bottom"/>
            <w:tcBorders>
              <w:right w:val="single" w:sz="8" w:color="E5E5E5"/>
            </w:tcBorders>
          </w:tcPr>
          <w:p>
            <w:pPr>
              <w:jc w:val="right"/>
              <w:ind w:right="107"/>
              <w:spacing w:after="0"/>
              <w:rPr>
                <w:sz w:val="20"/>
                <w:szCs w:val="20"/>
                <w:color w:val="auto"/>
              </w:rPr>
            </w:pPr>
            <w:r>
              <w:rPr>
                <w:rFonts w:ascii="Arial" w:cs="Arial" w:eastAsia="Arial" w:hAnsi="Arial"/>
                <w:sz w:val="11"/>
                <w:szCs w:val="11"/>
                <w:color w:val="auto"/>
              </w:rPr>
              <w:t>(5)</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right w:val="single" w:sz="8" w:color="E5E5E5"/>
            </w:tcBorders>
          </w:tcPr>
          <w:p>
            <w:pPr>
              <w:jc w:val="right"/>
              <w:ind w:right="119"/>
              <w:spacing w:after="0"/>
              <w:rPr>
                <w:sz w:val="20"/>
                <w:szCs w:val="20"/>
                <w:color w:val="auto"/>
              </w:rPr>
            </w:pPr>
            <w:r>
              <w:rPr>
                <w:rFonts w:ascii="Arial" w:cs="Arial" w:eastAsia="Arial" w:hAnsi="Arial"/>
                <w:sz w:val="16"/>
                <w:szCs w:val="16"/>
                <w:color w:val="auto"/>
              </w:rPr>
              <w:t>541,714</w:t>
            </w:r>
          </w:p>
        </w:tc>
        <w:tc>
          <w:tcPr>
            <w:tcW w:w="1840" w:type="dxa"/>
            <w:vAlign w:val="bottom"/>
          </w:tcPr>
          <w:p>
            <w:pPr>
              <w:spacing w:after="0"/>
              <w:rPr>
                <w:sz w:val="18"/>
                <w:szCs w:val="18"/>
                <w:color w:val="auto"/>
              </w:rPr>
            </w:pPr>
          </w:p>
        </w:tc>
        <w:tc>
          <w:tcPr>
            <w:tcW w:w="300" w:type="dxa"/>
            <w:vAlign w:val="bottom"/>
            <w:tcBorders>
              <w:right w:val="single" w:sz="8" w:color="E5E5E5"/>
            </w:tcBorders>
          </w:tcPr>
          <w:p>
            <w:pPr>
              <w:spacing w:after="0"/>
              <w:rPr>
                <w:sz w:val="18"/>
                <w:szCs w:val="18"/>
                <w:color w:val="auto"/>
              </w:rPr>
            </w:pPr>
          </w:p>
        </w:tc>
        <w:tc>
          <w:tcPr>
            <w:tcW w:w="140" w:type="dxa"/>
            <w:vAlign w:val="bottom"/>
          </w:tcPr>
          <w:p>
            <w:pPr>
              <w:spacing w:after="0"/>
              <w:rPr>
                <w:sz w:val="18"/>
                <w:szCs w:val="18"/>
                <w:color w:val="auto"/>
              </w:rPr>
            </w:pPr>
          </w:p>
        </w:tc>
        <w:tc>
          <w:tcPr>
            <w:tcW w:w="2540" w:type="dxa"/>
            <w:vAlign w:val="bottom"/>
            <w:tcBorders>
              <w:right w:val="single" w:sz="8" w:color="E5E5E5"/>
            </w:tcBorders>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2060" w:type="dxa"/>
            <w:vAlign w:val="bottom"/>
            <w:tcBorders>
              <w:left w:val="single" w:sz="8" w:color="E5E5E5"/>
              <w:right w:val="single" w:sz="8" w:color="E5E5E5"/>
            </w:tcBorders>
          </w:tcPr>
          <w:p>
            <w:pPr>
              <w:spacing w:after="0"/>
              <w:rPr>
                <w:sz w:val="2"/>
                <w:szCs w:val="2"/>
                <w:color w:val="auto"/>
              </w:rPr>
            </w:pPr>
          </w:p>
        </w:tc>
        <w:tc>
          <w:tcPr>
            <w:tcW w:w="1080" w:type="dxa"/>
            <w:vAlign w:val="bottom"/>
            <w:tcBorders>
              <w:bottom w:val="single" w:sz="8" w:color="E5E5E5"/>
              <w:right w:val="single" w:sz="8" w:color="E5E5E5"/>
            </w:tcBorders>
          </w:tcPr>
          <w:p>
            <w:pPr>
              <w:spacing w:after="0"/>
              <w:rPr>
                <w:sz w:val="2"/>
                <w:szCs w:val="2"/>
                <w:color w:val="auto"/>
              </w:rPr>
            </w:pPr>
          </w:p>
        </w:tc>
        <w:tc>
          <w:tcPr>
            <w:tcW w:w="1260" w:type="dxa"/>
            <w:vAlign w:val="bottom"/>
            <w:tcBorders>
              <w:bottom w:val="single" w:sz="8" w:color="E5E5E5"/>
            </w:tcBorders>
          </w:tcPr>
          <w:p>
            <w:pPr>
              <w:spacing w:after="0"/>
              <w:rPr>
                <w:sz w:val="2"/>
                <w:szCs w:val="2"/>
                <w:color w:val="auto"/>
              </w:rPr>
            </w:pPr>
          </w:p>
        </w:tc>
        <w:tc>
          <w:tcPr>
            <w:tcW w:w="320" w:type="dxa"/>
            <w:vAlign w:val="bottom"/>
            <w:tcBorders>
              <w:bottom w:val="single" w:sz="8" w:color="E5E5E5"/>
              <w:right w:val="single" w:sz="8" w:color="E5E5E5"/>
            </w:tcBorders>
          </w:tcPr>
          <w:p>
            <w:pPr>
              <w:spacing w:after="0"/>
              <w:rPr>
                <w:sz w:val="2"/>
                <w:szCs w:val="2"/>
                <w:color w:val="auto"/>
              </w:rPr>
            </w:pPr>
          </w:p>
        </w:tc>
        <w:tc>
          <w:tcPr>
            <w:tcW w:w="140" w:type="dxa"/>
            <w:vAlign w:val="bottom"/>
            <w:tcBorders>
              <w:bottom w:val="single" w:sz="8" w:color="E5E5E5"/>
            </w:tcBorders>
          </w:tcPr>
          <w:p>
            <w:pPr>
              <w:spacing w:after="0"/>
              <w:rPr>
                <w:sz w:val="2"/>
                <w:szCs w:val="2"/>
                <w:color w:val="auto"/>
              </w:rPr>
            </w:pPr>
          </w:p>
        </w:tc>
        <w:tc>
          <w:tcPr>
            <w:tcW w:w="1580" w:type="dxa"/>
            <w:vAlign w:val="bottom"/>
            <w:tcBorders>
              <w:bottom w:val="single" w:sz="8" w:color="E5E5E5"/>
              <w:right w:val="single" w:sz="8" w:color="E5E5E5"/>
            </w:tcBorders>
          </w:tcPr>
          <w:p>
            <w:pPr>
              <w:spacing w:after="0"/>
              <w:rPr>
                <w:sz w:val="2"/>
                <w:szCs w:val="2"/>
                <w:color w:val="auto"/>
              </w:rPr>
            </w:pPr>
          </w:p>
        </w:tc>
        <w:tc>
          <w:tcPr>
            <w:tcW w:w="1840" w:type="dxa"/>
            <w:vAlign w:val="bottom"/>
            <w:tcBorders>
              <w:bottom w:val="single" w:sz="8" w:color="E5E5E5"/>
            </w:tcBorders>
          </w:tcPr>
          <w:p>
            <w:pPr>
              <w:spacing w:after="0"/>
              <w:rPr>
                <w:sz w:val="2"/>
                <w:szCs w:val="2"/>
                <w:color w:val="auto"/>
              </w:rPr>
            </w:pPr>
          </w:p>
        </w:tc>
        <w:tc>
          <w:tcPr>
            <w:tcW w:w="300" w:type="dxa"/>
            <w:vAlign w:val="bottom"/>
            <w:tcBorders>
              <w:bottom w:val="single" w:sz="8" w:color="E5E5E5"/>
              <w:right w:val="single" w:sz="8" w:color="E5E5E5"/>
            </w:tcBorders>
          </w:tcPr>
          <w:p>
            <w:pPr>
              <w:spacing w:after="0"/>
              <w:rPr>
                <w:sz w:val="2"/>
                <w:szCs w:val="2"/>
                <w:color w:val="auto"/>
              </w:rPr>
            </w:pPr>
          </w:p>
        </w:tc>
        <w:tc>
          <w:tcPr>
            <w:tcW w:w="140" w:type="dxa"/>
            <w:vAlign w:val="bottom"/>
            <w:tcBorders>
              <w:bottom w:val="single" w:sz="8" w:color="E5E5E5"/>
            </w:tcBorders>
          </w:tcPr>
          <w:p>
            <w:pPr>
              <w:spacing w:after="0"/>
              <w:rPr>
                <w:sz w:val="2"/>
                <w:szCs w:val="2"/>
                <w:color w:val="auto"/>
              </w:rPr>
            </w:pPr>
          </w:p>
        </w:tc>
        <w:tc>
          <w:tcPr>
            <w:tcW w:w="2540" w:type="dxa"/>
            <w:vAlign w:val="bottom"/>
            <w:tcBorders>
              <w:bottom w:val="single" w:sz="8" w:color="E5E5E5"/>
              <w:right w:val="single" w:sz="8" w:color="E5E5E5"/>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2060" w:type="dxa"/>
            <w:vAlign w:val="bottom"/>
            <w:tcBorders>
              <w:left w:val="single" w:sz="8" w:color="E5E5E5"/>
              <w:right w:val="single" w:sz="8" w:color="E5E5E5"/>
            </w:tcBorders>
          </w:tcPr>
          <w:p>
            <w:pPr>
              <w:spacing w:after="0"/>
              <w:rPr>
                <w:sz w:val="18"/>
                <w:szCs w:val="18"/>
                <w:color w:val="auto"/>
              </w:rPr>
            </w:pPr>
          </w:p>
        </w:tc>
        <w:tc>
          <w:tcPr>
            <w:tcW w:w="1080" w:type="dxa"/>
            <w:vAlign w:val="bottom"/>
            <w:tcBorders>
              <w:right w:val="single" w:sz="8" w:color="E5E5E5"/>
            </w:tcBorders>
          </w:tcPr>
          <w:p>
            <w:pPr>
              <w:jc w:val="right"/>
              <w:spacing w:after="0"/>
              <w:rPr>
                <w:sz w:val="20"/>
                <w:szCs w:val="20"/>
                <w:color w:val="auto"/>
              </w:rPr>
            </w:pPr>
            <w:r>
              <w:rPr>
                <w:rFonts w:ascii="Arial" w:cs="Arial" w:eastAsia="Arial" w:hAnsi="Arial"/>
                <w:sz w:val="16"/>
                <w:szCs w:val="16"/>
                <w:color w:val="auto"/>
              </w:rPr>
              <w:t>2/20/24</w:t>
            </w:r>
          </w:p>
        </w:tc>
        <w:tc>
          <w:tcPr>
            <w:tcW w:w="1260" w:type="dxa"/>
            <w:vAlign w:val="bottom"/>
          </w:tcPr>
          <w:p>
            <w:pPr>
              <w:jc w:val="right"/>
              <w:spacing w:after="0"/>
              <w:rPr>
                <w:sz w:val="20"/>
                <w:szCs w:val="20"/>
                <w:color w:val="auto"/>
              </w:rPr>
            </w:pPr>
            <w:r>
              <w:rPr>
                <w:rFonts w:ascii="Arial" w:cs="Arial" w:eastAsia="Arial" w:hAnsi="Arial"/>
                <w:sz w:val="16"/>
                <w:szCs w:val="16"/>
                <w:color w:val="auto"/>
              </w:rPr>
              <w:t>1,844</w:t>
            </w:r>
          </w:p>
        </w:tc>
        <w:tc>
          <w:tcPr>
            <w:tcW w:w="320" w:type="dxa"/>
            <w:vAlign w:val="bottom"/>
            <w:tcBorders>
              <w:right w:val="single" w:sz="8" w:color="E5E5E5"/>
            </w:tcBorders>
          </w:tcPr>
          <w:p>
            <w:pPr>
              <w:jc w:val="right"/>
              <w:ind w:right="107"/>
              <w:spacing w:after="0"/>
              <w:rPr>
                <w:sz w:val="20"/>
                <w:szCs w:val="20"/>
                <w:color w:val="auto"/>
              </w:rPr>
            </w:pPr>
            <w:r>
              <w:rPr>
                <w:rFonts w:ascii="Arial" w:cs="Arial" w:eastAsia="Arial" w:hAnsi="Arial"/>
                <w:sz w:val="11"/>
                <w:szCs w:val="11"/>
                <w:color w:val="auto"/>
              </w:rPr>
              <w:t>(6)</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right w:val="single" w:sz="8" w:color="E5E5E5"/>
            </w:tcBorders>
          </w:tcPr>
          <w:p>
            <w:pPr>
              <w:jc w:val="right"/>
              <w:ind w:right="119"/>
              <w:spacing w:after="0"/>
              <w:rPr>
                <w:sz w:val="20"/>
                <w:szCs w:val="20"/>
                <w:color w:val="auto"/>
              </w:rPr>
            </w:pPr>
            <w:r>
              <w:rPr>
                <w:rFonts w:ascii="Arial" w:cs="Arial" w:eastAsia="Arial" w:hAnsi="Arial"/>
                <w:sz w:val="16"/>
                <w:szCs w:val="16"/>
                <w:color w:val="auto"/>
              </w:rPr>
              <w:t>448,147</w:t>
            </w:r>
          </w:p>
        </w:tc>
        <w:tc>
          <w:tcPr>
            <w:tcW w:w="1840" w:type="dxa"/>
            <w:vAlign w:val="bottom"/>
          </w:tcPr>
          <w:p>
            <w:pPr>
              <w:jc w:val="right"/>
              <w:spacing w:after="0"/>
              <w:rPr>
                <w:sz w:val="20"/>
                <w:szCs w:val="20"/>
                <w:color w:val="auto"/>
              </w:rPr>
            </w:pPr>
            <w:r>
              <w:rPr>
                <w:rFonts w:ascii="Arial" w:cs="Arial" w:eastAsia="Arial" w:hAnsi="Arial"/>
                <w:sz w:val="16"/>
                <w:szCs w:val="16"/>
                <w:color w:val="auto"/>
              </w:rPr>
              <w:t>4,151</w:t>
            </w:r>
          </w:p>
        </w:tc>
        <w:tc>
          <w:tcPr>
            <w:tcW w:w="300" w:type="dxa"/>
            <w:vAlign w:val="bottom"/>
            <w:tcBorders>
              <w:right w:val="single" w:sz="8" w:color="E5E5E5"/>
            </w:tcBorders>
          </w:tcPr>
          <w:p>
            <w:pPr>
              <w:jc w:val="right"/>
              <w:ind w:right="87"/>
              <w:spacing w:after="0"/>
              <w:rPr>
                <w:sz w:val="20"/>
                <w:szCs w:val="20"/>
                <w:color w:val="auto"/>
              </w:rPr>
            </w:pPr>
            <w:r>
              <w:rPr>
                <w:rFonts w:ascii="Arial" w:cs="Arial" w:eastAsia="Arial" w:hAnsi="Arial"/>
                <w:sz w:val="11"/>
                <w:szCs w:val="11"/>
                <w:color w:val="auto"/>
              </w:rPr>
              <w:t>(7)</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2540" w:type="dxa"/>
            <w:vAlign w:val="bottom"/>
            <w:tcBorders>
              <w:right w:val="single" w:sz="8" w:color="E5E5E5"/>
            </w:tcBorders>
          </w:tcPr>
          <w:p>
            <w:pPr>
              <w:jc w:val="right"/>
              <w:ind w:right="119"/>
              <w:spacing w:after="0"/>
              <w:rPr>
                <w:sz w:val="20"/>
                <w:szCs w:val="20"/>
                <w:color w:val="auto"/>
              </w:rPr>
            </w:pPr>
            <w:r>
              <w:rPr>
                <w:rFonts w:ascii="Arial" w:cs="Arial" w:eastAsia="Arial" w:hAnsi="Arial"/>
                <w:sz w:val="16"/>
                <w:szCs w:val="16"/>
                <w:color w:val="auto"/>
              </w:rPr>
              <w:t>1,008,696</w:t>
            </w:r>
          </w:p>
        </w:tc>
        <w:tc>
          <w:tcPr>
            <w:tcW w:w="0" w:type="dxa"/>
            <w:vAlign w:val="bottom"/>
          </w:tcPr>
          <w:p>
            <w:pPr>
              <w:spacing w:after="0"/>
              <w:rPr>
                <w:sz w:val="1"/>
                <w:szCs w:val="1"/>
                <w:color w:val="auto"/>
              </w:rPr>
            </w:pPr>
          </w:p>
        </w:tc>
      </w:tr>
      <w:tr>
        <w:trPr>
          <w:trHeight w:val="28"/>
        </w:trPr>
        <w:tc>
          <w:tcPr>
            <w:tcW w:w="2060" w:type="dxa"/>
            <w:vAlign w:val="bottom"/>
            <w:tcBorders>
              <w:left w:val="single" w:sz="8" w:color="E5E5E5"/>
              <w:right w:val="single" w:sz="8" w:color="E5E5E5"/>
            </w:tcBorders>
          </w:tcPr>
          <w:p>
            <w:pPr>
              <w:spacing w:after="0"/>
              <w:rPr>
                <w:sz w:val="2"/>
                <w:szCs w:val="2"/>
                <w:color w:val="auto"/>
              </w:rPr>
            </w:pPr>
          </w:p>
        </w:tc>
        <w:tc>
          <w:tcPr>
            <w:tcW w:w="1080" w:type="dxa"/>
            <w:vAlign w:val="bottom"/>
            <w:tcBorders>
              <w:right w:val="single" w:sz="8" w:color="E5E5E5"/>
            </w:tcBorders>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Borders>
              <w:right w:val="single" w:sz="8" w:color="E5E5E5"/>
            </w:tcBorders>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Borders>
              <w:right w:val="single" w:sz="8" w:color="E5E5E5"/>
            </w:tcBorders>
          </w:tcPr>
          <w:p>
            <w:pPr>
              <w:spacing w:after="0"/>
              <w:rPr>
                <w:sz w:val="2"/>
                <w:szCs w:val="2"/>
                <w:color w:val="auto"/>
              </w:rPr>
            </w:pPr>
          </w:p>
        </w:tc>
        <w:tc>
          <w:tcPr>
            <w:tcW w:w="1840" w:type="dxa"/>
            <w:vAlign w:val="bottom"/>
          </w:tcPr>
          <w:p>
            <w:pPr>
              <w:spacing w:after="0"/>
              <w:rPr>
                <w:sz w:val="2"/>
                <w:szCs w:val="2"/>
                <w:color w:val="auto"/>
              </w:rPr>
            </w:pPr>
          </w:p>
        </w:tc>
        <w:tc>
          <w:tcPr>
            <w:tcW w:w="300" w:type="dxa"/>
            <w:vAlign w:val="bottom"/>
            <w:tcBorders>
              <w:right w:val="single" w:sz="8" w:color="E5E5E5"/>
            </w:tcBorders>
          </w:tcPr>
          <w:p>
            <w:pPr>
              <w:spacing w:after="0"/>
              <w:rPr>
                <w:sz w:val="2"/>
                <w:szCs w:val="2"/>
                <w:color w:val="auto"/>
              </w:rPr>
            </w:pPr>
          </w:p>
        </w:tc>
        <w:tc>
          <w:tcPr>
            <w:tcW w:w="140" w:type="dxa"/>
            <w:vAlign w:val="bottom"/>
          </w:tcPr>
          <w:p>
            <w:pPr>
              <w:spacing w:after="0"/>
              <w:rPr>
                <w:sz w:val="2"/>
                <w:szCs w:val="2"/>
                <w:color w:val="auto"/>
              </w:rPr>
            </w:pPr>
          </w:p>
        </w:tc>
        <w:tc>
          <w:tcPr>
            <w:tcW w:w="2540" w:type="dxa"/>
            <w:vAlign w:val="bottom"/>
            <w:tcBorders>
              <w:right w:val="single" w:sz="8" w:color="E5E5E5"/>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060" w:type="dxa"/>
            <w:vAlign w:val="bottom"/>
            <w:tcBorders>
              <w:left w:val="single" w:sz="8" w:color="E5E5E5"/>
              <w:right w:val="single" w:sz="8" w:color="E5E5E5"/>
            </w:tcBorders>
            <w:shd w:val="clear" w:color="auto" w:fill="DBDBDB"/>
          </w:tcPr>
          <w:p>
            <w:pPr>
              <w:ind w:left="40"/>
              <w:spacing w:after="0"/>
              <w:rPr>
                <w:sz w:val="20"/>
                <w:szCs w:val="20"/>
                <w:color w:val="auto"/>
              </w:rPr>
            </w:pPr>
            <w:r>
              <w:rPr>
                <w:rFonts w:ascii="Arial" w:cs="Arial" w:eastAsia="Arial" w:hAnsi="Arial"/>
                <w:sz w:val="16"/>
                <w:szCs w:val="16"/>
                <w:color w:val="auto"/>
              </w:rPr>
              <w:t>Daniel Clara</w:t>
            </w:r>
          </w:p>
        </w:tc>
        <w:tc>
          <w:tcPr>
            <w:tcW w:w="1080" w:type="dxa"/>
            <w:vAlign w:val="bottom"/>
            <w:tcBorders>
              <w:right w:val="single" w:sz="8" w:color="E5E5E5"/>
            </w:tcBorders>
            <w:shd w:val="clear" w:color="auto" w:fill="DBDBDB"/>
          </w:tcPr>
          <w:p>
            <w:pPr>
              <w:jc w:val="right"/>
              <w:spacing w:after="0"/>
              <w:rPr>
                <w:sz w:val="20"/>
                <w:szCs w:val="20"/>
                <w:color w:val="auto"/>
              </w:rPr>
            </w:pPr>
            <w:r>
              <w:rPr>
                <w:rFonts w:ascii="Arial" w:cs="Arial" w:eastAsia="Arial" w:hAnsi="Arial"/>
                <w:sz w:val="16"/>
                <w:szCs w:val="16"/>
                <w:color w:val="auto"/>
              </w:rPr>
              <w:t>2/16/22</w:t>
            </w: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1,877</w:t>
            </w:r>
          </w:p>
        </w:tc>
        <w:tc>
          <w:tcPr>
            <w:tcW w:w="320" w:type="dxa"/>
            <w:vAlign w:val="bottom"/>
            <w:tcBorders>
              <w:right w:val="single" w:sz="8" w:color="E5E5E5"/>
            </w:tcBorders>
            <w:shd w:val="clear" w:color="auto" w:fill="DBDBDB"/>
          </w:tcPr>
          <w:p>
            <w:pPr>
              <w:jc w:val="right"/>
              <w:ind w:right="107"/>
              <w:spacing w:after="0"/>
              <w:rPr>
                <w:sz w:val="20"/>
                <w:szCs w:val="20"/>
                <w:color w:val="auto"/>
              </w:rPr>
            </w:pPr>
            <w:r>
              <w:rPr>
                <w:rFonts w:ascii="Arial" w:cs="Arial" w:eastAsia="Arial" w:hAnsi="Arial"/>
                <w:sz w:val="11"/>
                <w:szCs w:val="11"/>
                <w:color w:val="auto"/>
              </w:rPr>
              <w:t>(4)</w:t>
            </w: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right w:val="single" w:sz="8" w:color="E5E5E5"/>
            </w:tcBorders>
            <w:shd w:val="clear" w:color="auto" w:fill="DBDBDB"/>
          </w:tcPr>
          <w:p>
            <w:pPr>
              <w:jc w:val="right"/>
              <w:ind w:right="119"/>
              <w:spacing w:after="0"/>
              <w:rPr>
                <w:sz w:val="20"/>
                <w:szCs w:val="20"/>
                <w:color w:val="auto"/>
              </w:rPr>
            </w:pPr>
            <w:r>
              <w:rPr>
                <w:rFonts w:ascii="Arial" w:cs="Arial" w:eastAsia="Arial" w:hAnsi="Arial"/>
                <w:sz w:val="16"/>
                <w:szCs w:val="16"/>
                <w:color w:val="auto"/>
              </w:rPr>
              <w:t>456,167</w:t>
            </w:r>
          </w:p>
        </w:tc>
        <w:tc>
          <w:tcPr>
            <w:tcW w:w="1840" w:type="dxa"/>
            <w:vAlign w:val="bottom"/>
            <w:shd w:val="clear" w:color="auto" w:fill="DBDBDB"/>
          </w:tcPr>
          <w:p>
            <w:pPr>
              <w:spacing w:after="0"/>
              <w:rPr>
                <w:sz w:val="22"/>
                <w:szCs w:val="22"/>
                <w:color w:val="auto"/>
              </w:rPr>
            </w:pPr>
          </w:p>
        </w:tc>
        <w:tc>
          <w:tcPr>
            <w:tcW w:w="300" w:type="dxa"/>
            <w:vAlign w:val="bottom"/>
            <w:tcBorders>
              <w:right w:val="single" w:sz="8" w:color="E5E5E5"/>
            </w:tcBorders>
            <w:shd w:val="clear" w:color="auto" w:fill="DBDBDB"/>
          </w:tcPr>
          <w:p>
            <w:pPr>
              <w:spacing w:after="0"/>
              <w:rPr>
                <w:sz w:val="22"/>
                <w:szCs w:val="22"/>
                <w:color w:val="auto"/>
              </w:rPr>
            </w:pPr>
          </w:p>
        </w:tc>
        <w:tc>
          <w:tcPr>
            <w:tcW w:w="140" w:type="dxa"/>
            <w:vAlign w:val="bottom"/>
            <w:shd w:val="clear" w:color="auto" w:fill="DBDBDB"/>
          </w:tcPr>
          <w:p>
            <w:pPr>
              <w:spacing w:after="0"/>
              <w:rPr>
                <w:sz w:val="22"/>
                <w:szCs w:val="22"/>
                <w:color w:val="auto"/>
              </w:rPr>
            </w:pPr>
          </w:p>
        </w:tc>
        <w:tc>
          <w:tcPr>
            <w:tcW w:w="2540" w:type="dxa"/>
            <w:vAlign w:val="bottom"/>
            <w:tcBorders>
              <w:right w:val="single" w:sz="8" w:color="E5E5E5"/>
            </w:tcBorders>
            <w:shd w:val="clear" w:color="auto" w:fill="DBDBDB"/>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60" w:type="dxa"/>
            <w:vAlign w:val="bottom"/>
            <w:tcBorders>
              <w:left w:val="single" w:sz="8" w:color="E5E5E5"/>
              <w:right w:val="single" w:sz="8" w:color="E5E5E5"/>
            </w:tcBorders>
            <w:shd w:val="clear" w:color="auto" w:fill="DBDBDB"/>
          </w:tcPr>
          <w:p>
            <w:pPr>
              <w:spacing w:after="0"/>
              <w:rPr>
                <w:sz w:val="22"/>
                <w:szCs w:val="22"/>
                <w:color w:val="auto"/>
              </w:rPr>
            </w:pPr>
          </w:p>
        </w:tc>
        <w:tc>
          <w:tcPr>
            <w:tcW w:w="1080" w:type="dxa"/>
            <w:vAlign w:val="bottom"/>
            <w:tcBorders>
              <w:right w:val="single" w:sz="8" w:color="E5E5E5"/>
            </w:tcBorders>
            <w:shd w:val="clear" w:color="auto" w:fill="DBDBDB"/>
          </w:tcPr>
          <w:p>
            <w:pPr>
              <w:jc w:val="right"/>
              <w:spacing w:after="0"/>
              <w:rPr>
                <w:sz w:val="20"/>
                <w:szCs w:val="20"/>
                <w:color w:val="auto"/>
              </w:rPr>
            </w:pPr>
            <w:r>
              <w:rPr>
                <w:rFonts w:ascii="Arial" w:cs="Arial" w:eastAsia="Arial" w:hAnsi="Arial"/>
                <w:sz w:val="16"/>
                <w:szCs w:val="16"/>
                <w:color w:val="auto"/>
              </w:rPr>
              <w:t>2/14/23</w:t>
            </w: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2,368</w:t>
            </w:r>
          </w:p>
        </w:tc>
        <w:tc>
          <w:tcPr>
            <w:tcW w:w="320" w:type="dxa"/>
            <w:vAlign w:val="bottom"/>
            <w:tcBorders>
              <w:right w:val="single" w:sz="8" w:color="E5E5E5"/>
            </w:tcBorders>
            <w:shd w:val="clear" w:color="auto" w:fill="DBDBDB"/>
          </w:tcPr>
          <w:p>
            <w:pPr>
              <w:jc w:val="right"/>
              <w:ind w:right="107"/>
              <w:spacing w:after="0"/>
              <w:rPr>
                <w:sz w:val="20"/>
                <w:szCs w:val="20"/>
                <w:color w:val="auto"/>
              </w:rPr>
            </w:pPr>
            <w:r>
              <w:rPr>
                <w:rFonts w:ascii="Arial" w:cs="Arial" w:eastAsia="Arial" w:hAnsi="Arial"/>
                <w:sz w:val="11"/>
                <w:szCs w:val="11"/>
                <w:color w:val="auto"/>
              </w:rPr>
              <w:t>(5)</w:t>
            </w: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right w:val="single" w:sz="8" w:color="E5E5E5"/>
            </w:tcBorders>
            <w:shd w:val="clear" w:color="auto" w:fill="DBDBDB"/>
          </w:tcPr>
          <w:p>
            <w:pPr>
              <w:jc w:val="right"/>
              <w:ind w:right="119"/>
              <w:spacing w:after="0"/>
              <w:rPr>
                <w:sz w:val="20"/>
                <w:szCs w:val="20"/>
                <w:color w:val="auto"/>
              </w:rPr>
            </w:pPr>
            <w:r>
              <w:rPr>
                <w:rFonts w:ascii="Arial" w:cs="Arial" w:eastAsia="Arial" w:hAnsi="Arial"/>
                <w:sz w:val="16"/>
                <w:szCs w:val="16"/>
                <w:color w:val="auto"/>
              </w:rPr>
              <w:t>575,495</w:t>
            </w:r>
          </w:p>
        </w:tc>
        <w:tc>
          <w:tcPr>
            <w:tcW w:w="1840" w:type="dxa"/>
            <w:vAlign w:val="bottom"/>
            <w:shd w:val="clear" w:color="auto" w:fill="DBDBDB"/>
          </w:tcPr>
          <w:p>
            <w:pPr>
              <w:spacing w:after="0"/>
              <w:rPr>
                <w:sz w:val="22"/>
                <w:szCs w:val="22"/>
                <w:color w:val="auto"/>
              </w:rPr>
            </w:pPr>
          </w:p>
        </w:tc>
        <w:tc>
          <w:tcPr>
            <w:tcW w:w="300" w:type="dxa"/>
            <w:vAlign w:val="bottom"/>
            <w:tcBorders>
              <w:right w:val="single" w:sz="8" w:color="E5E5E5"/>
            </w:tcBorders>
            <w:shd w:val="clear" w:color="auto" w:fill="DBDBDB"/>
          </w:tcPr>
          <w:p>
            <w:pPr>
              <w:spacing w:after="0"/>
              <w:rPr>
                <w:sz w:val="22"/>
                <w:szCs w:val="22"/>
                <w:color w:val="auto"/>
              </w:rPr>
            </w:pPr>
          </w:p>
        </w:tc>
        <w:tc>
          <w:tcPr>
            <w:tcW w:w="140" w:type="dxa"/>
            <w:vAlign w:val="bottom"/>
            <w:shd w:val="clear" w:color="auto" w:fill="DBDBDB"/>
          </w:tcPr>
          <w:p>
            <w:pPr>
              <w:spacing w:after="0"/>
              <w:rPr>
                <w:sz w:val="22"/>
                <w:szCs w:val="22"/>
                <w:color w:val="auto"/>
              </w:rPr>
            </w:pPr>
          </w:p>
        </w:tc>
        <w:tc>
          <w:tcPr>
            <w:tcW w:w="2540" w:type="dxa"/>
            <w:vAlign w:val="bottom"/>
            <w:tcBorders>
              <w:right w:val="single" w:sz="8" w:color="E5E5E5"/>
            </w:tcBorders>
            <w:shd w:val="clear" w:color="auto" w:fill="DBDBDB"/>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060" w:type="dxa"/>
            <w:vAlign w:val="bottom"/>
            <w:tcBorders>
              <w:left w:val="single" w:sz="8" w:color="E5E5E5"/>
              <w:right w:val="single" w:sz="8" w:color="E5E5E5"/>
            </w:tcBorders>
            <w:shd w:val="clear" w:color="auto" w:fill="DBDBDB"/>
          </w:tcPr>
          <w:p>
            <w:pPr>
              <w:spacing w:after="0"/>
              <w:rPr>
                <w:sz w:val="22"/>
                <w:szCs w:val="22"/>
                <w:color w:val="auto"/>
              </w:rPr>
            </w:pPr>
          </w:p>
        </w:tc>
        <w:tc>
          <w:tcPr>
            <w:tcW w:w="1080" w:type="dxa"/>
            <w:vAlign w:val="bottom"/>
            <w:tcBorders>
              <w:right w:val="single" w:sz="8" w:color="E5E5E5"/>
            </w:tcBorders>
            <w:shd w:val="clear" w:color="auto" w:fill="DBDBDB"/>
          </w:tcPr>
          <w:p>
            <w:pPr>
              <w:jc w:val="right"/>
              <w:spacing w:after="0"/>
              <w:rPr>
                <w:sz w:val="20"/>
                <w:szCs w:val="20"/>
                <w:color w:val="auto"/>
              </w:rPr>
            </w:pPr>
            <w:r>
              <w:rPr>
                <w:rFonts w:ascii="Arial" w:cs="Arial" w:eastAsia="Arial" w:hAnsi="Arial"/>
                <w:sz w:val="16"/>
                <w:szCs w:val="16"/>
                <w:color w:val="auto"/>
              </w:rPr>
              <w:t>2/20/24</w:t>
            </w: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1,844</w:t>
            </w:r>
          </w:p>
        </w:tc>
        <w:tc>
          <w:tcPr>
            <w:tcW w:w="320" w:type="dxa"/>
            <w:vAlign w:val="bottom"/>
            <w:tcBorders>
              <w:right w:val="single" w:sz="8" w:color="E5E5E5"/>
            </w:tcBorders>
            <w:shd w:val="clear" w:color="auto" w:fill="DBDBDB"/>
          </w:tcPr>
          <w:p>
            <w:pPr>
              <w:jc w:val="right"/>
              <w:ind w:right="107"/>
              <w:spacing w:after="0"/>
              <w:rPr>
                <w:sz w:val="20"/>
                <w:szCs w:val="20"/>
                <w:color w:val="auto"/>
              </w:rPr>
            </w:pPr>
            <w:r>
              <w:rPr>
                <w:rFonts w:ascii="Arial" w:cs="Arial" w:eastAsia="Arial" w:hAnsi="Arial"/>
                <w:sz w:val="11"/>
                <w:szCs w:val="11"/>
                <w:color w:val="auto"/>
              </w:rPr>
              <w:t>(6)</w:t>
            </w: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right w:val="single" w:sz="8" w:color="E5E5E5"/>
            </w:tcBorders>
            <w:shd w:val="clear" w:color="auto" w:fill="DBDBDB"/>
          </w:tcPr>
          <w:p>
            <w:pPr>
              <w:jc w:val="right"/>
              <w:ind w:right="119"/>
              <w:spacing w:after="0"/>
              <w:rPr>
                <w:sz w:val="20"/>
                <w:szCs w:val="20"/>
                <w:color w:val="auto"/>
              </w:rPr>
            </w:pPr>
            <w:r>
              <w:rPr>
                <w:rFonts w:ascii="Arial" w:cs="Arial" w:eastAsia="Arial" w:hAnsi="Arial"/>
                <w:sz w:val="16"/>
                <w:szCs w:val="16"/>
                <w:color w:val="auto"/>
              </w:rPr>
              <w:t>448,147</w:t>
            </w:r>
          </w:p>
        </w:tc>
        <w:tc>
          <w:tcPr>
            <w:tcW w:w="18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4,151</w:t>
            </w:r>
          </w:p>
        </w:tc>
        <w:tc>
          <w:tcPr>
            <w:tcW w:w="300" w:type="dxa"/>
            <w:vAlign w:val="bottom"/>
            <w:tcBorders>
              <w:right w:val="single" w:sz="8" w:color="E5E5E5"/>
            </w:tcBorders>
            <w:shd w:val="clear" w:color="auto" w:fill="DBDBDB"/>
          </w:tcPr>
          <w:p>
            <w:pPr>
              <w:jc w:val="right"/>
              <w:ind w:right="87"/>
              <w:spacing w:after="0"/>
              <w:rPr>
                <w:sz w:val="20"/>
                <w:szCs w:val="20"/>
                <w:color w:val="auto"/>
              </w:rPr>
            </w:pPr>
            <w:r>
              <w:rPr>
                <w:rFonts w:ascii="Arial" w:cs="Arial" w:eastAsia="Arial" w:hAnsi="Arial"/>
                <w:sz w:val="11"/>
                <w:szCs w:val="11"/>
                <w:color w:val="auto"/>
              </w:rPr>
              <w:t>(7)</w:t>
            </w: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2540" w:type="dxa"/>
            <w:vAlign w:val="bottom"/>
            <w:tcBorders>
              <w:right w:val="single" w:sz="8" w:color="E5E5E5"/>
            </w:tcBorders>
            <w:shd w:val="clear" w:color="auto" w:fill="DBDBDB"/>
          </w:tcPr>
          <w:p>
            <w:pPr>
              <w:jc w:val="right"/>
              <w:ind w:right="119"/>
              <w:spacing w:after="0"/>
              <w:rPr>
                <w:sz w:val="20"/>
                <w:szCs w:val="20"/>
                <w:color w:val="auto"/>
              </w:rPr>
            </w:pPr>
            <w:r>
              <w:rPr>
                <w:rFonts w:ascii="Arial" w:cs="Arial" w:eastAsia="Arial" w:hAnsi="Arial"/>
                <w:sz w:val="16"/>
                <w:szCs w:val="16"/>
                <w:color w:val="auto"/>
              </w:rPr>
              <w:t>1,008,696</w:t>
            </w:r>
          </w:p>
        </w:tc>
        <w:tc>
          <w:tcPr>
            <w:tcW w:w="0" w:type="dxa"/>
            <w:vAlign w:val="bottom"/>
          </w:tcPr>
          <w:p>
            <w:pPr>
              <w:spacing w:after="0"/>
              <w:rPr>
                <w:sz w:val="1"/>
                <w:szCs w:val="1"/>
                <w:color w:val="auto"/>
              </w:rPr>
            </w:pPr>
          </w:p>
        </w:tc>
      </w:tr>
      <w:tr>
        <w:trPr>
          <w:trHeight w:val="242"/>
        </w:trPr>
        <w:tc>
          <w:tcPr>
            <w:tcW w:w="2060" w:type="dxa"/>
            <w:vAlign w:val="bottom"/>
            <w:tcBorders>
              <w:left w:val="single" w:sz="8" w:color="E5E5E5"/>
              <w:right w:val="single" w:sz="8" w:color="E5E5E5"/>
            </w:tcBorders>
          </w:tcPr>
          <w:p>
            <w:pPr>
              <w:ind w:left="40"/>
              <w:spacing w:after="0"/>
              <w:rPr>
                <w:sz w:val="20"/>
                <w:szCs w:val="20"/>
                <w:color w:val="auto"/>
              </w:rPr>
            </w:pPr>
            <w:r>
              <w:rPr>
                <w:rFonts w:ascii="Arial" w:cs="Arial" w:eastAsia="Arial" w:hAnsi="Arial"/>
                <w:sz w:val="16"/>
                <w:szCs w:val="16"/>
                <w:color w:val="auto"/>
              </w:rPr>
              <w:t>Jed Milstein</w:t>
            </w:r>
          </w:p>
        </w:tc>
        <w:tc>
          <w:tcPr>
            <w:tcW w:w="1080" w:type="dxa"/>
            <w:vAlign w:val="bottom"/>
            <w:tcBorders>
              <w:bottom w:val="single" w:sz="8" w:color="E5E5E5"/>
              <w:right w:val="single" w:sz="8" w:color="E5E5E5"/>
            </w:tcBorders>
          </w:tcPr>
          <w:p>
            <w:pPr>
              <w:jc w:val="right"/>
              <w:spacing w:after="0"/>
              <w:rPr>
                <w:sz w:val="20"/>
                <w:szCs w:val="20"/>
                <w:color w:val="auto"/>
              </w:rPr>
            </w:pPr>
            <w:r>
              <w:rPr>
                <w:rFonts w:ascii="Arial" w:cs="Arial" w:eastAsia="Arial" w:hAnsi="Arial"/>
                <w:sz w:val="16"/>
                <w:szCs w:val="16"/>
                <w:color w:val="auto"/>
              </w:rPr>
              <w:t>2/16/22</w:t>
            </w:r>
          </w:p>
        </w:tc>
        <w:tc>
          <w:tcPr>
            <w:tcW w:w="1260" w:type="dxa"/>
            <w:vAlign w:val="bottom"/>
            <w:tcBorders>
              <w:bottom w:val="single" w:sz="8" w:color="E5E5E5"/>
            </w:tcBorders>
          </w:tcPr>
          <w:p>
            <w:pPr>
              <w:jc w:val="right"/>
              <w:spacing w:after="0"/>
              <w:rPr>
                <w:sz w:val="20"/>
                <w:szCs w:val="20"/>
                <w:color w:val="auto"/>
              </w:rPr>
            </w:pPr>
            <w:r>
              <w:rPr>
                <w:rFonts w:ascii="Arial" w:cs="Arial" w:eastAsia="Arial" w:hAnsi="Arial"/>
                <w:sz w:val="16"/>
                <w:szCs w:val="16"/>
                <w:color w:val="auto"/>
              </w:rPr>
              <w:t>1,525</w:t>
            </w:r>
          </w:p>
        </w:tc>
        <w:tc>
          <w:tcPr>
            <w:tcW w:w="320" w:type="dxa"/>
            <w:vAlign w:val="bottom"/>
            <w:tcBorders>
              <w:bottom w:val="single" w:sz="8" w:color="E5E5E5"/>
              <w:right w:val="single" w:sz="8" w:color="E5E5E5"/>
            </w:tcBorders>
          </w:tcPr>
          <w:p>
            <w:pPr>
              <w:jc w:val="right"/>
              <w:ind w:right="107"/>
              <w:spacing w:after="0"/>
              <w:rPr>
                <w:sz w:val="20"/>
                <w:szCs w:val="20"/>
                <w:color w:val="auto"/>
              </w:rPr>
            </w:pPr>
            <w:r>
              <w:rPr>
                <w:rFonts w:ascii="Arial" w:cs="Arial" w:eastAsia="Arial" w:hAnsi="Arial"/>
                <w:sz w:val="11"/>
                <w:szCs w:val="11"/>
                <w:color w:val="auto"/>
              </w:rPr>
              <w:t>(4)</w:t>
            </w:r>
          </w:p>
        </w:tc>
        <w:tc>
          <w:tcPr>
            <w:tcW w:w="140" w:type="dxa"/>
            <w:vAlign w:val="bottom"/>
            <w:tcBorders>
              <w:bottom w:val="single" w:sz="8" w:color="E5E5E5"/>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E5E5E5"/>
              <w:right w:val="single" w:sz="8" w:color="E5E5E5"/>
            </w:tcBorders>
          </w:tcPr>
          <w:p>
            <w:pPr>
              <w:jc w:val="right"/>
              <w:ind w:right="119"/>
              <w:spacing w:after="0"/>
              <w:rPr>
                <w:sz w:val="20"/>
                <w:szCs w:val="20"/>
                <w:color w:val="auto"/>
              </w:rPr>
            </w:pPr>
            <w:r>
              <w:rPr>
                <w:rFonts w:ascii="Arial" w:cs="Arial" w:eastAsia="Arial" w:hAnsi="Arial"/>
                <w:sz w:val="16"/>
                <w:szCs w:val="16"/>
                <w:color w:val="auto"/>
              </w:rPr>
              <w:t>370,621</w:t>
            </w:r>
          </w:p>
        </w:tc>
        <w:tc>
          <w:tcPr>
            <w:tcW w:w="1840" w:type="dxa"/>
            <w:vAlign w:val="bottom"/>
            <w:tcBorders>
              <w:bottom w:val="single" w:sz="8" w:color="E5E5E5"/>
            </w:tcBorders>
          </w:tcPr>
          <w:p>
            <w:pPr>
              <w:spacing w:after="0"/>
              <w:rPr>
                <w:sz w:val="21"/>
                <w:szCs w:val="21"/>
                <w:color w:val="auto"/>
              </w:rPr>
            </w:pPr>
          </w:p>
        </w:tc>
        <w:tc>
          <w:tcPr>
            <w:tcW w:w="300" w:type="dxa"/>
            <w:vAlign w:val="bottom"/>
            <w:tcBorders>
              <w:bottom w:val="single" w:sz="8" w:color="E5E5E5"/>
              <w:right w:val="single" w:sz="8" w:color="E5E5E5"/>
            </w:tcBorders>
          </w:tcPr>
          <w:p>
            <w:pPr>
              <w:spacing w:after="0"/>
              <w:rPr>
                <w:sz w:val="21"/>
                <w:szCs w:val="21"/>
                <w:color w:val="auto"/>
              </w:rPr>
            </w:pPr>
          </w:p>
        </w:tc>
        <w:tc>
          <w:tcPr>
            <w:tcW w:w="140" w:type="dxa"/>
            <w:vAlign w:val="bottom"/>
            <w:tcBorders>
              <w:bottom w:val="single" w:sz="8" w:color="E5E5E5"/>
            </w:tcBorders>
          </w:tcPr>
          <w:p>
            <w:pPr>
              <w:spacing w:after="0"/>
              <w:rPr>
                <w:sz w:val="21"/>
                <w:szCs w:val="21"/>
                <w:color w:val="auto"/>
              </w:rPr>
            </w:pPr>
          </w:p>
        </w:tc>
        <w:tc>
          <w:tcPr>
            <w:tcW w:w="2540" w:type="dxa"/>
            <w:vAlign w:val="bottom"/>
            <w:tcBorders>
              <w:bottom w:val="single" w:sz="8" w:color="E5E5E5"/>
              <w:right w:val="single" w:sz="8" w:color="E5E5E5"/>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60" w:type="dxa"/>
            <w:vAlign w:val="bottom"/>
            <w:tcBorders>
              <w:left w:val="single" w:sz="8" w:color="E5E5E5"/>
              <w:right w:val="single" w:sz="8" w:color="E5E5E5"/>
            </w:tcBorders>
          </w:tcPr>
          <w:p>
            <w:pPr>
              <w:spacing w:after="0"/>
              <w:rPr>
                <w:sz w:val="20"/>
                <w:szCs w:val="20"/>
                <w:color w:val="auto"/>
              </w:rPr>
            </w:pPr>
          </w:p>
        </w:tc>
        <w:tc>
          <w:tcPr>
            <w:tcW w:w="1080" w:type="dxa"/>
            <w:vAlign w:val="bottom"/>
            <w:tcBorders>
              <w:bottom w:val="single" w:sz="8" w:color="E5E5E5"/>
              <w:right w:val="single" w:sz="8" w:color="E5E5E5"/>
            </w:tcBorders>
          </w:tcPr>
          <w:p>
            <w:pPr>
              <w:jc w:val="right"/>
              <w:spacing w:after="0"/>
              <w:rPr>
                <w:sz w:val="20"/>
                <w:szCs w:val="20"/>
                <w:color w:val="auto"/>
              </w:rPr>
            </w:pPr>
            <w:r>
              <w:rPr>
                <w:rFonts w:ascii="Arial" w:cs="Arial" w:eastAsia="Arial" w:hAnsi="Arial"/>
                <w:sz w:val="16"/>
                <w:szCs w:val="16"/>
                <w:color w:val="auto"/>
              </w:rPr>
              <w:t>2/14/23</w:t>
            </w:r>
          </w:p>
        </w:tc>
        <w:tc>
          <w:tcPr>
            <w:tcW w:w="1260" w:type="dxa"/>
            <w:vAlign w:val="bottom"/>
            <w:tcBorders>
              <w:bottom w:val="single" w:sz="8" w:color="E5E5E5"/>
            </w:tcBorders>
          </w:tcPr>
          <w:p>
            <w:pPr>
              <w:jc w:val="right"/>
              <w:spacing w:after="0"/>
              <w:rPr>
                <w:sz w:val="20"/>
                <w:szCs w:val="20"/>
                <w:color w:val="auto"/>
              </w:rPr>
            </w:pPr>
            <w:r>
              <w:rPr>
                <w:rFonts w:ascii="Arial" w:cs="Arial" w:eastAsia="Arial" w:hAnsi="Arial"/>
                <w:sz w:val="16"/>
                <w:szCs w:val="16"/>
                <w:color w:val="auto"/>
              </w:rPr>
              <w:t>1,950</w:t>
            </w:r>
          </w:p>
        </w:tc>
        <w:tc>
          <w:tcPr>
            <w:tcW w:w="320" w:type="dxa"/>
            <w:vAlign w:val="bottom"/>
            <w:tcBorders>
              <w:bottom w:val="single" w:sz="8" w:color="E5E5E5"/>
              <w:right w:val="single" w:sz="8" w:color="E5E5E5"/>
            </w:tcBorders>
          </w:tcPr>
          <w:p>
            <w:pPr>
              <w:jc w:val="right"/>
              <w:ind w:right="107"/>
              <w:spacing w:after="0"/>
              <w:rPr>
                <w:sz w:val="20"/>
                <w:szCs w:val="20"/>
                <w:color w:val="auto"/>
              </w:rPr>
            </w:pPr>
            <w:r>
              <w:rPr>
                <w:rFonts w:ascii="Arial" w:cs="Arial" w:eastAsia="Arial" w:hAnsi="Arial"/>
                <w:sz w:val="11"/>
                <w:szCs w:val="11"/>
                <w:color w:val="auto"/>
              </w:rPr>
              <w:t>(5)</w:t>
            </w:r>
          </w:p>
        </w:tc>
        <w:tc>
          <w:tcPr>
            <w:tcW w:w="140" w:type="dxa"/>
            <w:vAlign w:val="bottom"/>
            <w:tcBorders>
              <w:bottom w:val="single" w:sz="8" w:color="E5E5E5"/>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E5E5E5"/>
              <w:right w:val="single" w:sz="8" w:color="E5E5E5"/>
            </w:tcBorders>
          </w:tcPr>
          <w:p>
            <w:pPr>
              <w:jc w:val="right"/>
              <w:ind w:right="119"/>
              <w:spacing w:after="0"/>
              <w:rPr>
                <w:sz w:val="20"/>
                <w:szCs w:val="20"/>
                <w:color w:val="auto"/>
              </w:rPr>
            </w:pPr>
            <w:r>
              <w:rPr>
                <w:rFonts w:ascii="Arial" w:cs="Arial" w:eastAsia="Arial" w:hAnsi="Arial"/>
                <w:sz w:val="16"/>
                <w:szCs w:val="16"/>
                <w:color w:val="auto"/>
              </w:rPr>
              <w:t>473,909</w:t>
            </w:r>
          </w:p>
        </w:tc>
        <w:tc>
          <w:tcPr>
            <w:tcW w:w="1840" w:type="dxa"/>
            <w:vAlign w:val="bottom"/>
            <w:tcBorders>
              <w:bottom w:val="single" w:sz="8" w:color="E5E5E5"/>
            </w:tcBorders>
          </w:tcPr>
          <w:p>
            <w:pPr>
              <w:spacing w:after="0"/>
              <w:rPr>
                <w:sz w:val="20"/>
                <w:szCs w:val="20"/>
                <w:color w:val="auto"/>
              </w:rPr>
            </w:pPr>
          </w:p>
        </w:tc>
        <w:tc>
          <w:tcPr>
            <w:tcW w:w="300" w:type="dxa"/>
            <w:vAlign w:val="bottom"/>
            <w:tcBorders>
              <w:bottom w:val="single" w:sz="8" w:color="E5E5E5"/>
              <w:right w:val="single" w:sz="8" w:color="E5E5E5"/>
            </w:tcBorders>
          </w:tcPr>
          <w:p>
            <w:pPr>
              <w:spacing w:after="0"/>
              <w:rPr>
                <w:sz w:val="20"/>
                <w:szCs w:val="20"/>
                <w:color w:val="auto"/>
              </w:rPr>
            </w:pPr>
          </w:p>
        </w:tc>
        <w:tc>
          <w:tcPr>
            <w:tcW w:w="140" w:type="dxa"/>
            <w:vAlign w:val="bottom"/>
            <w:tcBorders>
              <w:bottom w:val="single" w:sz="8" w:color="E5E5E5"/>
            </w:tcBorders>
          </w:tcPr>
          <w:p>
            <w:pPr>
              <w:spacing w:after="0"/>
              <w:rPr>
                <w:sz w:val="20"/>
                <w:szCs w:val="20"/>
                <w:color w:val="auto"/>
              </w:rPr>
            </w:pPr>
          </w:p>
        </w:tc>
        <w:tc>
          <w:tcPr>
            <w:tcW w:w="2540" w:type="dxa"/>
            <w:vAlign w:val="bottom"/>
            <w:tcBorders>
              <w:bottom w:val="single" w:sz="8" w:color="E5E5E5"/>
              <w:right w:val="single" w:sz="8" w:color="E5E5E5"/>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60" w:type="dxa"/>
            <w:vAlign w:val="bottom"/>
            <w:tcBorders>
              <w:left w:val="single" w:sz="8" w:color="E5E5E5"/>
              <w:right w:val="single" w:sz="8" w:color="E5E5E5"/>
            </w:tcBorders>
          </w:tcPr>
          <w:p>
            <w:pPr>
              <w:spacing w:after="0"/>
              <w:rPr>
                <w:sz w:val="20"/>
                <w:szCs w:val="20"/>
                <w:color w:val="auto"/>
              </w:rPr>
            </w:pPr>
          </w:p>
        </w:tc>
        <w:tc>
          <w:tcPr>
            <w:tcW w:w="1080" w:type="dxa"/>
            <w:vAlign w:val="bottom"/>
            <w:tcBorders>
              <w:right w:val="single" w:sz="8" w:color="E5E5E5"/>
            </w:tcBorders>
          </w:tcPr>
          <w:p>
            <w:pPr>
              <w:jc w:val="right"/>
              <w:spacing w:after="0"/>
              <w:rPr>
                <w:sz w:val="20"/>
                <w:szCs w:val="20"/>
                <w:color w:val="auto"/>
              </w:rPr>
            </w:pPr>
            <w:r>
              <w:rPr>
                <w:rFonts w:ascii="Arial" w:cs="Arial" w:eastAsia="Arial" w:hAnsi="Arial"/>
                <w:sz w:val="16"/>
                <w:szCs w:val="16"/>
                <w:color w:val="auto"/>
              </w:rPr>
              <w:t>2/20/24</w:t>
            </w:r>
          </w:p>
        </w:tc>
        <w:tc>
          <w:tcPr>
            <w:tcW w:w="1260" w:type="dxa"/>
            <w:vAlign w:val="bottom"/>
          </w:tcPr>
          <w:p>
            <w:pPr>
              <w:jc w:val="right"/>
              <w:spacing w:after="0"/>
              <w:rPr>
                <w:sz w:val="20"/>
                <w:szCs w:val="20"/>
                <w:color w:val="auto"/>
              </w:rPr>
            </w:pPr>
            <w:r>
              <w:rPr>
                <w:rFonts w:ascii="Arial" w:cs="Arial" w:eastAsia="Arial" w:hAnsi="Arial"/>
                <w:sz w:val="16"/>
                <w:szCs w:val="16"/>
                <w:color w:val="auto"/>
              </w:rPr>
              <w:t>1,660</w:t>
            </w:r>
          </w:p>
        </w:tc>
        <w:tc>
          <w:tcPr>
            <w:tcW w:w="320" w:type="dxa"/>
            <w:vAlign w:val="bottom"/>
            <w:tcBorders>
              <w:right w:val="single" w:sz="8" w:color="E5E5E5"/>
            </w:tcBorders>
          </w:tcPr>
          <w:p>
            <w:pPr>
              <w:jc w:val="right"/>
              <w:ind w:right="107"/>
              <w:spacing w:after="0"/>
              <w:rPr>
                <w:sz w:val="20"/>
                <w:szCs w:val="20"/>
                <w:color w:val="auto"/>
              </w:rPr>
            </w:pPr>
            <w:r>
              <w:rPr>
                <w:rFonts w:ascii="Arial" w:cs="Arial" w:eastAsia="Arial" w:hAnsi="Arial"/>
                <w:sz w:val="11"/>
                <w:szCs w:val="11"/>
                <w:color w:val="auto"/>
              </w:rPr>
              <w:t>(6)</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right w:val="single" w:sz="8" w:color="E5E5E5"/>
            </w:tcBorders>
          </w:tcPr>
          <w:p>
            <w:pPr>
              <w:jc w:val="right"/>
              <w:ind w:right="119"/>
              <w:spacing w:after="0"/>
              <w:rPr>
                <w:sz w:val="20"/>
                <w:szCs w:val="20"/>
                <w:color w:val="auto"/>
              </w:rPr>
            </w:pPr>
            <w:r>
              <w:rPr>
                <w:rFonts w:ascii="Arial" w:cs="Arial" w:eastAsia="Arial" w:hAnsi="Arial"/>
                <w:sz w:val="16"/>
                <w:szCs w:val="16"/>
                <w:color w:val="auto"/>
              </w:rPr>
              <w:t>403,430</w:t>
            </w:r>
          </w:p>
        </w:tc>
        <w:tc>
          <w:tcPr>
            <w:tcW w:w="1840" w:type="dxa"/>
            <w:vAlign w:val="bottom"/>
          </w:tcPr>
          <w:p>
            <w:pPr>
              <w:jc w:val="right"/>
              <w:spacing w:after="0"/>
              <w:rPr>
                <w:sz w:val="20"/>
                <w:szCs w:val="20"/>
                <w:color w:val="auto"/>
              </w:rPr>
            </w:pPr>
            <w:r>
              <w:rPr>
                <w:rFonts w:ascii="Arial" w:cs="Arial" w:eastAsia="Arial" w:hAnsi="Arial"/>
                <w:sz w:val="16"/>
                <w:szCs w:val="16"/>
                <w:color w:val="auto"/>
              </w:rPr>
              <w:t>3,735</w:t>
            </w:r>
          </w:p>
        </w:tc>
        <w:tc>
          <w:tcPr>
            <w:tcW w:w="300" w:type="dxa"/>
            <w:vAlign w:val="bottom"/>
            <w:tcBorders>
              <w:right w:val="single" w:sz="8" w:color="E5E5E5"/>
            </w:tcBorders>
          </w:tcPr>
          <w:p>
            <w:pPr>
              <w:jc w:val="right"/>
              <w:ind w:right="87"/>
              <w:spacing w:after="0"/>
              <w:rPr>
                <w:sz w:val="20"/>
                <w:szCs w:val="20"/>
                <w:color w:val="auto"/>
              </w:rPr>
            </w:pPr>
            <w:r>
              <w:rPr>
                <w:rFonts w:ascii="Arial" w:cs="Arial" w:eastAsia="Arial" w:hAnsi="Arial"/>
                <w:sz w:val="11"/>
                <w:szCs w:val="11"/>
                <w:color w:val="auto"/>
              </w:rPr>
              <w:t>(7)</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2540" w:type="dxa"/>
            <w:vAlign w:val="bottom"/>
            <w:tcBorders>
              <w:right w:val="single" w:sz="8" w:color="E5E5E5"/>
            </w:tcBorders>
          </w:tcPr>
          <w:p>
            <w:pPr>
              <w:jc w:val="right"/>
              <w:ind w:right="119"/>
              <w:spacing w:after="0"/>
              <w:rPr>
                <w:sz w:val="20"/>
                <w:szCs w:val="20"/>
                <w:color w:val="auto"/>
              </w:rPr>
            </w:pPr>
            <w:r>
              <w:rPr>
                <w:rFonts w:ascii="Arial" w:cs="Arial" w:eastAsia="Arial" w:hAnsi="Arial"/>
                <w:sz w:val="16"/>
                <w:szCs w:val="16"/>
                <w:color w:val="auto"/>
              </w:rPr>
              <w:t>907,717</w:t>
            </w:r>
          </w:p>
        </w:tc>
        <w:tc>
          <w:tcPr>
            <w:tcW w:w="0" w:type="dxa"/>
            <w:vAlign w:val="bottom"/>
          </w:tcPr>
          <w:p>
            <w:pPr>
              <w:spacing w:after="0"/>
              <w:rPr>
                <w:sz w:val="1"/>
                <w:szCs w:val="1"/>
                <w:color w:val="auto"/>
              </w:rPr>
            </w:pPr>
          </w:p>
        </w:tc>
      </w:tr>
      <w:tr>
        <w:trPr>
          <w:trHeight w:val="264"/>
        </w:trPr>
        <w:tc>
          <w:tcPr>
            <w:tcW w:w="2060" w:type="dxa"/>
            <w:vAlign w:val="bottom"/>
            <w:tcBorders>
              <w:left w:val="single" w:sz="8" w:color="E5E5E5"/>
              <w:right w:val="single" w:sz="8" w:color="E5E5E5"/>
            </w:tcBorders>
            <w:shd w:val="clear" w:color="auto" w:fill="DBDBDB"/>
          </w:tcPr>
          <w:p>
            <w:pPr>
              <w:ind w:left="40"/>
              <w:spacing w:after="0"/>
              <w:rPr>
                <w:sz w:val="20"/>
                <w:szCs w:val="20"/>
                <w:color w:val="auto"/>
              </w:rPr>
            </w:pPr>
            <w:r>
              <w:rPr>
                <w:rFonts w:ascii="Arial" w:cs="Arial" w:eastAsia="Arial" w:hAnsi="Arial"/>
                <w:sz w:val="16"/>
                <w:szCs w:val="16"/>
                <w:color w:val="auto"/>
              </w:rPr>
              <w:t>Dean Calloway</w:t>
            </w:r>
          </w:p>
        </w:tc>
        <w:tc>
          <w:tcPr>
            <w:tcW w:w="1080" w:type="dxa"/>
            <w:vAlign w:val="bottom"/>
            <w:tcBorders>
              <w:right w:val="single" w:sz="8" w:color="E5E5E5"/>
            </w:tcBorders>
            <w:shd w:val="clear" w:color="auto" w:fill="DBDBDB"/>
          </w:tcPr>
          <w:p>
            <w:pPr>
              <w:jc w:val="right"/>
              <w:spacing w:after="0"/>
              <w:rPr>
                <w:sz w:val="20"/>
                <w:szCs w:val="20"/>
                <w:color w:val="auto"/>
              </w:rPr>
            </w:pPr>
            <w:r>
              <w:rPr>
                <w:rFonts w:ascii="Arial" w:cs="Arial" w:eastAsia="Arial" w:hAnsi="Arial"/>
                <w:sz w:val="16"/>
                <w:szCs w:val="16"/>
                <w:color w:val="auto"/>
              </w:rPr>
              <w:t>2/16/22</w:t>
            </w: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282</w:t>
            </w:r>
          </w:p>
        </w:tc>
        <w:tc>
          <w:tcPr>
            <w:tcW w:w="320" w:type="dxa"/>
            <w:vAlign w:val="bottom"/>
            <w:tcBorders>
              <w:right w:val="single" w:sz="8" w:color="E5E5E5"/>
            </w:tcBorders>
            <w:shd w:val="clear" w:color="auto" w:fill="DBDBDB"/>
          </w:tcPr>
          <w:p>
            <w:pPr>
              <w:jc w:val="right"/>
              <w:ind w:right="107"/>
              <w:spacing w:after="0"/>
              <w:rPr>
                <w:sz w:val="20"/>
                <w:szCs w:val="20"/>
                <w:color w:val="auto"/>
              </w:rPr>
            </w:pPr>
            <w:r>
              <w:rPr>
                <w:rFonts w:ascii="Arial" w:cs="Arial" w:eastAsia="Arial" w:hAnsi="Arial"/>
                <w:sz w:val="11"/>
                <w:szCs w:val="11"/>
                <w:color w:val="auto"/>
              </w:rPr>
              <w:t>(4)</w:t>
            </w: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right w:val="single" w:sz="8" w:color="E5E5E5"/>
            </w:tcBorders>
            <w:shd w:val="clear" w:color="auto" w:fill="DBDBDB"/>
          </w:tcPr>
          <w:p>
            <w:pPr>
              <w:jc w:val="right"/>
              <w:ind w:right="119"/>
              <w:spacing w:after="0"/>
              <w:rPr>
                <w:sz w:val="20"/>
                <w:szCs w:val="20"/>
                <w:color w:val="auto"/>
              </w:rPr>
            </w:pPr>
            <w:r>
              <w:rPr>
                <w:rFonts w:ascii="Arial" w:cs="Arial" w:eastAsia="Arial" w:hAnsi="Arial"/>
                <w:sz w:val="16"/>
                <w:szCs w:val="16"/>
                <w:color w:val="auto"/>
              </w:rPr>
              <w:t>68,534</w:t>
            </w:r>
          </w:p>
        </w:tc>
        <w:tc>
          <w:tcPr>
            <w:tcW w:w="1840" w:type="dxa"/>
            <w:vAlign w:val="bottom"/>
            <w:shd w:val="clear" w:color="auto" w:fill="DBDBDB"/>
          </w:tcPr>
          <w:p>
            <w:pPr>
              <w:spacing w:after="0"/>
              <w:rPr>
                <w:sz w:val="22"/>
                <w:szCs w:val="22"/>
                <w:color w:val="auto"/>
              </w:rPr>
            </w:pPr>
          </w:p>
        </w:tc>
        <w:tc>
          <w:tcPr>
            <w:tcW w:w="300" w:type="dxa"/>
            <w:vAlign w:val="bottom"/>
            <w:tcBorders>
              <w:right w:val="single" w:sz="8" w:color="E5E5E5"/>
            </w:tcBorders>
            <w:shd w:val="clear" w:color="auto" w:fill="DBDBDB"/>
          </w:tcPr>
          <w:p>
            <w:pPr>
              <w:spacing w:after="0"/>
              <w:rPr>
                <w:sz w:val="22"/>
                <w:szCs w:val="22"/>
                <w:color w:val="auto"/>
              </w:rPr>
            </w:pPr>
          </w:p>
        </w:tc>
        <w:tc>
          <w:tcPr>
            <w:tcW w:w="140" w:type="dxa"/>
            <w:vAlign w:val="bottom"/>
            <w:shd w:val="clear" w:color="auto" w:fill="DBDBDB"/>
          </w:tcPr>
          <w:p>
            <w:pPr>
              <w:spacing w:after="0"/>
              <w:rPr>
                <w:sz w:val="22"/>
                <w:szCs w:val="22"/>
                <w:color w:val="auto"/>
              </w:rPr>
            </w:pPr>
          </w:p>
        </w:tc>
        <w:tc>
          <w:tcPr>
            <w:tcW w:w="2540" w:type="dxa"/>
            <w:vAlign w:val="bottom"/>
            <w:tcBorders>
              <w:right w:val="single" w:sz="8" w:color="E5E5E5"/>
            </w:tcBorders>
            <w:shd w:val="clear" w:color="auto" w:fill="DBDBDB"/>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60" w:type="dxa"/>
            <w:vAlign w:val="bottom"/>
            <w:tcBorders>
              <w:left w:val="single" w:sz="8" w:color="E5E5E5"/>
              <w:right w:val="single" w:sz="8" w:color="E5E5E5"/>
            </w:tcBorders>
            <w:shd w:val="clear" w:color="auto" w:fill="DBDBDB"/>
          </w:tcPr>
          <w:p>
            <w:pPr>
              <w:spacing w:after="0"/>
              <w:rPr>
                <w:sz w:val="22"/>
                <w:szCs w:val="22"/>
                <w:color w:val="auto"/>
              </w:rPr>
            </w:pPr>
          </w:p>
        </w:tc>
        <w:tc>
          <w:tcPr>
            <w:tcW w:w="1080" w:type="dxa"/>
            <w:vAlign w:val="bottom"/>
            <w:tcBorders>
              <w:right w:val="single" w:sz="8" w:color="E5E5E5"/>
            </w:tcBorders>
            <w:shd w:val="clear" w:color="auto" w:fill="DBDBDB"/>
          </w:tcPr>
          <w:p>
            <w:pPr>
              <w:jc w:val="right"/>
              <w:spacing w:after="0"/>
              <w:rPr>
                <w:sz w:val="20"/>
                <w:szCs w:val="20"/>
                <w:color w:val="auto"/>
              </w:rPr>
            </w:pPr>
            <w:r>
              <w:rPr>
                <w:rFonts w:ascii="Arial" w:cs="Arial" w:eastAsia="Arial" w:hAnsi="Arial"/>
                <w:sz w:val="16"/>
                <w:szCs w:val="16"/>
                <w:color w:val="auto"/>
              </w:rPr>
              <w:t>2/14/23</w:t>
            </w: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421</w:t>
            </w:r>
          </w:p>
        </w:tc>
        <w:tc>
          <w:tcPr>
            <w:tcW w:w="320" w:type="dxa"/>
            <w:vAlign w:val="bottom"/>
            <w:tcBorders>
              <w:right w:val="single" w:sz="8" w:color="E5E5E5"/>
            </w:tcBorders>
            <w:shd w:val="clear" w:color="auto" w:fill="DBDBDB"/>
          </w:tcPr>
          <w:p>
            <w:pPr>
              <w:jc w:val="right"/>
              <w:ind w:right="107"/>
              <w:spacing w:after="0"/>
              <w:rPr>
                <w:sz w:val="20"/>
                <w:szCs w:val="20"/>
                <w:color w:val="auto"/>
              </w:rPr>
            </w:pPr>
            <w:r>
              <w:rPr>
                <w:rFonts w:ascii="Arial" w:cs="Arial" w:eastAsia="Arial" w:hAnsi="Arial"/>
                <w:sz w:val="11"/>
                <w:szCs w:val="11"/>
                <w:color w:val="auto"/>
              </w:rPr>
              <w:t>(5)</w:t>
            </w: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right w:val="single" w:sz="8" w:color="E5E5E5"/>
            </w:tcBorders>
            <w:shd w:val="clear" w:color="auto" w:fill="DBDBDB"/>
          </w:tcPr>
          <w:p>
            <w:pPr>
              <w:jc w:val="right"/>
              <w:ind w:right="119"/>
              <w:spacing w:after="0"/>
              <w:rPr>
                <w:sz w:val="20"/>
                <w:szCs w:val="20"/>
                <w:color w:val="auto"/>
              </w:rPr>
            </w:pPr>
            <w:r>
              <w:rPr>
                <w:rFonts w:ascii="Arial" w:cs="Arial" w:eastAsia="Arial" w:hAnsi="Arial"/>
                <w:sz w:val="16"/>
                <w:szCs w:val="16"/>
                <w:color w:val="auto"/>
              </w:rPr>
              <w:t>102,316</w:t>
            </w:r>
          </w:p>
        </w:tc>
        <w:tc>
          <w:tcPr>
            <w:tcW w:w="1840" w:type="dxa"/>
            <w:vAlign w:val="bottom"/>
            <w:shd w:val="clear" w:color="auto" w:fill="DBDBDB"/>
          </w:tcPr>
          <w:p>
            <w:pPr>
              <w:spacing w:after="0"/>
              <w:rPr>
                <w:sz w:val="22"/>
                <w:szCs w:val="22"/>
                <w:color w:val="auto"/>
              </w:rPr>
            </w:pPr>
          </w:p>
        </w:tc>
        <w:tc>
          <w:tcPr>
            <w:tcW w:w="300" w:type="dxa"/>
            <w:vAlign w:val="bottom"/>
            <w:tcBorders>
              <w:right w:val="single" w:sz="8" w:color="E5E5E5"/>
            </w:tcBorders>
            <w:shd w:val="clear" w:color="auto" w:fill="DBDBDB"/>
          </w:tcPr>
          <w:p>
            <w:pPr>
              <w:spacing w:after="0"/>
              <w:rPr>
                <w:sz w:val="22"/>
                <w:szCs w:val="22"/>
                <w:color w:val="auto"/>
              </w:rPr>
            </w:pPr>
          </w:p>
        </w:tc>
        <w:tc>
          <w:tcPr>
            <w:tcW w:w="140" w:type="dxa"/>
            <w:vAlign w:val="bottom"/>
            <w:shd w:val="clear" w:color="auto" w:fill="DBDBDB"/>
          </w:tcPr>
          <w:p>
            <w:pPr>
              <w:spacing w:after="0"/>
              <w:rPr>
                <w:sz w:val="22"/>
                <w:szCs w:val="22"/>
                <w:color w:val="auto"/>
              </w:rPr>
            </w:pPr>
          </w:p>
        </w:tc>
        <w:tc>
          <w:tcPr>
            <w:tcW w:w="2540" w:type="dxa"/>
            <w:vAlign w:val="bottom"/>
            <w:tcBorders>
              <w:right w:val="single" w:sz="8" w:color="E5E5E5"/>
            </w:tcBorders>
            <w:shd w:val="clear" w:color="auto" w:fill="DBDBDB"/>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060" w:type="dxa"/>
            <w:vAlign w:val="bottom"/>
            <w:tcBorders>
              <w:left w:val="single" w:sz="8" w:color="E5E5E5"/>
              <w:right w:val="single" w:sz="8" w:color="E5E5E5"/>
            </w:tcBorders>
            <w:shd w:val="clear" w:color="auto" w:fill="DBDBDB"/>
          </w:tcPr>
          <w:p>
            <w:pPr>
              <w:spacing w:after="0"/>
              <w:rPr>
                <w:sz w:val="22"/>
                <w:szCs w:val="22"/>
                <w:color w:val="auto"/>
              </w:rPr>
            </w:pPr>
          </w:p>
        </w:tc>
        <w:tc>
          <w:tcPr>
            <w:tcW w:w="1080" w:type="dxa"/>
            <w:vAlign w:val="bottom"/>
            <w:tcBorders>
              <w:right w:val="single" w:sz="8" w:color="E5E5E5"/>
            </w:tcBorders>
            <w:shd w:val="clear" w:color="auto" w:fill="DBDBDB"/>
          </w:tcPr>
          <w:p>
            <w:pPr>
              <w:jc w:val="right"/>
              <w:spacing w:after="0"/>
              <w:rPr>
                <w:sz w:val="20"/>
                <w:szCs w:val="20"/>
                <w:color w:val="auto"/>
              </w:rPr>
            </w:pPr>
            <w:r>
              <w:rPr>
                <w:rFonts w:ascii="Arial" w:cs="Arial" w:eastAsia="Arial" w:hAnsi="Arial"/>
                <w:sz w:val="16"/>
                <w:szCs w:val="16"/>
                <w:color w:val="auto"/>
              </w:rPr>
              <w:t>7/1/24</w:t>
            </w: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1,314</w:t>
            </w:r>
          </w:p>
        </w:tc>
        <w:tc>
          <w:tcPr>
            <w:tcW w:w="320" w:type="dxa"/>
            <w:vAlign w:val="bottom"/>
            <w:tcBorders>
              <w:right w:val="single" w:sz="8" w:color="E5E5E5"/>
            </w:tcBorders>
            <w:shd w:val="clear" w:color="auto" w:fill="DBDBDB"/>
          </w:tcPr>
          <w:p>
            <w:pPr>
              <w:jc w:val="right"/>
              <w:ind w:right="107"/>
              <w:spacing w:after="0"/>
              <w:rPr>
                <w:sz w:val="20"/>
                <w:szCs w:val="20"/>
                <w:color w:val="auto"/>
              </w:rPr>
            </w:pPr>
            <w:r>
              <w:rPr>
                <w:rFonts w:ascii="Arial" w:cs="Arial" w:eastAsia="Arial" w:hAnsi="Arial"/>
                <w:sz w:val="11"/>
                <w:szCs w:val="11"/>
                <w:color w:val="auto"/>
              </w:rPr>
              <w:t>(6)</w:t>
            </w: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right w:val="single" w:sz="8" w:color="E5E5E5"/>
            </w:tcBorders>
            <w:shd w:val="clear" w:color="auto" w:fill="DBDBDB"/>
          </w:tcPr>
          <w:p>
            <w:pPr>
              <w:jc w:val="right"/>
              <w:ind w:right="119"/>
              <w:spacing w:after="0"/>
              <w:rPr>
                <w:sz w:val="20"/>
                <w:szCs w:val="20"/>
                <w:color w:val="auto"/>
              </w:rPr>
            </w:pPr>
            <w:r>
              <w:rPr>
                <w:rFonts w:ascii="Arial" w:cs="Arial" w:eastAsia="Arial" w:hAnsi="Arial"/>
                <w:sz w:val="16"/>
                <w:szCs w:val="16"/>
                <w:color w:val="auto"/>
              </w:rPr>
              <w:t>319,341</w:t>
            </w:r>
          </w:p>
        </w:tc>
        <w:tc>
          <w:tcPr>
            <w:tcW w:w="1840" w:type="dxa"/>
            <w:vAlign w:val="bottom"/>
            <w:shd w:val="clear" w:color="auto" w:fill="DBDBDB"/>
          </w:tcPr>
          <w:p>
            <w:pPr>
              <w:spacing w:after="0"/>
              <w:rPr>
                <w:sz w:val="22"/>
                <w:szCs w:val="22"/>
                <w:color w:val="auto"/>
              </w:rPr>
            </w:pPr>
          </w:p>
        </w:tc>
        <w:tc>
          <w:tcPr>
            <w:tcW w:w="300" w:type="dxa"/>
            <w:vAlign w:val="bottom"/>
            <w:tcBorders>
              <w:right w:val="single" w:sz="8" w:color="E5E5E5"/>
            </w:tcBorders>
            <w:shd w:val="clear" w:color="auto" w:fill="DBDBDB"/>
          </w:tcPr>
          <w:p>
            <w:pPr>
              <w:spacing w:after="0"/>
              <w:rPr>
                <w:sz w:val="22"/>
                <w:szCs w:val="22"/>
                <w:color w:val="auto"/>
              </w:rPr>
            </w:pPr>
          </w:p>
        </w:tc>
        <w:tc>
          <w:tcPr>
            <w:tcW w:w="140" w:type="dxa"/>
            <w:vAlign w:val="bottom"/>
            <w:shd w:val="clear" w:color="auto" w:fill="DBDBDB"/>
          </w:tcPr>
          <w:p>
            <w:pPr>
              <w:spacing w:after="0"/>
              <w:rPr>
                <w:sz w:val="22"/>
                <w:szCs w:val="22"/>
                <w:color w:val="auto"/>
              </w:rPr>
            </w:pPr>
          </w:p>
        </w:tc>
        <w:tc>
          <w:tcPr>
            <w:tcW w:w="2540" w:type="dxa"/>
            <w:vAlign w:val="bottom"/>
            <w:tcBorders>
              <w:right w:val="single" w:sz="8" w:color="E5E5E5"/>
            </w:tcBorders>
            <w:shd w:val="clear" w:color="auto" w:fill="DBDBDB"/>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60" w:type="dxa"/>
            <w:vAlign w:val="bottom"/>
            <w:tcBorders>
              <w:left w:val="single" w:sz="8" w:color="E5E5E5"/>
              <w:right w:val="single" w:sz="8" w:color="E5E5E5"/>
            </w:tcBorders>
            <w:shd w:val="clear" w:color="auto" w:fill="DBDBDB"/>
          </w:tcPr>
          <w:p>
            <w:pPr>
              <w:spacing w:after="0"/>
              <w:rPr>
                <w:sz w:val="20"/>
                <w:szCs w:val="20"/>
                <w:color w:val="auto"/>
              </w:rPr>
            </w:pPr>
          </w:p>
        </w:tc>
        <w:tc>
          <w:tcPr>
            <w:tcW w:w="1080" w:type="dxa"/>
            <w:vAlign w:val="bottom"/>
            <w:tcBorders>
              <w:right w:val="single" w:sz="8" w:color="E5E5E5"/>
            </w:tcBorders>
            <w:shd w:val="clear" w:color="auto" w:fill="DBDBDB"/>
          </w:tcPr>
          <w:p>
            <w:pPr>
              <w:jc w:val="right"/>
              <w:spacing w:after="0"/>
              <w:rPr>
                <w:sz w:val="20"/>
                <w:szCs w:val="20"/>
                <w:color w:val="auto"/>
              </w:rPr>
            </w:pPr>
            <w:r>
              <w:rPr>
                <w:rFonts w:ascii="Arial" w:cs="Arial" w:eastAsia="Arial" w:hAnsi="Arial"/>
                <w:sz w:val="16"/>
                <w:szCs w:val="16"/>
                <w:color w:val="auto"/>
              </w:rPr>
              <w:t>2/20/24</w:t>
            </w: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692</w:t>
            </w:r>
          </w:p>
        </w:tc>
        <w:tc>
          <w:tcPr>
            <w:tcW w:w="320" w:type="dxa"/>
            <w:vAlign w:val="bottom"/>
            <w:tcBorders>
              <w:right w:val="single" w:sz="8" w:color="E5E5E5"/>
            </w:tcBorders>
            <w:shd w:val="clear" w:color="auto" w:fill="DBDBDB"/>
          </w:tcPr>
          <w:p>
            <w:pPr>
              <w:jc w:val="right"/>
              <w:ind w:right="107"/>
              <w:spacing w:after="0"/>
              <w:rPr>
                <w:sz w:val="20"/>
                <w:szCs w:val="20"/>
                <w:color w:val="auto"/>
              </w:rPr>
            </w:pPr>
            <w:r>
              <w:rPr>
                <w:rFonts w:ascii="Arial" w:cs="Arial" w:eastAsia="Arial" w:hAnsi="Arial"/>
                <w:sz w:val="11"/>
                <w:szCs w:val="11"/>
                <w:color w:val="auto"/>
              </w:rPr>
              <w:t>(6)</w:t>
            </w: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right w:val="single" w:sz="8" w:color="E5E5E5"/>
            </w:tcBorders>
            <w:shd w:val="clear" w:color="auto" w:fill="DBDBDB"/>
          </w:tcPr>
          <w:p>
            <w:pPr>
              <w:jc w:val="right"/>
              <w:ind w:right="119"/>
              <w:spacing w:after="0"/>
              <w:rPr>
                <w:sz w:val="20"/>
                <w:szCs w:val="20"/>
                <w:color w:val="auto"/>
              </w:rPr>
            </w:pPr>
            <w:r>
              <w:rPr>
                <w:rFonts w:ascii="Arial" w:cs="Arial" w:eastAsia="Arial" w:hAnsi="Arial"/>
                <w:sz w:val="16"/>
                <w:szCs w:val="16"/>
                <w:color w:val="auto"/>
              </w:rPr>
              <w:t>168,177</w:t>
            </w:r>
          </w:p>
        </w:tc>
        <w:tc>
          <w:tcPr>
            <w:tcW w:w="18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1,037</w:t>
            </w:r>
          </w:p>
        </w:tc>
        <w:tc>
          <w:tcPr>
            <w:tcW w:w="300" w:type="dxa"/>
            <w:vAlign w:val="bottom"/>
            <w:tcBorders>
              <w:right w:val="single" w:sz="8" w:color="E5E5E5"/>
            </w:tcBorders>
            <w:shd w:val="clear" w:color="auto" w:fill="DBDBDB"/>
          </w:tcPr>
          <w:p>
            <w:pPr>
              <w:jc w:val="right"/>
              <w:ind w:right="87"/>
              <w:spacing w:after="0"/>
              <w:rPr>
                <w:sz w:val="20"/>
                <w:szCs w:val="20"/>
                <w:color w:val="auto"/>
              </w:rPr>
            </w:pPr>
            <w:r>
              <w:rPr>
                <w:rFonts w:ascii="Arial" w:cs="Arial" w:eastAsia="Arial" w:hAnsi="Arial"/>
                <w:sz w:val="11"/>
                <w:szCs w:val="11"/>
                <w:color w:val="auto"/>
              </w:rPr>
              <w:t>(7)</w:t>
            </w: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2540" w:type="dxa"/>
            <w:vAlign w:val="bottom"/>
            <w:tcBorders>
              <w:right w:val="single" w:sz="8" w:color="E5E5E5"/>
            </w:tcBorders>
            <w:shd w:val="clear" w:color="auto" w:fill="DBDBDB"/>
          </w:tcPr>
          <w:p>
            <w:pPr>
              <w:jc w:val="right"/>
              <w:ind w:right="119"/>
              <w:spacing w:after="0"/>
              <w:rPr>
                <w:sz w:val="20"/>
                <w:szCs w:val="20"/>
                <w:color w:val="auto"/>
              </w:rPr>
            </w:pPr>
            <w:r>
              <w:rPr>
                <w:rFonts w:ascii="Arial" w:cs="Arial" w:eastAsia="Arial" w:hAnsi="Arial"/>
                <w:sz w:val="16"/>
                <w:szCs w:val="16"/>
                <w:color w:val="auto"/>
              </w:rPr>
              <w:t>251,901</w:t>
            </w:r>
          </w:p>
        </w:tc>
        <w:tc>
          <w:tcPr>
            <w:tcW w:w="0" w:type="dxa"/>
            <w:vAlign w:val="bottom"/>
          </w:tcPr>
          <w:p>
            <w:pPr>
              <w:spacing w:after="0"/>
              <w:rPr>
                <w:sz w:val="1"/>
                <w:szCs w:val="1"/>
                <w:color w:val="auto"/>
              </w:rPr>
            </w:pPr>
          </w:p>
        </w:tc>
      </w:tr>
      <w:tr>
        <w:trPr>
          <w:trHeight w:val="242"/>
        </w:trPr>
        <w:tc>
          <w:tcPr>
            <w:tcW w:w="2060" w:type="dxa"/>
            <w:vAlign w:val="bottom"/>
            <w:tcBorders>
              <w:left w:val="single" w:sz="8" w:color="E5E5E5"/>
              <w:right w:val="single" w:sz="8" w:color="E5E5E5"/>
            </w:tcBorders>
          </w:tcPr>
          <w:p>
            <w:pPr>
              <w:ind w:left="40"/>
              <w:spacing w:after="0"/>
              <w:rPr>
                <w:sz w:val="20"/>
                <w:szCs w:val="20"/>
                <w:color w:val="auto"/>
              </w:rPr>
            </w:pPr>
            <w:r>
              <w:rPr>
                <w:rFonts w:ascii="Arial" w:cs="Arial" w:eastAsia="Arial" w:hAnsi="Arial"/>
                <w:sz w:val="16"/>
                <w:szCs w:val="16"/>
                <w:color w:val="auto"/>
              </w:rPr>
              <w:t>George A. Villasana</w:t>
            </w:r>
          </w:p>
        </w:tc>
        <w:tc>
          <w:tcPr>
            <w:tcW w:w="1080" w:type="dxa"/>
            <w:vAlign w:val="bottom"/>
            <w:tcBorders>
              <w:bottom w:val="single" w:sz="8" w:color="E5E5E5"/>
              <w:right w:val="single" w:sz="8" w:color="E5E5E5"/>
            </w:tcBorders>
          </w:tcPr>
          <w:p>
            <w:pPr>
              <w:jc w:val="right"/>
              <w:spacing w:after="0"/>
              <w:rPr>
                <w:sz w:val="20"/>
                <w:szCs w:val="20"/>
                <w:color w:val="auto"/>
              </w:rPr>
            </w:pPr>
            <w:r>
              <w:rPr>
                <w:rFonts w:ascii="Arial" w:cs="Arial" w:eastAsia="Arial" w:hAnsi="Arial"/>
                <w:sz w:val="16"/>
                <w:szCs w:val="16"/>
                <w:color w:val="auto"/>
              </w:rPr>
              <w:t>2/16/22</w:t>
            </w:r>
          </w:p>
        </w:tc>
        <w:tc>
          <w:tcPr>
            <w:tcW w:w="1260" w:type="dxa"/>
            <w:vAlign w:val="bottom"/>
            <w:tcBorders>
              <w:bottom w:val="single" w:sz="8" w:color="E5E5E5"/>
            </w:tcBorders>
          </w:tcPr>
          <w:p>
            <w:pPr>
              <w:jc w:val="right"/>
              <w:spacing w:after="0"/>
              <w:rPr>
                <w:sz w:val="20"/>
                <w:szCs w:val="20"/>
                <w:color w:val="auto"/>
              </w:rPr>
            </w:pPr>
            <w:r>
              <w:rPr>
                <w:rFonts w:ascii="Arial" w:cs="Arial" w:eastAsia="Arial" w:hAnsi="Arial"/>
                <w:sz w:val="16"/>
                <w:szCs w:val="16"/>
                <w:color w:val="auto"/>
              </w:rPr>
              <w:t>1,760</w:t>
            </w:r>
          </w:p>
        </w:tc>
        <w:tc>
          <w:tcPr>
            <w:tcW w:w="320" w:type="dxa"/>
            <w:vAlign w:val="bottom"/>
            <w:tcBorders>
              <w:bottom w:val="single" w:sz="8" w:color="E5E5E5"/>
              <w:right w:val="single" w:sz="8" w:color="E5E5E5"/>
            </w:tcBorders>
          </w:tcPr>
          <w:p>
            <w:pPr>
              <w:jc w:val="right"/>
              <w:ind w:right="107"/>
              <w:spacing w:after="0"/>
              <w:rPr>
                <w:sz w:val="20"/>
                <w:szCs w:val="20"/>
                <w:color w:val="auto"/>
              </w:rPr>
            </w:pPr>
            <w:r>
              <w:rPr>
                <w:rFonts w:ascii="Arial" w:cs="Arial" w:eastAsia="Arial" w:hAnsi="Arial"/>
                <w:sz w:val="11"/>
                <w:szCs w:val="11"/>
                <w:color w:val="auto"/>
              </w:rPr>
              <w:t>(4)</w:t>
            </w:r>
          </w:p>
        </w:tc>
        <w:tc>
          <w:tcPr>
            <w:tcW w:w="140" w:type="dxa"/>
            <w:vAlign w:val="bottom"/>
            <w:tcBorders>
              <w:bottom w:val="single" w:sz="8" w:color="E5E5E5"/>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E5E5E5"/>
              <w:right w:val="single" w:sz="8" w:color="E5E5E5"/>
            </w:tcBorders>
          </w:tcPr>
          <w:p>
            <w:pPr>
              <w:jc w:val="right"/>
              <w:ind w:right="119"/>
              <w:spacing w:after="0"/>
              <w:rPr>
                <w:sz w:val="20"/>
                <w:szCs w:val="20"/>
                <w:color w:val="auto"/>
              </w:rPr>
            </w:pPr>
            <w:r>
              <w:rPr>
                <w:rFonts w:ascii="Arial" w:cs="Arial" w:eastAsia="Arial" w:hAnsi="Arial"/>
                <w:sz w:val="16"/>
                <w:szCs w:val="16"/>
                <w:color w:val="auto"/>
              </w:rPr>
              <w:t>427,733</w:t>
            </w:r>
          </w:p>
        </w:tc>
        <w:tc>
          <w:tcPr>
            <w:tcW w:w="1840" w:type="dxa"/>
            <w:vAlign w:val="bottom"/>
            <w:tcBorders>
              <w:bottom w:val="single" w:sz="8" w:color="E5E5E5"/>
            </w:tcBorders>
          </w:tcPr>
          <w:p>
            <w:pPr>
              <w:spacing w:after="0"/>
              <w:rPr>
                <w:sz w:val="21"/>
                <w:szCs w:val="21"/>
                <w:color w:val="auto"/>
              </w:rPr>
            </w:pPr>
          </w:p>
        </w:tc>
        <w:tc>
          <w:tcPr>
            <w:tcW w:w="300" w:type="dxa"/>
            <w:vAlign w:val="bottom"/>
            <w:tcBorders>
              <w:bottom w:val="single" w:sz="8" w:color="E5E5E5"/>
              <w:right w:val="single" w:sz="8" w:color="E5E5E5"/>
            </w:tcBorders>
          </w:tcPr>
          <w:p>
            <w:pPr>
              <w:spacing w:after="0"/>
              <w:rPr>
                <w:sz w:val="21"/>
                <w:szCs w:val="21"/>
                <w:color w:val="auto"/>
              </w:rPr>
            </w:pPr>
          </w:p>
        </w:tc>
        <w:tc>
          <w:tcPr>
            <w:tcW w:w="140" w:type="dxa"/>
            <w:vAlign w:val="bottom"/>
            <w:tcBorders>
              <w:bottom w:val="single" w:sz="8" w:color="E5E5E5"/>
            </w:tcBorders>
          </w:tcPr>
          <w:p>
            <w:pPr>
              <w:spacing w:after="0"/>
              <w:rPr>
                <w:sz w:val="21"/>
                <w:szCs w:val="21"/>
                <w:color w:val="auto"/>
              </w:rPr>
            </w:pPr>
          </w:p>
        </w:tc>
        <w:tc>
          <w:tcPr>
            <w:tcW w:w="2540" w:type="dxa"/>
            <w:vAlign w:val="bottom"/>
            <w:tcBorders>
              <w:bottom w:val="single" w:sz="8" w:color="E5E5E5"/>
              <w:right w:val="single" w:sz="8" w:color="E5E5E5"/>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60" w:type="dxa"/>
            <w:vAlign w:val="bottom"/>
            <w:tcBorders>
              <w:left w:val="single" w:sz="8" w:color="E5E5E5"/>
              <w:right w:val="single" w:sz="8" w:color="E5E5E5"/>
            </w:tcBorders>
          </w:tcPr>
          <w:p>
            <w:pPr>
              <w:spacing w:after="0"/>
              <w:rPr>
                <w:sz w:val="20"/>
                <w:szCs w:val="20"/>
                <w:color w:val="auto"/>
              </w:rPr>
            </w:pPr>
          </w:p>
        </w:tc>
        <w:tc>
          <w:tcPr>
            <w:tcW w:w="1080" w:type="dxa"/>
            <w:vAlign w:val="bottom"/>
            <w:tcBorders>
              <w:bottom w:val="single" w:sz="8" w:color="E5E5E5"/>
              <w:right w:val="single" w:sz="8" w:color="E5E5E5"/>
            </w:tcBorders>
          </w:tcPr>
          <w:p>
            <w:pPr>
              <w:jc w:val="right"/>
              <w:spacing w:after="0"/>
              <w:rPr>
                <w:sz w:val="20"/>
                <w:szCs w:val="20"/>
                <w:color w:val="auto"/>
              </w:rPr>
            </w:pPr>
            <w:r>
              <w:rPr>
                <w:rFonts w:ascii="Arial" w:cs="Arial" w:eastAsia="Arial" w:hAnsi="Arial"/>
                <w:sz w:val="16"/>
                <w:szCs w:val="16"/>
                <w:color w:val="auto"/>
              </w:rPr>
              <w:t>2/14/23</w:t>
            </w:r>
          </w:p>
        </w:tc>
        <w:tc>
          <w:tcPr>
            <w:tcW w:w="1260" w:type="dxa"/>
            <w:vAlign w:val="bottom"/>
            <w:tcBorders>
              <w:bottom w:val="single" w:sz="8" w:color="E5E5E5"/>
            </w:tcBorders>
          </w:tcPr>
          <w:p>
            <w:pPr>
              <w:jc w:val="right"/>
              <w:spacing w:after="0"/>
              <w:rPr>
                <w:sz w:val="20"/>
                <w:szCs w:val="20"/>
                <w:color w:val="auto"/>
              </w:rPr>
            </w:pPr>
            <w:r>
              <w:rPr>
                <w:rFonts w:ascii="Arial" w:cs="Arial" w:eastAsia="Arial" w:hAnsi="Arial"/>
                <w:sz w:val="16"/>
                <w:szCs w:val="16"/>
                <w:color w:val="auto"/>
              </w:rPr>
              <w:t>2,229</w:t>
            </w:r>
          </w:p>
        </w:tc>
        <w:tc>
          <w:tcPr>
            <w:tcW w:w="320" w:type="dxa"/>
            <w:vAlign w:val="bottom"/>
            <w:tcBorders>
              <w:bottom w:val="single" w:sz="8" w:color="E5E5E5"/>
              <w:right w:val="single" w:sz="8" w:color="E5E5E5"/>
            </w:tcBorders>
          </w:tcPr>
          <w:p>
            <w:pPr>
              <w:jc w:val="right"/>
              <w:ind w:right="107"/>
              <w:spacing w:after="0"/>
              <w:rPr>
                <w:sz w:val="20"/>
                <w:szCs w:val="20"/>
                <w:color w:val="auto"/>
              </w:rPr>
            </w:pPr>
            <w:r>
              <w:rPr>
                <w:rFonts w:ascii="Arial" w:cs="Arial" w:eastAsia="Arial" w:hAnsi="Arial"/>
                <w:sz w:val="11"/>
                <w:szCs w:val="11"/>
                <w:color w:val="auto"/>
              </w:rPr>
              <w:t>(5)</w:t>
            </w:r>
          </w:p>
        </w:tc>
        <w:tc>
          <w:tcPr>
            <w:tcW w:w="140" w:type="dxa"/>
            <w:vAlign w:val="bottom"/>
            <w:tcBorders>
              <w:bottom w:val="single" w:sz="8" w:color="E5E5E5"/>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E5E5E5"/>
              <w:right w:val="single" w:sz="8" w:color="E5E5E5"/>
            </w:tcBorders>
          </w:tcPr>
          <w:p>
            <w:pPr>
              <w:jc w:val="right"/>
              <w:ind w:right="119"/>
              <w:spacing w:after="0"/>
              <w:rPr>
                <w:sz w:val="20"/>
                <w:szCs w:val="20"/>
                <w:color w:val="auto"/>
              </w:rPr>
            </w:pPr>
            <w:r>
              <w:rPr>
                <w:rFonts w:ascii="Arial" w:cs="Arial" w:eastAsia="Arial" w:hAnsi="Arial"/>
                <w:sz w:val="16"/>
                <w:szCs w:val="16"/>
                <w:color w:val="auto"/>
              </w:rPr>
              <w:t>541,714</w:t>
            </w:r>
          </w:p>
        </w:tc>
        <w:tc>
          <w:tcPr>
            <w:tcW w:w="1840" w:type="dxa"/>
            <w:vAlign w:val="bottom"/>
            <w:tcBorders>
              <w:bottom w:val="single" w:sz="8" w:color="E5E5E5"/>
            </w:tcBorders>
          </w:tcPr>
          <w:p>
            <w:pPr>
              <w:spacing w:after="0"/>
              <w:rPr>
                <w:sz w:val="20"/>
                <w:szCs w:val="20"/>
                <w:color w:val="auto"/>
              </w:rPr>
            </w:pPr>
          </w:p>
        </w:tc>
        <w:tc>
          <w:tcPr>
            <w:tcW w:w="300" w:type="dxa"/>
            <w:vAlign w:val="bottom"/>
            <w:tcBorders>
              <w:bottom w:val="single" w:sz="8" w:color="E5E5E5"/>
              <w:right w:val="single" w:sz="8" w:color="E5E5E5"/>
            </w:tcBorders>
          </w:tcPr>
          <w:p>
            <w:pPr>
              <w:spacing w:after="0"/>
              <w:rPr>
                <w:sz w:val="20"/>
                <w:szCs w:val="20"/>
                <w:color w:val="auto"/>
              </w:rPr>
            </w:pPr>
          </w:p>
        </w:tc>
        <w:tc>
          <w:tcPr>
            <w:tcW w:w="140" w:type="dxa"/>
            <w:vAlign w:val="bottom"/>
            <w:tcBorders>
              <w:bottom w:val="single" w:sz="8" w:color="E5E5E5"/>
            </w:tcBorders>
          </w:tcPr>
          <w:p>
            <w:pPr>
              <w:spacing w:after="0"/>
              <w:rPr>
                <w:sz w:val="20"/>
                <w:szCs w:val="20"/>
                <w:color w:val="auto"/>
              </w:rPr>
            </w:pPr>
          </w:p>
        </w:tc>
        <w:tc>
          <w:tcPr>
            <w:tcW w:w="2540" w:type="dxa"/>
            <w:vAlign w:val="bottom"/>
            <w:tcBorders>
              <w:bottom w:val="single" w:sz="8" w:color="E5E5E5"/>
              <w:right w:val="single" w:sz="8" w:color="E5E5E5"/>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60" w:type="dxa"/>
            <w:vAlign w:val="bottom"/>
            <w:tcBorders>
              <w:left w:val="single" w:sz="8" w:color="E5E5E5"/>
              <w:right w:val="single" w:sz="8" w:color="E5E5E5"/>
            </w:tcBorders>
          </w:tcPr>
          <w:p>
            <w:pPr>
              <w:spacing w:after="0"/>
              <w:rPr>
                <w:sz w:val="20"/>
                <w:szCs w:val="20"/>
                <w:color w:val="auto"/>
              </w:rPr>
            </w:pPr>
          </w:p>
        </w:tc>
        <w:tc>
          <w:tcPr>
            <w:tcW w:w="1080" w:type="dxa"/>
            <w:vAlign w:val="bottom"/>
            <w:tcBorders>
              <w:right w:val="single" w:sz="8" w:color="E5E5E5"/>
            </w:tcBorders>
          </w:tcPr>
          <w:p>
            <w:pPr>
              <w:jc w:val="right"/>
              <w:spacing w:after="0"/>
              <w:rPr>
                <w:sz w:val="20"/>
                <w:szCs w:val="20"/>
                <w:color w:val="auto"/>
              </w:rPr>
            </w:pPr>
            <w:r>
              <w:rPr>
                <w:rFonts w:ascii="Arial" w:cs="Arial" w:eastAsia="Arial" w:hAnsi="Arial"/>
                <w:sz w:val="16"/>
                <w:szCs w:val="16"/>
                <w:color w:val="auto"/>
              </w:rPr>
              <w:t>2/20/24</w:t>
            </w:r>
          </w:p>
        </w:tc>
        <w:tc>
          <w:tcPr>
            <w:tcW w:w="1260" w:type="dxa"/>
            <w:vAlign w:val="bottom"/>
          </w:tcPr>
          <w:p>
            <w:pPr>
              <w:jc w:val="right"/>
              <w:spacing w:after="0"/>
              <w:rPr>
                <w:sz w:val="20"/>
                <w:szCs w:val="20"/>
                <w:color w:val="auto"/>
              </w:rPr>
            </w:pPr>
            <w:r>
              <w:rPr>
                <w:rFonts w:ascii="Arial" w:cs="Arial" w:eastAsia="Arial" w:hAnsi="Arial"/>
                <w:sz w:val="16"/>
                <w:szCs w:val="16"/>
                <w:color w:val="auto"/>
              </w:rPr>
              <w:t>1,752</w:t>
            </w:r>
          </w:p>
        </w:tc>
        <w:tc>
          <w:tcPr>
            <w:tcW w:w="320" w:type="dxa"/>
            <w:vAlign w:val="bottom"/>
            <w:tcBorders>
              <w:right w:val="single" w:sz="8" w:color="E5E5E5"/>
            </w:tcBorders>
          </w:tcPr>
          <w:p>
            <w:pPr>
              <w:jc w:val="right"/>
              <w:ind w:right="107"/>
              <w:spacing w:after="0"/>
              <w:rPr>
                <w:sz w:val="20"/>
                <w:szCs w:val="20"/>
                <w:color w:val="auto"/>
              </w:rPr>
            </w:pPr>
            <w:r>
              <w:rPr>
                <w:rFonts w:ascii="Arial" w:cs="Arial" w:eastAsia="Arial" w:hAnsi="Arial"/>
                <w:sz w:val="11"/>
                <w:szCs w:val="11"/>
                <w:color w:val="auto"/>
              </w:rPr>
              <w:t>(6)</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right w:val="single" w:sz="8" w:color="E5E5E5"/>
            </w:tcBorders>
          </w:tcPr>
          <w:p>
            <w:pPr>
              <w:jc w:val="right"/>
              <w:ind w:right="119"/>
              <w:spacing w:after="0"/>
              <w:rPr>
                <w:sz w:val="20"/>
                <w:szCs w:val="20"/>
                <w:color w:val="auto"/>
              </w:rPr>
            </w:pPr>
            <w:r>
              <w:rPr>
                <w:rFonts w:ascii="Arial" w:cs="Arial" w:eastAsia="Arial" w:hAnsi="Arial"/>
                <w:sz w:val="16"/>
                <w:szCs w:val="16"/>
                <w:color w:val="auto"/>
              </w:rPr>
              <w:t>425,789</w:t>
            </w:r>
          </w:p>
        </w:tc>
        <w:tc>
          <w:tcPr>
            <w:tcW w:w="1840" w:type="dxa"/>
            <w:vAlign w:val="bottom"/>
          </w:tcPr>
          <w:p>
            <w:pPr>
              <w:jc w:val="right"/>
              <w:spacing w:after="0"/>
              <w:rPr>
                <w:sz w:val="20"/>
                <w:szCs w:val="20"/>
                <w:color w:val="auto"/>
              </w:rPr>
            </w:pPr>
            <w:r>
              <w:rPr>
                <w:rFonts w:ascii="Arial" w:cs="Arial" w:eastAsia="Arial" w:hAnsi="Arial"/>
                <w:sz w:val="16"/>
                <w:szCs w:val="16"/>
                <w:color w:val="auto"/>
              </w:rPr>
              <w:t>3,942</w:t>
            </w:r>
          </w:p>
        </w:tc>
        <w:tc>
          <w:tcPr>
            <w:tcW w:w="300" w:type="dxa"/>
            <w:vAlign w:val="bottom"/>
            <w:tcBorders>
              <w:right w:val="single" w:sz="8" w:color="E5E5E5"/>
            </w:tcBorders>
          </w:tcPr>
          <w:p>
            <w:pPr>
              <w:jc w:val="right"/>
              <w:ind w:right="87"/>
              <w:spacing w:after="0"/>
              <w:rPr>
                <w:sz w:val="20"/>
                <w:szCs w:val="20"/>
                <w:color w:val="auto"/>
              </w:rPr>
            </w:pPr>
            <w:r>
              <w:rPr>
                <w:rFonts w:ascii="Arial" w:cs="Arial" w:eastAsia="Arial" w:hAnsi="Arial"/>
                <w:sz w:val="11"/>
                <w:szCs w:val="11"/>
                <w:color w:val="auto"/>
              </w:rPr>
              <w:t>(7)</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2540" w:type="dxa"/>
            <w:vAlign w:val="bottom"/>
            <w:tcBorders>
              <w:right w:val="single" w:sz="8" w:color="E5E5E5"/>
            </w:tcBorders>
          </w:tcPr>
          <w:p>
            <w:pPr>
              <w:jc w:val="right"/>
              <w:ind w:right="119"/>
              <w:spacing w:after="0"/>
              <w:rPr>
                <w:sz w:val="20"/>
                <w:szCs w:val="20"/>
                <w:color w:val="auto"/>
              </w:rPr>
            </w:pPr>
            <w:r>
              <w:rPr>
                <w:rFonts w:ascii="Arial" w:cs="Arial" w:eastAsia="Arial" w:hAnsi="Arial"/>
                <w:sz w:val="16"/>
                <w:szCs w:val="16"/>
                <w:color w:val="auto"/>
              </w:rPr>
              <w:t>958,024</w:t>
            </w:r>
          </w:p>
        </w:tc>
        <w:tc>
          <w:tcPr>
            <w:tcW w:w="0" w:type="dxa"/>
            <w:vAlign w:val="bottom"/>
          </w:tcPr>
          <w:p>
            <w:pPr>
              <w:spacing w:after="0"/>
              <w:rPr>
                <w:sz w:val="1"/>
                <w:szCs w:val="1"/>
                <w:color w:val="auto"/>
              </w:rPr>
            </w:pPr>
          </w:p>
        </w:tc>
      </w:tr>
      <w:tr>
        <w:trPr>
          <w:trHeight w:val="244"/>
        </w:trPr>
        <w:tc>
          <w:tcPr>
            <w:tcW w:w="2060" w:type="dxa"/>
            <w:vAlign w:val="bottom"/>
            <w:tcBorders>
              <w:left w:val="single" w:sz="8" w:color="E5E5E5"/>
              <w:right w:val="single" w:sz="8" w:color="E5E5E5"/>
            </w:tcBorders>
            <w:shd w:val="clear" w:color="auto" w:fill="DBDBDB"/>
          </w:tcPr>
          <w:p>
            <w:pPr>
              <w:ind w:left="40"/>
              <w:spacing w:after="0" w:line="231" w:lineRule="exact"/>
              <w:rPr>
                <w:sz w:val="20"/>
                <w:szCs w:val="20"/>
                <w:color w:val="auto"/>
              </w:rPr>
            </w:pPr>
            <w:r>
              <w:rPr>
                <w:rFonts w:ascii="Arial" w:cs="Arial" w:eastAsia="Arial" w:hAnsi="Arial"/>
                <w:sz w:val="16"/>
                <w:szCs w:val="16"/>
                <w:color w:val="auto"/>
              </w:rPr>
              <w:t>Miran Maric</w:t>
            </w:r>
            <w:r>
              <w:rPr>
                <w:rFonts w:ascii="Arial" w:cs="Arial" w:eastAsia="Arial" w:hAnsi="Arial"/>
                <w:sz w:val="21"/>
                <w:szCs w:val="21"/>
                <w:color w:val="auto"/>
                <w:vertAlign w:val="superscript"/>
              </w:rPr>
              <w:t>(8)</w:t>
            </w:r>
          </w:p>
        </w:tc>
        <w:tc>
          <w:tcPr>
            <w:tcW w:w="1080" w:type="dxa"/>
            <w:vAlign w:val="bottom"/>
            <w:tcBorders>
              <w:right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right w:val="single" w:sz="8" w:color="E5E5E5"/>
            </w:tcBorders>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580" w:type="dxa"/>
            <w:vAlign w:val="bottom"/>
            <w:tcBorders>
              <w:right w:val="single" w:sz="8" w:color="E5E5E5"/>
            </w:tcBorders>
            <w:shd w:val="clear" w:color="auto" w:fill="DBDBDB"/>
          </w:tcPr>
          <w:p>
            <w:pPr>
              <w:jc w:val="right"/>
              <w:ind w:right="119"/>
              <w:spacing w:after="0"/>
              <w:rPr>
                <w:sz w:val="20"/>
                <w:szCs w:val="20"/>
                <w:color w:val="auto"/>
              </w:rPr>
            </w:pPr>
            <w:r>
              <w:rPr>
                <w:rFonts w:ascii="Arial" w:cs="Arial" w:eastAsia="Arial" w:hAnsi="Arial"/>
                <w:sz w:val="16"/>
                <w:szCs w:val="16"/>
                <w:color w:val="auto"/>
              </w:rPr>
              <w:t>—</w:t>
            </w:r>
          </w:p>
        </w:tc>
        <w:tc>
          <w:tcPr>
            <w:tcW w:w="18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right w:val="single" w:sz="8" w:color="E5E5E5"/>
            </w:tcBorders>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2540" w:type="dxa"/>
            <w:vAlign w:val="bottom"/>
            <w:tcBorders>
              <w:right w:val="single" w:sz="8" w:color="E5E5E5"/>
            </w:tcBorders>
            <w:shd w:val="clear" w:color="auto" w:fill="DBDBDB"/>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320" w:hanging="312"/>
        <w:spacing w:after="0"/>
        <w:tabs>
          <w:tab w:leader="none" w:pos="3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All information in the “Stock Awards” portion of the table relates to awards of shares of restricted stock units and performance share unit awards.</w:t>
      </w:r>
    </w:p>
    <w:p>
      <w:pPr>
        <w:spacing w:after="0" w:line="72" w:lineRule="exact"/>
        <w:rPr>
          <w:rFonts w:ascii="Arial" w:cs="Arial" w:eastAsia="Arial" w:hAnsi="Arial"/>
          <w:sz w:val="16"/>
          <w:szCs w:val="16"/>
          <w:color w:val="auto"/>
        </w:rPr>
      </w:pPr>
    </w:p>
    <w:p>
      <w:pPr>
        <w:ind w:left="320" w:hanging="312"/>
        <w:spacing w:after="0"/>
        <w:tabs>
          <w:tab w:leader="none" w:pos="3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Based on a stock price of $243.03, the closing price of our common stock on December 31, 2024, the last business day of fiscal 2024.</w:t>
      </w:r>
    </w:p>
    <w:p>
      <w:pPr>
        <w:spacing w:after="0" w:line="59" w:lineRule="exact"/>
        <w:rPr>
          <w:rFonts w:ascii="Arial" w:cs="Arial" w:eastAsia="Arial" w:hAnsi="Arial"/>
          <w:sz w:val="16"/>
          <w:szCs w:val="16"/>
          <w:color w:val="auto"/>
        </w:rPr>
      </w:pPr>
    </w:p>
    <w:p>
      <w:pPr>
        <w:ind w:left="340" w:right="280" w:hanging="332"/>
        <w:spacing w:after="0" w:line="275" w:lineRule="auto"/>
        <w:tabs>
          <w:tab w:leader="none" w:pos="335" w:val="left"/>
        </w:tabs>
        <w:numPr>
          <w:ilvl w:val="0"/>
          <w:numId w:val="54"/>
        </w:numPr>
        <w:rPr>
          <w:rFonts w:ascii="Arial" w:cs="Arial" w:eastAsia="Arial" w:hAnsi="Arial"/>
          <w:sz w:val="16"/>
          <w:szCs w:val="16"/>
          <w:color w:val="auto"/>
        </w:rPr>
      </w:pPr>
      <w:r>
        <w:rPr>
          <w:rFonts w:ascii="Arial" w:cs="Arial" w:eastAsia="Arial" w:hAnsi="Arial"/>
          <w:sz w:val="16"/>
          <w:szCs w:val="16"/>
          <w:color w:val="auto"/>
        </w:rPr>
        <w:t>Represents the aggregate payout value of performance shares underlying each award of performance share units that has not yet been earned as of fiscal year-end, calculated by multiplying the maximum number of performance share units by $243.03, the closing price of our common stock on December 31, 2024, the last business day of fiscal 2024.</w:t>
      </w:r>
    </w:p>
    <w:p>
      <w:pPr>
        <w:spacing w:after="0" w:line="2" w:lineRule="exact"/>
        <w:rPr>
          <w:rFonts w:ascii="Arial" w:cs="Arial" w:eastAsia="Arial" w:hAnsi="Arial"/>
          <w:sz w:val="16"/>
          <w:szCs w:val="16"/>
          <w:color w:val="auto"/>
        </w:rPr>
      </w:pPr>
    </w:p>
    <w:p>
      <w:pPr>
        <w:ind w:left="320" w:hanging="312"/>
        <w:spacing w:after="0"/>
        <w:tabs>
          <w:tab w:leader="none" w:pos="3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This unvested portion of the restricted share units or earned performance share units vests on the third anniversary of the grant date.</w:t>
      </w:r>
    </w:p>
    <w:p>
      <w:pPr>
        <w:spacing w:after="0" w:line="72" w:lineRule="exact"/>
        <w:rPr>
          <w:rFonts w:ascii="Arial" w:cs="Arial" w:eastAsia="Arial" w:hAnsi="Arial"/>
          <w:sz w:val="16"/>
          <w:szCs w:val="16"/>
          <w:color w:val="auto"/>
        </w:rPr>
      </w:pPr>
    </w:p>
    <w:p>
      <w:pPr>
        <w:ind w:left="340" w:right="20" w:hanging="332"/>
        <w:spacing w:after="0" w:line="281" w:lineRule="auto"/>
        <w:tabs>
          <w:tab w:leader="none" w:pos="335"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This unvested portion of the restricted share units or earned performance share units vests in substantially equal installments on each of the second and third anniversaries of the grant date.</w:t>
      </w:r>
    </w:p>
    <w:p>
      <w:pPr>
        <w:spacing w:after="0" w:line="1" w:lineRule="exact"/>
        <w:rPr>
          <w:rFonts w:ascii="Arial" w:cs="Arial" w:eastAsia="Arial" w:hAnsi="Arial"/>
          <w:sz w:val="16"/>
          <w:szCs w:val="16"/>
          <w:color w:val="auto"/>
        </w:rPr>
      </w:pPr>
    </w:p>
    <w:p>
      <w:pPr>
        <w:ind w:left="340" w:right="280" w:hanging="332"/>
        <w:spacing w:after="0" w:line="290" w:lineRule="auto"/>
        <w:tabs>
          <w:tab w:leader="none" w:pos="335"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This unvested portion of the restricted share units or earned performance share units vest in substantially equal installments on each of the first three anniversaries of the grant date.</w:t>
      </w:r>
    </w:p>
    <w:p>
      <w:pPr>
        <w:ind w:left="340" w:right="380" w:hanging="332"/>
        <w:spacing w:after="0" w:line="265" w:lineRule="auto"/>
        <w:tabs>
          <w:tab w:leader="none" w:pos="335"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These performance share units can be earned based on performance achievement during the 2024 performance period, as further described in the “Compensation Discussion and Analysis.” One-third of the earned award vests on the later of the first anniversary of the grant date and the date on which the Committee determines performance achievement for the award. The remaining portion of the earned award vests in substantially equal installments on each of the second and third anniversaries of the date of grant. The amount in this column assumes payout at the maximum level of performance.</w:t>
      </w:r>
    </w:p>
    <w:p>
      <w:pPr>
        <w:spacing w:after="0" w:line="10" w:lineRule="exact"/>
        <w:rPr>
          <w:rFonts w:ascii="Arial" w:cs="Arial" w:eastAsia="Arial" w:hAnsi="Arial"/>
          <w:sz w:val="16"/>
          <w:szCs w:val="16"/>
          <w:color w:val="auto"/>
        </w:rPr>
      </w:pPr>
    </w:p>
    <w:p>
      <w:pPr>
        <w:ind w:left="340" w:right="640" w:hanging="332"/>
        <w:spacing w:after="0" w:line="304" w:lineRule="auto"/>
        <w:tabs>
          <w:tab w:leader="none" w:pos="335" w:val="left"/>
        </w:tabs>
        <w:numPr>
          <w:ilvl w:val="0"/>
          <w:numId w:val="54"/>
        </w:numPr>
        <w:rPr>
          <w:rFonts w:ascii="Arial" w:cs="Arial" w:eastAsia="Arial" w:hAnsi="Arial"/>
          <w:sz w:val="16"/>
          <w:szCs w:val="16"/>
          <w:color w:val="auto"/>
        </w:rPr>
      </w:pPr>
      <w:r>
        <w:rPr>
          <w:rFonts w:ascii="Arial" w:cs="Arial" w:eastAsia="Arial" w:hAnsi="Arial"/>
          <w:sz w:val="16"/>
          <w:szCs w:val="16"/>
          <w:color w:val="auto"/>
        </w:rPr>
        <w:t>Mr. Maric resigned as Senior Vice President, Strategy &amp; Innovation effective November 14, 2024. Upon his voluntary termination, he forfeited all unvested performance share units and restricted share units.</w:t>
      </w:r>
    </w:p>
    <w:p>
      <w:pPr>
        <w:spacing w:after="0" w:line="29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2024 Option Exercises and Stock Vested</w:t>
      </w:r>
    </w:p>
    <w:p>
      <w:pPr>
        <w:spacing w:after="0" w:line="68"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6000" w:type="dxa"/>
            <w:vAlign w:val="bottom"/>
            <w:tcBorders>
              <w:left w:val="single" w:sz="8" w:color="E5E5E5"/>
              <w:right w:val="single" w:sz="8" w:color="E5E5E5"/>
            </w:tcBorders>
            <w:shd w:val="clear" w:color="auto" w:fill="D91E18"/>
          </w:tcPr>
          <w:p>
            <w:pPr>
              <w:spacing w:after="0"/>
              <w:rPr>
                <w:sz w:val="22"/>
                <w:szCs w:val="22"/>
                <w:color w:val="auto"/>
              </w:rPr>
            </w:pPr>
          </w:p>
        </w:tc>
        <w:tc>
          <w:tcPr>
            <w:tcW w:w="5260" w:type="dxa"/>
            <w:vAlign w:val="bottom"/>
            <w:tcBorders>
              <w:right w:val="single" w:sz="8" w:color="E5E5E5"/>
            </w:tcBorders>
            <w:gridSpan w:val="3"/>
            <w:shd w:val="clear" w:color="auto" w:fill="D91E18"/>
          </w:tcPr>
          <w:p>
            <w:pPr>
              <w:jc w:val="right"/>
              <w:ind w:right="1970"/>
              <w:spacing w:after="0"/>
              <w:rPr>
                <w:sz w:val="20"/>
                <w:szCs w:val="20"/>
                <w:color w:val="auto"/>
              </w:rPr>
            </w:pPr>
            <w:r>
              <w:rPr>
                <w:rFonts w:ascii="Arial" w:cs="Arial" w:eastAsia="Arial" w:hAnsi="Arial"/>
                <w:sz w:val="18"/>
                <w:szCs w:val="18"/>
                <w:b w:val="1"/>
                <w:bCs w:val="1"/>
                <w:color w:val="FFFFFF"/>
              </w:rPr>
              <w:t>Stock Awards</w:t>
            </w:r>
          </w:p>
        </w:tc>
        <w:tc>
          <w:tcPr>
            <w:tcW w:w="0" w:type="dxa"/>
            <w:vAlign w:val="bottom"/>
          </w:tcPr>
          <w:p>
            <w:pPr>
              <w:spacing w:after="0"/>
              <w:rPr>
                <w:sz w:val="1"/>
                <w:szCs w:val="1"/>
                <w:color w:val="auto"/>
              </w:rPr>
            </w:pPr>
          </w:p>
        </w:tc>
      </w:tr>
      <w:tr>
        <w:trPr>
          <w:trHeight w:val="182"/>
        </w:trPr>
        <w:tc>
          <w:tcPr>
            <w:tcW w:w="6000" w:type="dxa"/>
            <w:vAlign w:val="bottom"/>
            <w:tcBorders>
              <w:left w:val="single" w:sz="8" w:color="E5E5E5"/>
              <w:right w:val="single" w:sz="8" w:color="E5E5E5"/>
            </w:tcBorders>
            <w:vMerge w:val="restart"/>
            <w:shd w:val="clear" w:color="auto" w:fill="D91E18"/>
          </w:tcPr>
          <w:p>
            <w:pPr>
              <w:ind w:left="80"/>
              <w:spacing w:after="0"/>
              <w:rPr>
                <w:sz w:val="20"/>
                <w:szCs w:val="20"/>
                <w:color w:val="auto"/>
              </w:rPr>
            </w:pPr>
            <w:r>
              <w:rPr>
                <w:rFonts w:ascii="Arial" w:cs="Arial" w:eastAsia="Arial" w:hAnsi="Arial"/>
                <w:sz w:val="18"/>
                <w:szCs w:val="18"/>
                <w:b w:val="1"/>
                <w:bCs w:val="1"/>
                <w:color w:val="FFFFFF"/>
              </w:rPr>
              <w:t>Name</w:t>
            </w:r>
          </w:p>
        </w:tc>
        <w:tc>
          <w:tcPr>
            <w:tcW w:w="2620" w:type="dxa"/>
            <w:vAlign w:val="bottom"/>
            <w:tcBorders>
              <w:right w:val="single" w:sz="8" w:color="E5E5E5"/>
            </w:tcBorders>
            <w:shd w:val="clear" w:color="auto" w:fill="D91E18"/>
          </w:tcPr>
          <w:p>
            <w:pPr>
              <w:jc w:val="right"/>
              <w:ind w:right="50"/>
              <w:spacing w:after="0" w:line="182" w:lineRule="exact"/>
              <w:rPr>
                <w:sz w:val="20"/>
                <w:szCs w:val="20"/>
                <w:color w:val="auto"/>
              </w:rPr>
            </w:pPr>
            <w:r>
              <w:rPr>
                <w:rFonts w:ascii="Arial" w:cs="Arial" w:eastAsia="Arial" w:hAnsi="Arial"/>
                <w:sz w:val="18"/>
                <w:szCs w:val="18"/>
                <w:b w:val="1"/>
                <w:bCs w:val="1"/>
                <w:color w:val="FFFFFF"/>
              </w:rPr>
              <w:t>Number of Shares Acquired</w:t>
            </w:r>
          </w:p>
        </w:tc>
        <w:tc>
          <w:tcPr>
            <w:tcW w:w="120" w:type="dxa"/>
            <w:vAlign w:val="bottom"/>
            <w:shd w:val="clear" w:color="auto" w:fill="D91E18"/>
          </w:tcPr>
          <w:p>
            <w:pPr>
              <w:spacing w:after="0"/>
              <w:rPr>
                <w:sz w:val="15"/>
                <w:szCs w:val="15"/>
                <w:color w:val="auto"/>
              </w:rPr>
            </w:pPr>
          </w:p>
        </w:tc>
        <w:tc>
          <w:tcPr>
            <w:tcW w:w="2520" w:type="dxa"/>
            <w:vAlign w:val="bottom"/>
            <w:tcBorders>
              <w:right w:val="single" w:sz="8" w:color="E5E5E5"/>
            </w:tcBorders>
            <w:vMerge w:val="restart"/>
            <w:shd w:val="clear" w:color="auto" w:fill="D91E18"/>
          </w:tcPr>
          <w:p>
            <w:pPr>
              <w:jc w:val="right"/>
              <w:ind w:right="70"/>
              <w:spacing w:after="0"/>
              <w:rPr>
                <w:sz w:val="20"/>
                <w:szCs w:val="20"/>
                <w:color w:val="auto"/>
              </w:rPr>
            </w:pPr>
            <w:r>
              <w:rPr>
                <w:rFonts w:ascii="Arial" w:cs="Arial" w:eastAsia="Arial" w:hAnsi="Arial"/>
                <w:sz w:val="18"/>
                <w:szCs w:val="18"/>
                <w:b w:val="1"/>
                <w:bCs w:val="1"/>
                <w:color w:val="FFFFFF"/>
                <w:w w:val="96"/>
              </w:rPr>
              <w:t>Value Realized on Vesting</w:t>
            </w:r>
            <w:r>
              <w:rPr>
                <w:rFonts w:ascii="Arial" w:cs="Arial" w:eastAsia="Arial" w:hAnsi="Arial"/>
                <w:sz w:val="23"/>
                <w:szCs w:val="23"/>
                <w:b w:val="1"/>
                <w:bCs w:val="1"/>
                <w:color w:val="FFFFFF"/>
                <w:w w:val="96"/>
                <w:vertAlign w:val="superscript"/>
              </w:rPr>
              <w:t>(1)</w:t>
            </w:r>
          </w:p>
        </w:tc>
        <w:tc>
          <w:tcPr>
            <w:tcW w:w="0" w:type="dxa"/>
            <w:vAlign w:val="bottom"/>
          </w:tcPr>
          <w:p>
            <w:pPr>
              <w:spacing w:after="0"/>
              <w:rPr>
                <w:sz w:val="1"/>
                <w:szCs w:val="1"/>
                <w:color w:val="auto"/>
              </w:rPr>
            </w:pPr>
          </w:p>
        </w:tc>
      </w:tr>
      <w:tr>
        <w:trPr>
          <w:trHeight w:val="250"/>
        </w:trPr>
        <w:tc>
          <w:tcPr>
            <w:tcW w:w="6000" w:type="dxa"/>
            <w:vAlign w:val="bottom"/>
            <w:tcBorders>
              <w:left w:val="single" w:sz="8" w:color="E5E5E5"/>
              <w:right w:val="single" w:sz="8" w:color="E5E5E5"/>
            </w:tcBorders>
            <w:vMerge w:val="continue"/>
            <w:shd w:val="clear" w:color="auto" w:fill="D91E18"/>
          </w:tcPr>
          <w:p>
            <w:pPr>
              <w:spacing w:after="0"/>
              <w:rPr>
                <w:sz w:val="21"/>
                <w:szCs w:val="21"/>
                <w:color w:val="auto"/>
              </w:rPr>
            </w:pPr>
          </w:p>
        </w:tc>
        <w:tc>
          <w:tcPr>
            <w:tcW w:w="2620" w:type="dxa"/>
            <w:vAlign w:val="bottom"/>
            <w:tcBorders>
              <w:right w:val="single" w:sz="8" w:color="E5E5E5"/>
            </w:tcBorders>
            <w:shd w:val="clear" w:color="auto" w:fill="D91E18"/>
          </w:tcPr>
          <w:p>
            <w:pPr>
              <w:jc w:val="right"/>
              <w:ind w:right="790"/>
              <w:spacing w:after="0"/>
              <w:rPr>
                <w:sz w:val="20"/>
                <w:szCs w:val="20"/>
                <w:color w:val="auto"/>
              </w:rPr>
            </w:pPr>
            <w:r>
              <w:rPr>
                <w:rFonts w:ascii="Arial" w:cs="Arial" w:eastAsia="Arial" w:hAnsi="Arial"/>
                <w:sz w:val="18"/>
                <w:szCs w:val="18"/>
                <w:b w:val="1"/>
                <w:bCs w:val="1"/>
                <w:color w:val="FFFFFF"/>
              </w:rPr>
              <w:t>on Vesting</w:t>
            </w:r>
          </w:p>
        </w:tc>
        <w:tc>
          <w:tcPr>
            <w:tcW w:w="120" w:type="dxa"/>
            <w:vAlign w:val="bottom"/>
            <w:shd w:val="clear" w:color="auto" w:fill="D91E18"/>
          </w:tcPr>
          <w:p>
            <w:pPr>
              <w:spacing w:after="0"/>
              <w:rPr>
                <w:sz w:val="21"/>
                <w:szCs w:val="21"/>
                <w:color w:val="auto"/>
              </w:rPr>
            </w:pPr>
          </w:p>
        </w:tc>
        <w:tc>
          <w:tcPr>
            <w:tcW w:w="2520" w:type="dxa"/>
            <w:vAlign w:val="bottom"/>
            <w:tcBorders>
              <w:right w:val="single" w:sz="8" w:color="E5E5E5"/>
            </w:tcBorders>
            <w:vMerge w:val="continue"/>
            <w:shd w:val="clear" w:color="auto" w:fill="D91E18"/>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000" w:type="dxa"/>
            <w:vAlign w:val="bottom"/>
            <w:tcBorders>
              <w:left w:val="single" w:sz="8" w:color="E5E5E5"/>
              <w:right w:val="single" w:sz="8" w:color="E5E5E5"/>
            </w:tcBorders>
            <w:shd w:val="clear" w:color="auto" w:fill="DBDBDB"/>
          </w:tcPr>
          <w:p>
            <w:pPr>
              <w:ind w:left="40"/>
              <w:spacing w:after="0"/>
              <w:rPr>
                <w:sz w:val="20"/>
                <w:szCs w:val="20"/>
                <w:color w:val="auto"/>
              </w:rPr>
            </w:pPr>
            <w:r>
              <w:rPr>
                <w:rFonts w:ascii="Arial" w:cs="Arial" w:eastAsia="Arial" w:hAnsi="Arial"/>
                <w:sz w:val="18"/>
                <w:szCs w:val="18"/>
                <w:color w:val="auto"/>
              </w:rPr>
              <w:t>David W. Hult</w:t>
            </w:r>
          </w:p>
        </w:tc>
        <w:tc>
          <w:tcPr>
            <w:tcW w:w="2620" w:type="dxa"/>
            <w:vAlign w:val="bottom"/>
            <w:tcBorders>
              <w:right w:val="single" w:sz="8" w:color="E5E5E5"/>
            </w:tcBorders>
            <w:shd w:val="clear" w:color="auto" w:fill="DBDBDB"/>
          </w:tcPr>
          <w:p>
            <w:pPr>
              <w:jc w:val="right"/>
              <w:ind w:right="110"/>
              <w:spacing w:after="0"/>
              <w:rPr>
                <w:sz w:val="20"/>
                <w:szCs w:val="20"/>
                <w:color w:val="auto"/>
              </w:rPr>
            </w:pPr>
            <w:r>
              <w:rPr>
                <w:rFonts w:ascii="Arial" w:cs="Arial" w:eastAsia="Arial" w:hAnsi="Arial"/>
                <w:sz w:val="18"/>
                <w:szCs w:val="18"/>
                <w:color w:val="auto"/>
              </w:rPr>
              <w:t>23,593</w:t>
            </w:r>
          </w:p>
        </w:tc>
        <w:tc>
          <w:tcPr>
            <w:tcW w:w="120" w:type="dxa"/>
            <w:vAlign w:val="bottom"/>
            <w:shd w:val="clear" w:color="auto" w:fill="DBDBDB"/>
          </w:tcPr>
          <w:p>
            <w:pPr>
              <w:jc w:val="right"/>
              <w:spacing w:after="0"/>
              <w:rPr>
                <w:sz w:val="20"/>
                <w:szCs w:val="20"/>
                <w:color w:val="auto"/>
              </w:rPr>
            </w:pPr>
            <w:r>
              <w:rPr>
                <w:rFonts w:ascii="Arial" w:cs="Arial" w:eastAsia="Arial" w:hAnsi="Arial"/>
                <w:sz w:val="18"/>
                <w:szCs w:val="18"/>
                <w:color w:val="auto"/>
                <w:w w:val="79"/>
              </w:rPr>
              <w:t>$</w:t>
            </w:r>
          </w:p>
        </w:tc>
        <w:tc>
          <w:tcPr>
            <w:tcW w:w="2520" w:type="dxa"/>
            <w:vAlign w:val="bottom"/>
            <w:tcBorders>
              <w:right w:val="single" w:sz="8" w:color="E5E5E5"/>
            </w:tcBorders>
            <w:shd w:val="clear" w:color="auto" w:fill="DBDBDB"/>
          </w:tcPr>
          <w:p>
            <w:pPr>
              <w:jc w:val="right"/>
              <w:ind w:right="110"/>
              <w:spacing w:after="0"/>
              <w:rPr>
                <w:sz w:val="20"/>
                <w:szCs w:val="20"/>
                <w:color w:val="auto"/>
              </w:rPr>
            </w:pPr>
            <w:r>
              <w:rPr>
                <w:rFonts w:ascii="Arial" w:cs="Arial" w:eastAsia="Arial" w:hAnsi="Arial"/>
                <w:sz w:val="18"/>
                <w:szCs w:val="18"/>
                <w:color w:val="auto"/>
              </w:rPr>
              <w:t>5,084,531</w:t>
            </w:r>
          </w:p>
        </w:tc>
        <w:tc>
          <w:tcPr>
            <w:tcW w:w="0" w:type="dxa"/>
            <w:vAlign w:val="bottom"/>
          </w:tcPr>
          <w:p>
            <w:pPr>
              <w:spacing w:after="0"/>
              <w:rPr>
                <w:sz w:val="1"/>
                <w:szCs w:val="1"/>
                <w:color w:val="auto"/>
              </w:rPr>
            </w:pPr>
          </w:p>
        </w:tc>
      </w:tr>
      <w:tr>
        <w:trPr>
          <w:trHeight w:val="229"/>
        </w:trPr>
        <w:tc>
          <w:tcPr>
            <w:tcW w:w="6000" w:type="dxa"/>
            <w:vAlign w:val="bottom"/>
            <w:tcBorders>
              <w:left w:val="single" w:sz="8" w:color="E5E5E5"/>
              <w:right w:val="single" w:sz="8" w:color="E5E5E5"/>
            </w:tcBorders>
          </w:tcPr>
          <w:p>
            <w:pPr>
              <w:ind w:left="40"/>
              <w:spacing w:after="0"/>
              <w:rPr>
                <w:sz w:val="20"/>
                <w:szCs w:val="20"/>
                <w:color w:val="auto"/>
              </w:rPr>
            </w:pPr>
            <w:r>
              <w:rPr>
                <w:rFonts w:ascii="Arial" w:cs="Arial" w:eastAsia="Arial" w:hAnsi="Arial"/>
                <w:sz w:val="18"/>
                <w:szCs w:val="18"/>
                <w:color w:val="auto"/>
              </w:rPr>
              <w:t>Michael Welch</w:t>
            </w:r>
          </w:p>
        </w:tc>
        <w:tc>
          <w:tcPr>
            <w:tcW w:w="2620" w:type="dxa"/>
            <w:vAlign w:val="bottom"/>
            <w:tcBorders>
              <w:right w:val="single" w:sz="8" w:color="E5E5E5"/>
            </w:tcBorders>
          </w:tcPr>
          <w:p>
            <w:pPr>
              <w:jc w:val="right"/>
              <w:ind w:right="110"/>
              <w:spacing w:after="0"/>
              <w:rPr>
                <w:sz w:val="20"/>
                <w:szCs w:val="20"/>
                <w:color w:val="auto"/>
              </w:rPr>
            </w:pPr>
            <w:r>
              <w:rPr>
                <w:rFonts w:ascii="Arial" w:cs="Arial" w:eastAsia="Arial" w:hAnsi="Arial"/>
                <w:sz w:val="18"/>
                <w:szCs w:val="18"/>
                <w:color w:val="auto"/>
              </w:rPr>
              <w:t>3,735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520" w:type="dxa"/>
            <w:vAlign w:val="bottom"/>
            <w:tcBorders>
              <w:right w:val="single" w:sz="8" w:color="E5E5E5"/>
            </w:tcBorders>
          </w:tcPr>
          <w:p>
            <w:pPr>
              <w:jc w:val="right"/>
              <w:ind w:right="110"/>
              <w:spacing w:after="0"/>
              <w:rPr>
                <w:sz w:val="20"/>
                <w:szCs w:val="20"/>
                <w:color w:val="auto"/>
              </w:rPr>
            </w:pPr>
            <w:r>
              <w:rPr>
                <w:rFonts w:ascii="Arial" w:cs="Arial" w:eastAsia="Arial" w:hAnsi="Arial"/>
                <w:sz w:val="18"/>
                <w:szCs w:val="18"/>
                <w:color w:val="auto"/>
              </w:rPr>
              <w:t>826,007</w:t>
            </w:r>
          </w:p>
        </w:tc>
        <w:tc>
          <w:tcPr>
            <w:tcW w:w="0" w:type="dxa"/>
            <w:vAlign w:val="bottom"/>
          </w:tcPr>
          <w:p>
            <w:pPr>
              <w:spacing w:after="0"/>
              <w:rPr>
                <w:sz w:val="1"/>
                <w:szCs w:val="1"/>
                <w:color w:val="auto"/>
              </w:rPr>
            </w:pPr>
          </w:p>
        </w:tc>
      </w:tr>
      <w:tr>
        <w:trPr>
          <w:trHeight w:val="257"/>
        </w:trPr>
        <w:tc>
          <w:tcPr>
            <w:tcW w:w="6000" w:type="dxa"/>
            <w:vAlign w:val="bottom"/>
            <w:tcBorders>
              <w:left w:val="single" w:sz="8" w:color="E5E5E5"/>
              <w:right w:val="single" w:sz="8" w:color="E5E5E5"/>
            </w:tcBorders>
            <w:shd w:val="clear" w:color="auto" w:fill="DBDBDB"/>
          </w:tcPr>
          <w:p>
            <w:pPr>
              <w:ind w:left="40"/>
              <w:spacing w:after="0"/>
              <w:rPr>
                <w:sz w:val="20"/>
                <w:szCs w:val="20"/>
                <w:color w:val="auto"/>
              </w:rPr>
            </w:pPr>
            <w:r>
              <w:rPr>
                <w:rFonts w:ascii="Arial" w:cs="Arial" w:eastAsia="Arial" w:hAnsi="Arial"/>
                <w:sz w:val="18"/>
                <w:szCs w:val="18"/>
                <w:color w:val="auto"/>
              </w:rPr>
              <w:t>Daniel Clara</w:t>
            </w:r>
          </w:p>
        </w:tc>
        <w:tc>
          <w:tcPr>
            <w:tcW w:w="2620" w:type="dxa"/>
            <w:vAlign w:val="bottom"/>
            <w:tcBorders>
              <w:right w:val="single" w:sz="8" w:color="E5E5E5"/>
            </w:tcBorders>
            <w:shd w:val="clear" w:color="auto" w:fill="DBDBDB"/>
          </w:tcPr>
          <w:p>
            <w:pPr>
              <w:jc w:val="right"/>
              <w:ind w:right="110"/>
              <w:spacing w:after="0"/>
              <w:rPr>
                <w:sz w:val="20"/>
                <w:szCs w:val="20"/>
                <w:color w:val="auto"/>
              </w:rPr>
            </w:pPr>
            <w:r>
              <w:rPr>
                <w:rFonts w:ascii="Arial" w:cs="Arial" w:eastAsia="Arial" w:hAnsi="Arial"/>
                <w:sz w:val="18"/>
                <w:szCs w:val="18"/>
                <w:color w:val="auto"/>
              </w:rPr>
              <w:t>6,796</w:t>
            </w:r>
          </w:p>
        </w:tc>
        <w:tc>
          <w:tcPr>
            <w:tcW w:w="120" w:type="dxa"/>
            <w:vAlign w:val="bottom"/>
            <w:shd w:val="clear" w:color="auto" w:fill="DBDBDB"/>
          </w:tcPr>
          <w:p>
            <w:pPr>
              <w:jc w:val="right"/>
              <w:spacing w:after="0"/>
              <w:rPr>
                <w:sz w:val="20"/>
                <w:szCs w:val="20"/>
                <w:color w:val="auto"/>
              </w:rPr>
            </w:pPr>
            <w:r>
              <w:rPr>
                <w:rFonts w:ascii="Arial" w:cs="Arial" w:eastAsia="Arial" w:hAnsi="Arial"/>
                <w:sz w:val="18"/>
                <w:szCs w:val="18"/>
                <w:color w:val="auto"/>
                <w:w w:val="79"/>
              </w:rPr>
              <w:t>$</w:t>
            </w:r>
          </w:p>
        </w:tc>
        <w:tc>
          <w:tcPr>
            <w:tcW w:w="2520" w:type="dxa"/>
            <w:vAlign w:val="bottom"/>
            <w:tcBorders>
              <w:right w:val="single" w:sz="8" w:color="E5E5E5"/>
            </w:tcBorders>
            <w:shd w:val="clear" w:color="auto" w:fill="DBDBDB"/>
          </w:tcPr>
          <w:p>
            <w:pPr>
              <w:jc w:val="right"/>
              <w:ind w:right="110"/>
              <w:spacing w:after="0"/>
              <w:rPr>
                <w:sz w:val="20"/>
                <w:szCs w:val="20"/>
                <w:color w:val="auto"/>
              </w:rPr>
            </w:pPr>
            <w:r>
              <w:rPr>
                <w:rFonts w:ascii="Arial" w:cs="Arial" w:eastAsia="Arial" w:hAnsi="Arial"/>
                <w:sz w:val="18"/>
                <w:szCs w:val="18"/>
                <w:color w:val="auto"/>
              </w:rPr>
              <w:t>1,455,954</w:t>
            </w:r>
          </w:p>
        </w:tc>
        <w:tc>
          <w:tcPr>
            <w:tcW w:w="0" w:type="dxa"/>
            <w:vAlign w:val="bottom"/>
          </w:tcPr>
          <w:p>
            <w:pPr>
              <w:spacing w:after="0"/>
              <w:rPr>
                <w:sz w:val="1"/>
                <w:szCs w:val="1"/>
                <w:color w:val="auto"/>
              </w:rPr>
            </w:pPr>
          </w:p>
        </w:tc>
      </w:tr>
      <w:tr>
        <w:trPr>
          <w:trHeight w:val="230"/>
        </w:trPr>
        <w:tc>
          <w:tcPr>
            <w:tcW w:w="6000" w:type="dxa"/>
            <w:vAlign w:val="bottom"/>
            <w:tcBorders>
              <w:left w:val="single" w:sz="8" w:color="E5E5E5"/>
              <w:right w:val="single" w:sz="8" w:color="E5E5E5"/>
            </w:tcBorders>
          </w:tcPr>
          <w:p>
            <w:pPr>
              <w:ind w:left="40"/>
              <w:spacing w:after="0"/>
              <w:rPr>
                <w:sz w:val="20"/>
                <w:szCs w:val="20"/>
                <w:color w:val="auto"/>
              </w:rPr>
            </w:pPr>
            <w:r>
              <w:rPr>
                <w:rFonts w:ascii="Arial" w:cs="Arial" w:eastAsia="Arial" w:hAnsi="Arial"/>
                <w:sz w:val="18"/>
                <w:szCs w:val="18"/>
                <w:color w:val="auto"/>
              </w:rPr>
              <w:t>Jed Milstein</w:t>
            </w:r>
          </w:p>
        </w:tc>
        <w:tc>
          <w:tcPr>
            <w:tcW w:w="2620" w:type="dxa"/>
            <w:vAlign w:val="bottom"/>
            <w:tcBorders>
              <w:right w:val="single" w:sz="8" w:color="E5E5E5"/>
            </w:tcBorders>
          </w:tcPr>
          <w:p>
            <w:pPr>
              <w:jc w:val="right"/>
              <w:ind w:right="110"/>
              <w:spacing w:after="0"/>
              <w:rPr>
                <w:sz w:val="20"/>
                <w:szCs w:val="20"/>
                <w:color w:val="auto"/>
              </w:rPr>
            </w:pPr>
            <w:r>
              <w:rPr>
                <w:rFonts w:ascii="Arial" w:cs="Arial" w:eastAsia="Arial" w:hAnsi="Arial"/>
                <w:sz w:val="18"/>
                <w:szCs w:val="18"/>
                <w:color w:val="auto"/>
              </w:rPr>
              <w:t>3,806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520" w:type="dxa"/>
            <w:vAlign w:val="bottom"/>
            <w:tcBorders>
              <w:right w:val="single" w:sz="8" w:color="E5E5E5"/>
            </w:tcBorders>
          </w:tcPr>
          <w:p>
            <w:pPr>
              <w:jc w:val="right"/>
              <w:ind w:right="110"/>
              <w:spacing w:after="0"/>
              <w:rPr>
                <w:sz w:val="20"/>
                <w:szCs w:val="20"/>
                <w:color w:val="auto"/>
              </w:rPr>
            </w:pPr>
            <w:r>
              <w:rPr>
                <w:rFonts w:ascii="Arial" w:cs="Arial" w:eastAsia="Arial" w:hAnsi="Arial"/>
                <w:sz w:val="18"/>
                <w:szCs w:val="18"/>
                <w:color w:val="auto"/>
              </w:rPr>
              <w:t>821,479</w:t>
            </w:r>
          </w:p>
        </w:tc>
        <w:tc>
          <w:tcPr>
            <w:tcW w:w="0" w:type="dxa"/>
            <w:vAlign w:val="bottom"/>
          </w:tcPr>
          <w:p>
            <w:pPr>
              <w:spacing w:after="0"/>
              <w:rPr>
                <w:sz w:val="1"/>
                <w:szCs w:val="1"/>
                <w:color w:val="auto"/>
              </w:rPr>
            </w:pPr>
          </w:p>
        </w:tc>
      </w:tr>
      <w:tr>
        <w:trPr>
          <w:trHeight w:val="256"/>
        </w:trPr>
        <w:tc>
          <w:tcPr>
            <w:tcW w:w="6000" w:type="dxa"/>
            <w:vAlign w:val="bottom"/>
            <w:tcBorders>
              <w:left w:val="single" w:sz="8" w:color="E5E5E5"/>
              <w:right w:val="single" w:sz="8" w:color="E5E5E5"/>
            </w:tcBorders>
            <w:shd w:val="clear" w:color="auto" w:fill="DBDBDB"/>
          </w:tcPr>
          <w:p>
            <w:pPr>
              <w:ind w:left="40"/>
              <w:spacing w:after="0"/>
              <w:rPr>
                <w:sz w:val="20"/>
                <w:szCs w:val="20"/>
                <w:color w:val="auto"/>
              </w:rPr>
            </w:pPr>
            <w:r>
              <w:rPr>
                <w:rFonts w:ascii="Arial" w:cs="Arial" w:eastAsia="Arial" w:hAnsi="Arial"/>
                <w:sz w:val="18"/>
                <w:szCs w:val="18"/>
                <w:color w:val="auto"/>
              </w:rPr>
              <w:t>Dean Calloway</w:t>
            </w:r>
          </w:p>
        </w:tc>
        <w:tc>
          <w:tcPr>
            <w:tcW w:w="2620" w:type="dxa"/>
            <w:vAlign w:val="bottom"/>
            <w:tcBorders>
              <w:right w:val="single" w:sz="8" w:color="E5E5E5"/>
            </w:tcBorders>
            <w:shd w:val="clear" w:color="auto" w:fill="DBDBDB"/>
          </w:tcPr>
          <w:p>
            <w:pPr>
              <w:jc w:val="right"/>
              <w:ind w:right="110"/>
              <w:spacing w:after="0"/>
              <w:rPr>
                <w:sz w:val="20"/>
                <w:szCs w:val="20"/>
                <w:color w:val="auto"/>
              </w:rPr>
            </w:pPr>
            <w:r>
              <w:rPr>
                <w:rFonts w:ascii="Arial" w:cs="Arial" w:eastAsia="Arial" w:hAnsi="Arial"/>
                <w:sz w:val="18"/>
                <w:szCs w:val="18"/>
                <w:color w:val="auto"/>
              </w:rPr>
              <w:t>811</w:t>
            </w:r>
          </w:p>
        </w:tc>
        <w:tc>
          <w:tcPr>
            <w:tcW w:w="120" w:type="dxa"/>
            <w:vAlign w:val="bottom"/>
            <w:shd w:val="clear" w:color="auto" w:fill="DBDBDB"/>
          </w:tcPr>
          <w:p>
            <w:pPr>
              <w:jc w:val="right"/>
              <w:spacing w:after="0"/>
              <w:rPr>
                <w:sz w:val="20"/>
                <w:szCs w:val="20"/>
                <w:color w:val="auto"/>
              </w:rPr>
            </w:pPr>
            <w:r>
              <w:rPr>
                <w:rFonts w:ascii="Arial" w:cs="Arial" w:eastAsia="Arial" w:hAnsi="Arial"/>
                <w:sz w:val="18"/>
                <w:szCs w:val="18"/>
                <w:color w:val="auto"/>
                <w:w w:val="79"/>
              </w:rPr>
              <w:t>$</w:t>
            </w:r>
          </w:p>
        </w:tc>
        <w:tc>
          <w:tcPr>
            <w:tcW w:w="2520" w:type="dxa"/>
            <w:vAlign w:val="bottom"/>
            <w:tcBorders>
              <w:right w:val="single" w:sz="8" w:color="E5E5E5"/>
            </w:tcBorders>
            <w:shd w:val="clear" w:color="auto" w:fill="DBDBDB"/>
          </w:tcPr>
          <w:p>
            <w:pPr>
              <w:jc w:val="right"/>
              <w:ind w:right="110"/>
              <w:spacing w:after="0"/>
              <w:rPr>
                <w:sz w:val="20"/>
                <w:szCs w:val="20"/>
                <w:color w:val="auto"/>
              </w:rPr>
            </w:pPr>
            <w:r>
              <w:rPr>
                <w:rFonts w:ascii="Arial" w:cs="Arial" w:eastAsia="Arial" w:hAnsi="Arial"/>
                <w:sz w:val="18"/>
                <w:szCs w:val="18"/>
                <w:color w:val="auto"/>
              </w:rPr>
              <w:t>174,965</w:t>
            </w:r>
          </w:p>
        </w:tc>
        <w:tc>
          <w:tcPr>
            <w:tcW w:w="0" w:type="dxa"/>
            <w:vAlign w:val="bottom"/>
          </w:tcPr>
          <w:p>
            <w:pPr>
              <w:spacing w:after="0"/>
              <w:rPr>
                <w:sz w:val="1"/>
                <w:szCs w:val="1"/>
                <w:color w:val="auto"/>
              </w:rPr>
            </w:pPr>
          </w:p>
        </w:tc>
      </w:tr>
      <w:tr>
        <w:trPr>
          <w:trHeight w:val="230"/>
        </w:trPr>
        <w:tc>
          <w:tcPr>
            <w:tcW w:w="6000" w:type="dxa"/>
            <w:vAlign w:val="bottom"/>
            <w:tcBorders>
              <w:left w:val="single" w:sz="8" w:color="E5E5E5"/>
              <w:right w:val="single" w:sz="8" w:color="E5E5E5"/>
            </w:tcBorders>
          </w:tcPr>
          <w:p>
            <w:pPr>
              <w:ind w:left="40"/>
              <w:spacing w:after="0"/>
              <w:rPr>
                <w:sz w:val="20"/>
                <w:szCs w:val="20"/>
                <w:color w:val="auto"/>
              </w:rPr>
            </w:pPr>
            <w:r>
              <w:rPr>
                <w:rFonts w:ascii="Arial" w:cs="Arial" w:eastAsia="Arial" w:hAnsi="Arial"/>
                <w:sz w:val="18"/>
                <w:szCs w:val="18"/>
                <w:color w:val="auto"/>
              </w:rPr>
              <w:t>George A. Villasana</w:t>
            </w:r>
          </w:p>
        </w:tc>
        <w:tc>
          <w:tcPr>
            <w:tcW w:w="2620" w:type="dxa"/>
            <w:vAlign w:val="bottom"/>
            <w:tcBorders>
              <w:right w:val="single" w:sz="8" w:color="E5E5E5"/>
            </w:tcBorders>
          </w:tcPr>
          <w:p>
            <w:pPr>
              <w:jc w:val="right"/>
              <w:ind w:right="110"/>
              <w:spacing w:after="0"/>
              <w:rPr>
                <w:sz w:val="20"/>
                <w:szCs w:val="20"/>
                <w:color w:val="auto"/>
              </w:rPr>
            </w:pPr>
            <w:r>
              <w:rPr>
                <w:rFonts w:ascii="Arial" w:cs="Arial" w:eastAsia="Arial" w:hAnsi="Arial"/>
                <w:sz w:val="18"/>
                <w:szCs w:val="18"/>
                <w:color w:val="auto"/>
              </w:rPr>
              <w:t>4,636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520" w:type="dxa"/>
            <w:vAlign w:val="bottom"/>
            <w:tcBorders>
              <w:right w:val="single" w:sz="8" w:color="E5E5E5"/>
            </w:tcBorders>
          </w:tcPr>
          <w:p>
            <w:pPr>
              <w:jc w:val="right"/>
              <w:ind w:right="110"/>
              <w:spacing w:after="0"/>
              <w:rPr>
                <w:sz w:val="20"/>
                <w:szCs w:val="20"/>
                <w:color w:val="auto"/>
              </w:rPr>
            </w:pPr>
            <w:r>
              <w:rPr>
                <w:rFonts w:ascii="Arial" w:cs="Arial" w:eastAsia="Arial" w:hAnsi="Arial"/>
                <w:sz w:val="18"/>
                <w:szCs w:val="18"/>
                <w:color w:val="auto"/>
              </w:rPr>
              <w:t>1,000,015</w:t>
            </w:r>
          </w:p>
        </w:tc>
        <w:tc>
          <w:tcPr>
            <w:tcW w:w="0" w:type="dxa"/>
            <w:vAlign w:val="bottom"/>
          </w:tcPr>
          <w:p>
            <w:pPr>
              <w:spacing w:after="0"/>
              <w:rPr>
                <w:sz w:val="1"/>
                <w:szCs w:val="1"/>
                <w:color w:val="auto"/>
              </w:rPr>
            </w:pPr>
          </w:p>
        </w:tc>
      </w:tr>
      <w:tr>
        <w:trPr>
          <w:trHeight w:val="256"/>
        </w:trPr>
        <w:tc>
          <w:tcPr>
            <w:tcW w:w="6000" w:type="dxa"/>
            <w:vAlign w:val="bottom"/>
            <w:tcBorders>
              <w:left w:val="single" w:sz="8" w:color="E5E5E5"/>
              <w:right w:val="single" w:sz="8" w:color="E5E5E5"/>
            </w:tcBorders>
            <w:shd w:val="clear" w:color="auto" w:fill="DBDBDB"/>
          </w:tcPr>
          <w:p>
            <w:pPr>
              <w:ind w:left="40"/>
              <w:spacing w:after="0"/>
              <w:rPr>
                <w:sz w:val="20"/>
                <w:szCs w:val="20"/>
                <w:color w:val="auto"/>
              </w:rPr>
            </w:pPr>
            <w:r>
              <w:rPr>
                <w:rFonts w:ascii="Arial" w:cs="Arial" w:eastAsia="Arial" w:hAnsi="Arial"/>
                <w:sz w:val="18"/>
                <w:szCs w:val="18"/>
                <w:color w:val="auto"/>
              </w:rPr>
              <w:t>Miran Maric</w:t>
            </w:r>
          </w:p>
        </w:tc>
        <w:tc>
          <w:tcPr>
            <w:tcW w:w="2620" w:type="dxa"/>
            <w:vAlign w:val="bottom"/>
            <w:tcBorders>
              <w:right w:val="single" w:sz="8" w:color="E5E5E5"/>
            </w:tcBorders>
            <w:shd w:val="clear" w:color="auto" w:fill="DBDBDB"/>
          </w:tcPr>
          <w:p>
            <w:pPr>
              <w:jc w:val="right"/>
              <w:ind w:right="110"/>
              <w:spacing w:after="0"/>
              <w:rPr>
                <w:sz w:val="20"/>
                <w:szCs w:val="20"/>
                <w:color w:val="auto"/>
              </w:rPr>
            </w:pPr>
            <w:r>
              <w:rPr>
                <w:rFonts w:ascii="Arial" w:cs="Arial" w:eastAsia="Arial" w:hAnsi="Arial"/>
                <w:sz w:val="18"/>
                <w:szCs w:val="18"/>
                <w:color w:val="auto"/>
              </w:rPr>
              <w:t>4,128</w:t>
            </w:r>
          </w:p>
        </w:tc>
        <w:tc>
          <w:tcPr>
            <w:tcW w:w="120" w:type="dxa"/>
            <w:vAlign w:val="bottom"/>
            <w:shd w:val="clear" w:color="auto" w:fill="DBDBDB"/>
          </w:tcPr>
          <w:p>
            <w:pPr>
              <w:jc w:val="right"/>
              <w:spacing w:after="0"/>
              <w:rPr>
                <w:sz w:val="20"/>
                <w:szCs w:val="20"/>
                <w:color w:val="auto"/>
              </w:rPr>
            </w:pPr>
            <w:r>
              <w:rPr>
                <w:rFonts w:ascii="Arial" w:cs="Arial" w:eastAsia="Arial" w:hAnsi="Arial"/>
                <w:sz w:val="18"/>
                <w:szCs w:val="18"/>
                <w:color w:val="auto"/>
                <w:w w:val="79"/>
              </w:rPr>
              <w:t>$</w:t>
            </w:r>
          </w:p>
        </w:tc>
        <w:tc>
          <w:tcPr>
            <w:tcW w:w="2520" w:type="dxa"/>
            <w:vAlign w:val="bottom"/>
            <w:tcBorders>
              <w:right w:val="single" w:sz="8" w:color="E5E5E5"/>
            </w:tcBorders>
            <w:shd w:val="clear" w:color="auto" w:fill="DBDBDB"/>
          </w:tcPr>
          <w:p>
            <w:pPr>
              <w:jc w:val="right"/>
              <w:ind w:right="110"/>
              <w:spacing w:after="0"/>
              <w:rPr>
                <w:sz w:val="20"/>
                <w:szCs w:val="20"/>
                <w:color w:val="auto"/>
              </w:rPr>
            </w:pPr>
            <w:r>
              <w:rPr>
                <w:rFonts w:ascii="Arial" w:cs="Arial" w:eastAsia="Arial" w:hAnsi="Arial"/>
                <w:sz w:val="18"/>
                <w:szCs w:val="18"/>
                <w:color w:val="auto"/>
              </w:rPr>
              <w:t>877,245</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340" w:right="60" w:hanging="332"/>
        <w:spacing w:after="0" w:line="304" w:lineRule="auto"/>
        <w:tabs>
          <w:tab w:leader="none" w:pos="335"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value realized on the vesting of restricted stock units or performance share units represents the number of shares acquired multiplied by the closing price of our common stock, as reported on the NYSE, on the vesting date of the restricted stock units or of the performance share units, as applicable.</w:t>
      </w:r>
    </w:p>
    <w:p>
      <w:pPr>
        <w:spacing w:after="0" w:line="29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02" w:lineRule="exact"/>
        <w:rPr>
          <w:sz w:val="20"/>
          <w:szCs w:val="20"/>
          <w:color w:val="auto"/>
        </w:rPr>
      </w:pPr>
    </w:p>
    <w:p>
      <w:pPr>
        <w:ind w:right="640"/>
        <w:spacing w:after="0" w:line="249" w:lineRule="auto"/>
        <w:rPr>
          <w:sz w:val="20"/>
          <w:szCs w:val="20"/>
          <w:color w:val="auto"/>
        </w:rPr>
      </w:pPr>
      <w:r>
        <w:rPr>
          <w:rFonts w:ascii="Arial" w:cs="Arial" w:eastAsia="Arial" w:hAnsi="Arial"/>
          <w:sz w:val="36"/>
          <w:szCs w:val="36"/>
          <w:b w:val="1"/>
          <w:bCs w:val="1"/>
          <w:color w:val="auto"/>
        </w:rPr>
        <w:t>POTENTIAL PAYMENTS UPON TERMINATION OR CHANGE IN CONTROL</w:t>
      </w:r>
    </w:p>
    <w:p>
      <w:pPr>
        <w:spacing w:after="0" w:line="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Employment Agreement with David W. Hult</w:t>
      </w:r>
    </w:p>
    <w:p>
      <w:pPr>
        <w:spacing w:after="0" w:line="8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have entered into an employment agreement with David W. Hult, which agreement was amended on August 21, 2017 in connection with the announcement that, effective January 1, 2018, Mr. Hult would begin to serve as our President &amp; Chief Executive Officer and further amended on June 5, 2020 to extend Mr. Hult's term of employment and increase the amount of severance payable to Mr. Hult under certain circumstances (such agreement, as amended, the “Hult Agreement”). The Hult Agreement was originally scheduled to expire on November 3, 2018, but provides for automatic extensions for successive one-year periods, unless either party provides notice of termination to the other. On June 5, 2020, the Company and Mr. Hult entered into an amendment extending his term until December 31, 2023, subject to automatic one-year extensions unless either party terminates the agreement 180 days (or 90 days for a termination by Mr. Hult for “good reason”) prior to the end of the extension term. Upon any termination, Mr. Hult will cease to be an officer and director of the Company and any of its affiliates.</w:t>
      </w:r>
    </w:p>
    <w:p>
      <w:pPr>
        <w:spacing w:after="0" w:line="7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Under the Hult Agreement, Mr. Hult’s base salary beginning January 1, 2018 is set at $1.0 million per year, subject to periodic review and increase, and he is entitled to receive an annual bonus (which includes a non-equity incentive compensation award opportunity) based on a target of 125% of his then-current base salary. Mr. Hult is also eligible to receive annual equity or other long-term incentive awards granted under the Company’s long-term equity incentive plans and is entitled to a monthly automobile allowance and the use of a Company owned demonstrator vehicle.</w:t>
      </w:r>
    </w:p>
    <w:p>
      <w:pPr>
        <w:spacing w:after="0" w:line="71"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Under the terms of the Hult Agreement, if (i) the Company elects not to extend the Hult Agreement and, at its expiration, Mr. Hult will not have attained age 65, or (ii) the Company terminates the Agreement without “cause” or (iii) Mr. Hult terminates the Hult Agreement for “good reason” when no “change in control” has occurred (any of the foregoing, a “Hult Non-Change in Control Qualifying Termination”), Mr. Hult will be entitled to the following:</w:t>
      </w:r>
    </w:p>
    <w:p>
      <w:pPr>
        <w:spacing w:after="0" w:line="6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200% of his base salary, plus 100% of his target annual bonus (which includes any non-equity incentive plan compensation);</w:t>
      </w:r>
    </w:p>
    <w:p>
      <w:pPr>
        <w:spacing w:after="0" w:line="117" w:lineRule="exact"/>
        <w:rPr>
          <w:sz w:val="20"/>
          <w:szCs w:val="20"/>
          <w:color w:val="auto"/>
        </w:rPr>
      </w:pPr>
    </w:p>
    <w:p>
      <w:pPr>
        <w:ind w:left="660" w:right="700" w:hanging="324"/>
        <w:spacing w:after="0" w:line="287" w:lineRule="auto"/>
        <w:rPr>
          <w:sz w:val="20"/>
          <w:szCs w:val="20"/>
          <w:color w:val="auto"/>
        </w:rPr>
      </w:pPr>
      <w:r>
        <w:rPr>
          <w:rFonts w:ascii="Arial" w:cs="Arial" w:eastAsia="Arial" w:hAnsi="Arial"/>
          <w:sz w:val="18"/>
          <w:szCs w:val="18"/>
          <w:color w:val="auto"/>
        </w:rPr>
        <w:t>– a pro-rated bonus (which includes any non-equity incentive plan compensation) based on actual performance for the year of termination;</w:t>
      </w:r>
    </w:p>
    <w:p>
      <w:pPr>
        <w:spacing w:after="0" w:line="44" w:lineRule="exact"/>
        <w:rPr>
          <w:sz w:val="20"/>
          <w:szCs w:val="20"/>
          <w:color w:val="auto"/>
        </w:rPr>
      </w:pPr>
    </w:p>
    <w:p>
      <w:pPr>
        <w:ind w:left="660" w:right="120" w:hanging="324"/>
        <w:spacing w:after="0" w:line="287" w:lineRule="auto"/>
        <w:rPr>
          <w:sz w:val="20"/>
          <w:szCs w:val="20"/>
          <w:color w:val="auto"/>
        </w:rPr>
      </w:pPr>
      <w:r>
        <w:rPr>
          <w:rFonts w:ascii="Arial" w:cs="Arial" w:eastAsia="Arial" w:hAnsi="Arial"/>
          <w:sz w:val="18"/>
          <w:szCs w:val="18"/>
          <w:color w:val="auto"/>
        </w:rPr>
        <w:t>– continued participation for 12 months in all health and welfare plans of the Company in effect immediately prior to the termination of employment; and</w:t>
      </w:r>
    </w:p>
    <w:p>
      <w:pPr>
        <w:spacing w:after="0" w:line="44" w:lineRule="exact"/>
        <w:rPr>
          <w:sz w:val="20"/>
          <w:szCs w:val="20"/>
          <w:color w:val="auto"/>
        </w:rPr>
      </w:pPr>
    </w:p>
    <w:p>
      <w:pPr>
        <w:ind w:left="660" w:right="40" w:hanging="324"/>
        <w:spacing w:after="0" w:line="287" w:lineRule="auto"/>
        <w:rPr>
          <w:sz w:val="20"/>
          <w:szCs w:val="20"/>
          <w:color w:val="auto"/>
        </w:rPr>
      </w:pPr>
      <w:r>
        <w:rPr>
          <w:rFonts w:ascii="Arial" w:cs="Arial" w:eastAsia="Arial" w:hAnsi="Arial"/>
          <w:sz w:val="18"/>
          <w:szCs w:val="18"/>
          <w:color w:val="auto"/>
        </w:rPr>
        <w:t>– accelerated vesting of all unvested equity and other long-term incentive awards that would have vested in the 364 days following the termination of the Hult Agreement.</w:t>
      </w:r>
    </w:p>
    <w:p>
      <w:pPr>
        <w:spacing w:after="0" w:line="4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Also under the terms of the Hult Agreement, if Mr. Hult is terminated without cause or resigns for good reason within two years following a change in control (a “Hult Change in Control Qualifying Termination” and, together with a Hult Non-Change in Control Qualifying Termination, as the case may be, a “Hult Qualifying Termination”), Mr. Hult will be entitled to the following:</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200% of his base salary, plus 200% of his target annual bonus (which includes any non-equity incentive plan compensation);</w:t>
      </w:r>
    </w:p>
    <w:p>
      <w:pPr>
        <w:spacing w:after="0" w:line="117" w:lineRule="exact"/>
        <w:rPr>
          <w:sz w:val="20"/>
          <w:szCs w:val="20"/>
          <w:color w:val="auto"/>
        </w:rPr>
      </w:pPr>
    </w:p>
    <w:p>
      <w:pPr>
        <w:ind w:left="660" w:right="720" w:hanging="324"/>
        <w:spacing w:after="0" w:line="287" w:lineRule="auto"/>
        <w:rPr>
          <w:sz w:val="20"/>
          <w:szCs w:val="20"/>
          <w:color w:val="auto"/>
        </w:rPr>
      </w:pPr>
      <w:r>
        <w:rPr>
          <w:rFonts w:ascii="Arial" w:cs="Arial" w:eastAsia="Arial" w:hAnsi="Arial"/>
          <w:sz w:val="18"/>
          <w:szCs w:val="18"/>
          <w:color w:val="auto"/>
        </w:rPr>
        <w:t>– a pro-rated bonus (which includes any non-equity incentive plan compensation) based on target performance for the year of termination;</w:t>
      </w:r>
    </w:p>
    <w:p>
      <w:pPr>
        <w:spacing w:after="0" w:line="44" w:lineRule="exact"/>
        <w:rPr>
          <w:sz w:val="20"/>
          <w:szCs w:val="20"/>
          <w:color w:val="auto"/>
        </w:rPr>
      </w:pPr>
    </w:p>
    <w:p>
      <w:pPr>
        <w:ind w:left="660" w:right="120" w:hanging="324"/>
        <w:spacing w:after="0" w:line="287" w:lineRule="auto"/>
        <w:rPr>
          <w:sz w:val="20"/>
          <w:szCs w:val="20"/>
          <w:color w:val="auto"/>
        </w:rPr>
      </w:pPr>
      <w:r>
        <w:rPr>
          <w:rFonts w:ascii="Arial" w:cs="Arial" w:eastAsia="Arial" w:hAnsi="Arial"/>
          <w:sz w:val="18"/>
          <w:szCs w:val="18"/>
          <w:color w:val="auto"/>
        </w:rPr>
        <w:t>– continued participation for 24 months in all health and welfare plans of the Company in effect immediately prior to the termination of employment; and</w:t>
      </w:r>
    </w:p>
    <w:p>
      <w:pPr>
        <w:spacing w:after="0" w:line="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vesting of all unvested equity and other long-term incentive awards, effective on the date of the change in control.</w:t>
      </w:r>
    </w:p>
    <w:p>
      <w:pPr>
        <w:spacing w:after="0" w:line="11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foregoing severance payments are conditioned upon Mr. Hult executing a general release in favor of the Company. The Hult Agreement also contains certain confidentiality, non-compete and non-solicit obligations. In the event of a breach of these obligations, the Company may stop paying any amounts due, as described above, and demand repayment of 50% of the severance amounts paid prior to the breach of such obligations.</w:t>
      </w:r>
    </w:p>
    <w:p>
      <w:pPr>
        <w:spacing w:after="0" w:line="68"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The Hult Agreement also provides that, if Mr. Hult retires after reaching age 65, then upon such retirement, all of his equity and long-term incentive awards not vested as of his effective retirement date will continue to vest without regard to such retirement.</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Severance and Transition Agreements</w:t>
      </w:r>
    </w:p>
    <w:p>
      <w:pPr>
        <w:spacing w:after="0" w:line="11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Company is party to a severance agreement (each, a “Severance Agreement”) with each of Messrs. Welch, Clara, Milstein, Calloway, Villasana and Maric. The Severance Agreements provide for one year of base salary, one year of benefits continuation, and a pro-rated bonus (which includes any payment under a non-equity incentive compensation plan) in the amount that the affected executive would have received had he not been terminated during such year (collectively, the “Severance Payment”) if (i) the affected executive is terminated by the Company without “cause,” or (ii) if the affected executive terminates his employment for any of the following reasons: (a) mandatory relocation of the affected executive's current principal place of business to a location more than 50 miles away; (b) any material diminution in the affected executive's base salary; and (c) any material diminution in the affected executive's authority, duties or responsibilities.</w:t>
      </w:r>
    </w:p>
    <w:p>
      <w:pPr>
        <w:spacing w:after="0" w:line="7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Severance Agreements require the affected executive to execute a general release in favor of the Company as a condition to receiving any Severance Payments. The Severance Agreements also contain certain confidentiality, non-compete and non-solicit obligations and provides that, if such obligations are breached by the affected executive, the Company has the right to stop making any otherwise required Severance Payments. Additionally, the Severance Agreements provide that the affected executive will not receive any Severance Payment in the event of termination due to death, disability, retirement, voluntary resignation or termination by the Company for cause.</w:t>
      </w:r>
    </w:p>
    <w:p>
      <w:pPr>
        <w:spacing w:after="0" w:line="71" w:lineRule="exact"/>
        <w:rPr>
          <w:sz w:val="20"/>
          <w:szCs w:val="20"/>
          <w:color w:val="auto"/>
        </w:rPr>
      </w:pPr>
    </w:p>
    <w:p>
      <w:pPr>
        <w:ind w:right="200"/>
        <w:spacing w:after="0" w:line="272" w:lineRule="auto"/>
        <w:rPr>
          <w:sz w:val="20"/>
          <w:szCs w:val="20"/>
          <w:color w:val="auto"/>
        </w:rPr>
      </w:pPr>
      <w:r>
        <w:rPr>
          <w:rFonts w:ascii="Arial" w:cs="Arial" w:eastAsia="Arial" w:hAnsi="Arial"/>
          <w:sz w:val="17"/>
          <w:szCs w:val="17"/>
          <w:color w:val="auto"/>
        </w:rPr>
        <w:t>Mr. Villasana retired effective June 30, 2024, and in connection with his retirement, the Company and Mr. Villasana have entered into a Transition and Retirement Agreement (the “Transition Agreement”), which amends his Severance Agreement. Pursuant to the terms of the Transition Agreement, Mr. Villasana will serve as a non-executive Special Advisor to the Company from July 1, 2024 until March 31, 2025 (the “Transition Period”), for which service he will receive a monthly payment of $59,133. During fiscal year 2024, Mr. Villasana received an aggregate amount of $ 350,000 in monthly payments, and a pro-rated bonus of $ 282,625. In connection with his retirement, Mr. Villasana’s existing equity awards will continue to vest in accordance with their terms during the Transition Period. Upon expiration of the Transition Period, Mr. Villasana’s unvested equity awards (except for one-third of his equity awards granted in 2024) will vest on accelerated basis in exchange for his continued compliance with certain restrictive covenants, including a non-competition covenant, and a general release.</w:t>
      </w:r>
    </w:p>
    <w:p>
      <w:pPr>
        <w:spacing w:after="0" w:line="6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In November 2024, Mr. Maric voluntarily resigned without triggering severance pay under his Severance Agreement. Mr. Maric received a pro-rated bonus of $422,283 for 2024. Upon his voluntary resignation, he forfeited all unvested performance share units and restricted share units.</w:t>
      </w:r>
    </w:p>
    <w:p>
      <w:pPr>
        <w:spacing w:after="0" w:line="3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Equity Incentive Plan Payout Provisions</w:t>
      </w:r>
    </w:p>
    <w:p>
      <w:pPr>
        <w:spacing w:after="0" w:line="96"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 xml:space="preserve">In addition to the payments required to be made in connection with certain qualifying separations from service described above, the Company's 2019 Plan provides that awards </w:t>
      </w:r>
      <w:r>
        <w:rPr>
          <w:rFonts w:ascii="Arial" w:cs="Arial" w:eastAsia="Arial" w:hAnsi="Arial"/>
          <w:sz w:val="18"/>
          <w:szCs w:val="18"/>
          <w:color w:val="2C2C2C"/>
        </w:rPr>
        <w:t>made thereunder, subject to the terms of any individual employment or severance agreements,</w:t>
      </w:r>
      <w:r>
        <w:rPr>
          <w:rFonts w:ascii="Arial" w:cs="Arial" w:eastAsia="Arial" w:hAnsi="Arial"/>
          <w:sz w:val="18"/>
          <w:szCs w:val="18"/>
          <w:color w:val="auto"/>
        </w:rPr>
        <w:t xml:space="preserve"> </w:t>
      </w:r>
      <w:r>
        <w:rPr>
          <w:rFonts w:ascii="Arial" w:cs="Arial" w:eastAsia="Arial" w:hAnsi="Arial"/>
          <w:sz w:val="18"/>
          <w:szCs w:val="18"/>
          <w:color w:val="2C2C2C"/>
        </w:rPr>
        <w:t>will be accelerated in connection with a change in control transaction only if: (i) the acquiror does not replace or substitute an equivalent award, or (ii) a participant holding replacement awards is involuntarily terminated within two years following a Change of Control (as defined in the Company’s 2019 Plan). Under the 2019 Plan, equity awards are generally subject to double-trigger vesting, unless otherwise determined by the Committee.</w:t>
      </w:r>
    </w:p>
    <w:p>
      <w:pPr>
        <w:spacing w:after="0" w:line="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Certain Defined Terms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Cause</w:t>
      </w:r>
    </w:p>
    <w:p>
      <w:pPr>
        <w:spacing w:after="0" w:line="115"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Under the Hult Agreement, “cause” generally means any of the following: (i) the executive’s willful misconduct, failure to follow a lawful directive of the Board, gross negligence or blatant violation of Company policy, (ii) the executive’s commission of fraud, misappropriation, dishonesty or embezzlement against the Company or an affiliate, (iii) a conviction of, or entry of a plea of nolo contendere to, a felony or misdemeanor (other than traffic violations and similar offenses), or (iv) the executive’s commission of a material breach of the applicable employment agreement.</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Under the Severance Agreements with Messrs. Welch, Clara, Milstein, Calloway and Villasana, “cause” generally means any of the following:</w:t>
      </w:r>
    </w:p>
    <w:p>
      <w:pPr>
        <w:spacing w:after="0" w:line="27" w:lineRule="exact"/>
        <w:rPr>
          <w:sz w:val="20"/>
          <w:szCs w:val="20"/>
          <w:color w:val="auto"/>
        </w:rPr>
      </w:pPr>
    </w:p>
    <w:p>
      <w:pPr>
        <w:ind w:right="20" w:firstLine="8"/>
        <w:spacing w:after="0" w:line="250" w:lineRule="auto"/>
        <w:tabs>
          <w:tab w:leader="none" w:pos="21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executive’s gross negligence or serious misconduct (including criminal, fraudulent and dishonest conduct) that is or may be injurious to the Company, (ii) the executive’s conviction of, or entry of a plea of nolo contendere to, a felony or other crime that involves moral turpitude,</w:t>
      </w:r>
    </w:p>
    <w:p>
      <w:pPr>
        <w:ind w:right="440" w:firstLine="8"/>
        <w:spacing w:after="0" w:line="258" w:lineRule="auto"/>
        <w:tabs>
          <w:tab w:leader="none" w:pos="29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executive’s breach of the confidentiality, non-compete and non-solicit obligations contained in the Severance Agreement, (iv) the executive’s willful and continued failure to perform his duties on behalf of the Company, or (v) the executive’s material breach of certain Company policies.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 Reason</w:t>
      </w:r>
    </w:p>
    <w:p>
      <w:pPr>
        <w:spacing w:after="0" w:line="115"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Under the Hult Agreement, “good reason” is defined as the occurrence of any of the following without the executive’s consent, but only after notice of, and an opportunity to cure, such event: (i) the nature or scope of the executive’s duties or</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responsibilities are materially diminished, (ii) the Company changes the location of the executive’s employment to a place more than 50 miles from its present location, (iii) the Company’s material breach of the applicable employment agreement, or (iv) a change in the executive’s salary below the base amount specified in the applicable employment agreement.</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Control</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A “change in control” generally means the occurrence of any of the following events:</w:t>
      </w:r>
    </w:p>
    <w:p>
      <w:pPr>
        <w:spacing w:after="0" w:line="117" w:lineRule="exact"/>
        <w:rPr>
          <w:sz w:val="20"/>
          <w:szCs w:val="20"/>
          <w:color w:val="auto"/>
        </w:rPr>
      </w:pPr>
    </w:p>
    <w:p>
      <w:pPr>
        <w:ind w:left="660" w:right="40" w:hanging="324"/>
        <w:spacing w:after="0" w:line="257" w:lineRule="auto"/>
        <w:rPr>
          <w:sz w:val="20"/>
          <w:szCs w:val="20"/>
          <w:color w:val="auto"/>
        </w:rPr>
      </w:pPr>
      <w:r>
        <w:rPr>
          <w:rFonts w:ascii="Arial" w:cs="Arial" w:eastAsia="Arial" w:hAnsi="Arial"/>
          <w:sz w:val="18"/>
          <w:szCs w:val="18"/>
          <w:color w:val="auto"/>
        </w:rPr>
        <w:t>– any person becomes the beneficial owner of 35% or more of the Company’s securities entitled to vote in the election of directors, provided, in the case of the 2012 Plan, the 2019 Plan and the Hult Agreement that such an acquisition will not be considered a change in control if it is made by (i) the Company or any subsidiary, (ii) an employee benefit plan sponsored or maintained by the Company or any subsidiary, or (iii) a person that reports such acquisition on Schedule 13G under the Exchange Act, so long as such person does not later become required to report on Schedule 13D while beneficially owning 35% or more of the Company’s securities entitled to vote in the election of directors;</w:t>
      </w:r>
    </w:p>
    <w:p>
      <w:pPr>
        <w:spacing w:after="0" w:line="74" w:lineRule="exact"/>
        <w:rPr>
          <w:sz w:val="20"/>
          <w:szCs w:val="20"/>
          <w:color w:val="auto"/>
        </w:rPr>
      </w:pPr>
    </w:p>
    <w:p>
      <w:pPr>
        <w:jc w:val="both"/>
        <w:ind w:left="660" w:hanging="324"/>
        <w:spacing w:after="0" w:line="259" w:lineRule="auto"/>
        <w:rPr>
          <w:sz w:val="20"/>
          <w:szCs w:val="20"/>
          <w:color w:val="auto"/>
        </w:rPr>
      </w:pPr>
      <w:r>
        <w:rPr>
          <w:rFonts w:ascii="Arial" w:cs="Arial" w:eastAsia="Arial" w:hAnsi="Arial"/>
          <w:sz w:val="18"/>
          <w:szCs w:val="18"/>
          <w:color w:val="auto"/>
        </w:rPr>
        <w:t>– in the case of the 2012 Plan, the 2019 Plan and the Hult Agreement, the Company’s completion of a merger, consolidation or other business combination transaction in which the Company’s securities outstanding immediately prior to such transaction represent less than 50% of the combined voting power of the Company or other surviving entity after such transaction, except where the transaction agreement provides that members of the Company’s Board serving at the time of the first public announcement of the transaction will constitute at least a majority of the directors of the resulting entity;</w:t>
      </w:r>
    </w:p>
    <w:p>
      <w:pPr>
        <w:spacing w:after="0" w:line="71" w:lineRule="exact"/>
        <w:rPr>
          <w:sz w:val="20"/>
          <w:szCs w:val="20"/>
          <w:color w:val="auto"/>
        </w:rPr>
      </w:pPr>
    </w:p>
    <w:p>
      <w:pPr>
        <w:ind w:left="660" w:right="80" w:hanging="324"/>
        <w:spacing w:after="0" w:line="259" w:lineRule="auto"/>
        <w:rPr>
          <w:sz w:val="20"/>
          <w:szCs w:val="20"/>
          <w:color w:val="auto"/>
        </w:rPr>
      </w:pPr>
      <w:r>
        <w:rPr>
          <w:rFonts w:ascii="Arial" w:cs="Arial" w:eastAsia="Arial" w:hAnsi="Arial"/>
          <w:sz w:val="18"/>
          <w:szCs w:val="18"/>
          <w:color w:val="auto"/>
        </w:rPr>
        <w:t>– individuals who, as of the date specified in the applicable agreement or plan, constitute the Board cease to constitute at least a majority of the Board, provided, in the case of the Company’s 2012 Plan, the 2019 Plan and the Hult Agreement , that any individual whose election or nomination for election by the Company’s stockholders was approved by at least 2/3 of the directors then comprising the incumbent Board will be considered to be incumbent members of the Board, but excluding any individual who first assumes office as a director of the Company as a result of an actual or threatened election contest; or</w:t>
      </w:r>
    </w:p>
    <w:p>
      <w:pPr>
        <w:spacing w:after="0" w:line="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approval by the Company’s stockholders of the liquidation or dissolution of the Company.</w:t>
      </w:r>
    </w:p>
    <w:p>
      <w:pPr>
        <w:spacing w:after="0" w:line="8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Potential Payments Upon Separation from Service or Change in Control</w:t>
      </w:r>
    </w:p>
    <w:p>
      <w:pPr>
        <w:spacing w:after="0" w:line="110" w:lineRule="exact"/>
        <w:rPr>
          <w:sz w:val="20"/>
          <w:szCs w:val="20"/>
          <w:color w:val="auto"/>
        </w:rPr>
      </w:pPr>
    </w:p>
    <w:p>
      <w:pPr>
        <w:jc w:val="both"/>
        <w:ind w:right="460"/>
        <w:spacing w:after="0" w:line="282" w:lineRule="auto"/>
        <w:rPr>
          <w:sz w:val="20"/>
          <w:szCs w:val="20"/>
          <w:color w:val="auto"/>
        </w:rPr>
      </w:pPr>
      <w:r>
        <w:rPr>
          <w:rFonts w:ascii="Arial" w:cs="Arial" w:eastAsia="Arial" w:hAnsi="Arial"/>
          <w:sz w:val="17"/>
          <w:szCs w:val="17"/>
          <w:color w:val="auto"/>
        </w:rPr>
        <w:t>The following tables detail the amounts that would have been payable to each of our NEOs had each such officer been separated from service with the Company as of the last business day of fiscal 2024: (i) involuntarily and without cause or for good reason (a "Qualifying Termination") and without a Change in Control of the Company; (ii) pursuant to a Qualifying Termination and a Change in Control of the Company; and (iii) as the result of death or disability, in each case after taking into account the following assumptions as applicable:</w:t>
      </w:r>
    </w:p>
    <w:p>
      <w:pPr>
        <w:spacing w:after="0" w:line="53" w:lineRule="exact"/>
        <w:rPr>
          <w:sz w:val="20"/>
          <w:szCs w:val="20"/>
          <w:color w:val="auto"/>
        </w:rPr>
      </w:pPr>
    </w:p>
    <w:p>
      <w:pPr>
        <w:ind w:left="660" w:right="500" w:hanging="324"/>
        <w:spacing w:after="0" w:line="287" w:lineRule="auto"/>
        <w:rPr>
          <w:sz w:val="20"/>
          <w:szCs w:val="20"/>
          <w:color w:val="auto"/>
        </w:rPr>
      </w:pPr>
      <w:r>
        <w:rPr>
          <w:rFonts w:ascii="Arial" w:cs="Arial" w:eastAsia="Arial" w:hAnsi="Arial"/>
          <w:sz w:val="18"/>
          <w:szCs w:val="18"/>
          <w:color w:val="auto"/>
        </w:rPr>
        <w:t>– no payment value was ascribed to any presently vested and exercisable equity incentive awards, as such awards would not be impacted by a separation from service or change in control;</w:t>
      </w:r>
    </w:p>
    <w:p>
      <w:pPr>
        <w:spacing w:after="0" w:line="44" w:lineRule="exact"/>
        <w:rPr>
          <w:sz w:val="20"/>
          <w:szCs w:val="20"/>
          <w:color w:val="auto"/>
        </w:rPr>
      </w:pPr>
    </w:p>
    <w:p>
      <w:pPr>
        <w:ind w:left="660" w:right="80" w:hanging="324"/>
        <w:spacing w:after="0" w:line="291" w:lineRule="auto"/>
        <w:rPr>
          <w:sz w:val="20"/>
          <w:szCs w:val="20"/>
          <w:color w:val="auto"/>
        </w:rPr>
      </w:pPr>
      <w:r>
        <w:rPr>
          <w:rFonts w:ascii="Arial" w:cs="Arial" w:eastAsia="Arial" w:hAnsi="Arial"/>
          <w:sz w:val="17"/>
          <w:szCs w:val="17"/>
          <w:color w:val="auto"/>
        </w:rPr>
        <w:t>– all equity incentive awards that would accelerate in connection with a separation from service, change in control, or upon death or disability pursuant to the terms of applicable agreements were accelerated and cash valued as of December 31, 2024 by multiplying the number of vesting shares by the closing price per share of our common stock on the NYSE on December 31, 2024 ($243.03);</w:t>
      </w:r>
    </w:p>
    <w:p>
      <w:pPr>
        <w:spacing w:after="0" w:line="44" w:lineRule="exact"/>
        <w:rPr>
          <w:sz w:val="20"/>
          <w:szCs w:val="20"/>
          <w:color w:val="auto"/>
        </w:rPr>
      </w:pPr>
    </w:p>
    <w:p>
      <w:pPr>
        <w:ind w:left="660" w:right="700" w:hanging="324"/>
        <w:spacing w:after="0" w:line="268" w:lineRule="auto"/>
        <w:rPr>
          <w:sz w:val="20"/>
          <w:szCs w:val="20"/>
          <w:color w:val="auto"/>
        </w:rPr>
      </w:pPr>
      <w:r>
        <w:rPr>
          <w:rFonts w:ascii="Arial" w:cs="Arial" w:eastAsia="Arial" w:hAnsi="Arial"/>
          <w:sz w:val="18"/>
          <w:szCs w:val="18"/>
          <w:color w:val="auto"/>
        </w:rPr>
        <w:t>– each of the NEOs continued to be entitled to participate in the Company’s health and dental insurance plans (no such officer obtained other employment which provided at least equal benefits), and the cost thereof was cash valued at the cost to the Company;</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all parties complied with any required release and notice provisions in the applicable agreement;</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all amounts due to the named executive officers were paid immediately;</w:t>
      </w:r>
    </w:p>
    <w:p>
      <w:pPr>
        <w:spacing w:after="0" w:line="117" w:lineRule="exact"/>
        <w:rPr>
          <w:sz w:val="20"/>
          <w:szCs w:val="20"/>
          <w:color w:val="auto"/>
        </w:rPr>
      </w:pPr>
    </w:p>
    <w:p>
      <w:pPr>
        <w:ind w:left="660" w:right="240" w:hanging="324"/>
        <w:spacing w:after="0" w:line="287" w:lineRule="auto"/>
        <w:rPr>
          <w:sz w:val="20"/>
          <w:szCs w:val="20"/>
          <w:color w:val="auto"/>
        </w:rPr>
      </w:pPr>
      <w:r>
        <w:rPr>
          <w:rFonts w:ascii="Arial" w:cs="Arial" w:eastAsia="Arial" w:hAnsi="Arial"/>
          <w:sz w:val="18"/>
          <w:szCs w:val="18"/>
          <w:color w:val="auto"/>
        </w:rPr>
        <w:t>– each of the NEOs continued to comply with any restrictive or other covenant applicable to him that may have otherwise resulted in the repayment or withholding of severance amounts due; and</w:t>
      </w:r>
    </w:p>
    <w:p>
      <w:pPr>
        <w:spacing w:after="0" w:line="44" w:lineRule="exact"/>
        <w:rPr>
          <w:sz w:val="20"/>
          <w:szCs w:val="20"/>
          <w:color w:val="auto"/>
        </w:rPr>
      </w:pPr>
    </w:p>
    <w:p>
      <w:pPr>
        <w:ind w:left="660" w:right="20" w:hanging="324"/>
        <w:spacing w:after="0" w:line="268" w:lineRule="auto"/>
        <w:rPr>
          <w:sz w:val="20"/>
          <w:szCs w:val="20"/>
          <w:color w:val="auto"/>
        </w:rPr>
      </w:pPr>
      <w:r>
        <w:rPr>
          <w:rFonts w:ascii="Arial" w:cs="Arial" w:eastAsia="Arial" w:hAnsi="Arial"/>
          <w:sz w:val="18"/>
          <w:szCs w:val="18"/>
          <w:color w:val="auto"/>
        </w:rPr>
        <w:t>– all outstanding equity incentive awards were vested on an accelerated basis upon death or disability and cash valued as of December 31, 2024 by multiplying the number of vesting shares by the closing price per share of our common stock on the NYSE on December 31, 2024 ($243.03).</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Qualifying Termination Assuming No Change in Control</w:t>
      </w:r>
    </w:p>
    <w:p>
      <w:pPr>
        <w:spacing w:after="0" w:line="12"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2460" w:type="dxa"/>
            <w:vAlign w:val="bottom"/>
            <w:tcBorders>
              <w:left w:val="single" w:sz="8" w:color="E5E5E5"/>
              <w:right w:val="single" w:sz="8" w:color="E5E5E5"/>
            </w:tcBorders>
            <w:shd w:val="clear" w:color="auto" w:fill="D91E18"/>
          </w:tcPr>
          <w:p>
            <w:pPr>
              <w:spacing w:after="0"/>
              <w:rPr>
                <w:sz w:val="17"/>
                <w:szCs w:val="17"/>
                <w:color w:val="auto"/>
              </w:rPr>
            </w:pPr>
          </w:p>
        </w:tc>
        <w:tc>
          <w:tcPr>
            <w:tcW w:w="160" w:type="dxa"/>
            <w:vAlign w:val="bottom"/>
            <w:shd w:val="clear" w:color="auto" w:fill="D91E18"/>
          </w:tcPr>
          <w:p>
            <w:pPr>
              <w:spacing w:after="0"/>
              <w:rPr>
                <w:sz w:val="17"/>
                <w:szCs w:val="17"/>
                <w:color w:val="auto"/>
              </w:rPr>
            </w:pPr>
          </w:p>
        </w:tc>
        <w:tc>
          <w:tcPr>
            <w:tcW w:w="1520" w:type="dxa"/>
            <w:vAlign w:val="bottom"/>
            <w:tcBorders>
              <w:right w:val="single" w:sz="8" w:color="E5E5E5"/>
            </w:tcBorders>
            <w:vMerge w:val="restart"/>
            <w:shd w:val="clear" w:color="auto" w:fill="D91E18"/>
          </w:tcPr>
          <w:p>
            <w:pPr>
              <w:jc w:val="right"/>
              <w:ind w:right="250"/>
              <w:spacing w:after="0"/>
              <w:rPr>
                <w:sz w:val="20"/>
                <w:szCs w:val="20"/>
                <w:color w:val="auto"/>
              </w:rPr>
            </w:pPr>
            <w:r>
              <w:rPr>
                <w:rFonts w:ascii="Arial" w:cs="Arial" w:eastAsia="Arial" w:hAnsi="Arial"/>
                <w:sz w:val="18"/>
                <w:szCs w:val="18"/>
                <w:b w:val="1"/>
                <w:bCs w:val="1"/>
                <w:color w:val="FFFFFF"/>
              </w:rPr>
              <w:t>Base Salary</w:t>
            </w:r>
          </w:p>
        </w:tc>
        <w:tc>
          <w:tcPr>
            <w:tcW w:w="240" w:type="dxa"/>
            <w:vAlign w:val="bottom"/>
            <w:shd w:val="clear" w:color="auto" w:fill="D91E18"/>
          </w:tcPr>
          <w:p>
            <w:pPr>
              <w:spacing w:after="0"/>
              <w:rPr>
                <w:sz w:val="17"/>
                <w:szCs w:val="17"/>
                <w:color w:val="auto"/>
              </w:rPr>
            </w:pPr>
          </w:p>
        </w:tc>
        <w:tc>
          <w:tcPr>
            <w:tcW w:w="1260" w:type="dxa"/>
            <w:vAlign w:val="bottom"/>
            <w:tcBorders>
              <w:right w:val="single" w:sz="8" w:color="E5E5E5"/>
            </w:tcBorders>
            <w:shd w:val="clear" w:color="auto" w:fill="D91E18"/>
          </w:tcPr>
          <w:p>
            <w:pPr>
              <w:spacing w:after="0"/>
              <w:rPr>
                <w:sz w:val="17"/>
                <w:szCs w:val="17"/>
                <w:color w:val="auto"/>
              </w:rPr>
            </w:pPr>
          </w:p>
        </w:tc>
        <w:tc>
          <w:tcPr>
            <w:tcW w:w="160" w:type="dxa"/>
            <w:vAlign w:val="bottom"/>
            <w:shd w:val="clear" w:color="auto" w:fill="D91E18"/>
          </w:tcPr>
          <w:p>
            <w:pPr>
              <w:spacing w:after="0"/>
              <w:rPr>
                <w:sz w:val="17"/>
                <w:szCs w:val="17"/>
                <w:color w:val="auto"/>
              </w:rPr>
            </w:pPr>
          </w:p>
        </w:tc>
        <w:tc>
          <w:tcPr>
            <w:tcW w:w="1400" w:type="dxa"/>
            <w:vAlign w:val="bottom"/>
            <w:tcBorders>
              <w:right w:val="single" w:sz="8" w:color="E5E5E5"/>
            </w:tcBorders>
            <w:vMerge w:val="restart"/>
            <w:shd w:val="clear" w:color="auto" w:fill="D91E18"/>
          </w:tcPr>
          <w:p>
            <w:pPr>
              <w:ind w:left="260"/>
              <w:spacing w:after="0"/>
              <w:rPr>
                <w:sz w:val="20"/>
                <w:szCs w:val="20"/>
                <w:color w:val="auto"/>
              </w:rPr>
            </w:pPr>
            <w:r>
              <w:rPr>
                <w:rFonts w:ascii="Arial" w:cs="Arial" w:eastAsia="Arial" w:hAnsi="Arial"/>
                <w:sz w:val="18"/>
                <w:szCs w:val="18"/>
                <w:b w:val="1"/>
                <w:bCs w:val="1"/>
                <w:color w:val="FFFFFF"/>
              </w:rPr>
              <w:t>Benefits</w:t>
            </w:r>
          </w:p>
        </w:tc>
        <w:tc>
          <w:tcPr>
            <w:tcW w:w="120" w:type="dxa"/>
            <w:vAlign w:val="bottom"/>
            <w:shd w:val="clear" w:color="auto" w:fill="D91E18"/>
          </w:tcPr>
          <w:p>
            <w:pPr>
              <w:spacing w:after="0"/>
              <w:rPr>
                <w:sz w:val="17"/>
                <w:szCs w:val="17"/>
                <w:color w:val="auto"/>
              </w:rPr>
            </w:pPr>
          </w:p>
        </w:tc>
        <w:tc>
          <w:tcPr>
            <w:tcW w:w="2340" w:type="dxa"/>
            <w:vAlign w:val="bottom"/>
            <w:tcBorders>
              <w:right w:val="single" w:sz="8" w:color="E5E5E5"/>
            </w:tcBorders>
            <w:shd w:val="clear" w:color="auto" w:fill="D91E18"/>
          </w:tcPr>
          <w:p>
            <w:pPr>
              <w:jc w:val="right"/>
              <w:ind w:right="50"/>
              <w:spacing w:after="0"/>
              <w:rPr>
                <w:sz w:val="20"/>
                <w:szCs w:val="20"/>
                <w:color w:val="auto"/>
              </w:rPr>
            </w:pPr>
            <w:r>
              <w:rPr>
                <w:rFonts w:ascii="Arial" w:cs="Arial" w:eastAsia="Arial" w:hAnsi="Arial"/>
                <w:sz w:val="18"/>
                <w:szCs w:val="18"/>
                <w:b w:val="1"/>
                <w:bCs w:val="1"/>
                <w:color w:val="FFFFFF"/>
                <w:w w:val="99"/>
              </w:rPr>
              <w:t>Performance Share Units/</w:t>
            </w:r>
          </w:p>
        </w:tc>
        <w:tc>
          <w:tcPr>
            <w:tcW w:w="300" w:type="dxa"/>
            <w:vAlign w:val="bottom"/>
            <w:shd w:val="clear" w:color="auto" w:fill="D91E18"/>
          </w:tcPr>
          <w:p>
            <w:pPr>
              <w:spacing w:after="0"/>
              <w:rPr>
                <w:sz w:val="17"/>
                <w:szCs w:val="17"/>
                <w:color w:val="auto"/>
              </w:rPr>
            </w:pPr>
          </w:p>
        </w:tc>
        <w:tc>
          <w:tcPr>
            <w:tcW w:w="1300" w:type="dxa"/>
            <w:vAlign w:val="bottom"/>
            <w:tcBorders>
              <w:right w:val="single" w:sz="8" w:color="E5E5E5"/>
            </w:tcBorders>
            <w:shd w:val="clear" w:color="auto" w:fill="D91E18"/>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460" w:type="dxa"/>
            <w:vAlign w:val="bottom"/>
            <w:tcBorders>
              <w:left w:val="single" w:sz="8" w:color="E5E5E5"/>
              <w:right w:val="single" w:sz="8" w:color="E5E5E5"/>
            </w:tcBorders>
            <w:vMerge w:val="restart"/>
            <w:shd w:val="clear" w:color="auto" w:fill="D91E18"/>
          </w:tcPr>
          <w:p>
            <w:pPr>
              <w:ind w:left="40"/>
              <w:spacing w:after="0"/>
              <w:rPr>
                <w:sz w:val="20"/>
                <w:szCs w:val="20"/>
                <w:color w:val="auto"/>
              </w:rPr>
            </w:pPr>
            <w:r>
              <w:rPr>
                <w:rFonts w:ascii="Arial" w:cs="Arial" w:eastAsia="Arial" w:hAnsi="Arial"/>
                <w:sz w:val="18"/>
                <w:szCs w:val="18"/>
                <w:b w:val="1"/>
                <w:bCs w:val="1"/>
                <w:color w:val="FFFFFF"/>
              </w:rPr>
              <w:t>Named Executive Officer</w:t>
            </w:r>
          </w:p>
        </w:tc>
        <w:tc>
          <w:tcPr>
            <w:tcW w:w="160" w:type="dxa"/>
            <w:vAlign w:val="bottom"/>
            <w:shd w:val="clear" w:color="auto" w:fill="D91E18"/>
          </w:tcPr>
          <w:p>
            <w:pPr>
              <w:spacing w:after="0"/>
              <w:rPr>
                <w:sz w:val="15"/>
                <w:szCs w:val="15"/>
                <w:color w:val="auto"/>
              </w:rPr>
            </w:pPr>
          </w:p>
        </w:tc>
        <w:tc>
          <w:tcPr>
            <w:tcW w:w="1520" w:type="dxa"/>
            <w:vAlign w:val="bottom"/>
            <w:tcBorders>
              <w:right w:val="single" w:sz="8" w:color="E5E5E5"/>
            </w:tcBorders>
            <w:vMerge w:val="continue"/>
            <w:shd w:val="clear" w:color="auto" w:fill="D91E18"/>
          </w:tcPr>
          <w:p>
            <w:pPr>
              <w:spacing w:after="0"/>
              <w:rPr>
                <w:sz w:val="15"/>
                <w:szCs w:val="15"/>
                <w:color w:val="auto"/>
              </w:rPr>
            </w:pPr>
          </w:p>
        </w:tc>
        <w:tc>
          <w:tcPr>
            <w:tcW w:w="240" w:type="dxa"/>
            <w:vAlign w:val="bottom"/>
            <w:shd w:val="clear" w:color="auto" w:fill="D91E18"/>
          </w:tcPr>
          <w:p>
            <w:pPr>
              <w:spacing w:after="0"/>
              <w:rPr>
                <w:sz w:val="15"/>
                <w:szCs w:val="15"/>
                <w:color w:val="auto"/>
              </w:rPr>
            </w:pPr>
          </w:p>
        </w:tc>
        <w:tc>
          <w:tcPr>
            <w:tcW w:w="1260" w:type="dxa"/>
            <w:vAlign w:val="bottom"/>
            <w:tcBorders>
              <w:right w:val="single" w:sz="8" w:color="E5E5E5"/>
            </w:tcBorders>
            <w:vMerge w:val="restart"/>
            <w:shd w:val="clear" w:color="auto" w:fill="D91E18"/>
          </w:tcPr>
          <w:p>
            <w:pPr>
              <w:jc w:val="right"/>
              <w:ind w:right="330"/>
              <w:spacing w:after="0"/>
              <w:rPr>
                <w:sz w:val="20"/>
                <w:szCs w:val="20"/>
                <w:color w:val="auto"/>
              </w:rPr>
            </w:pPr>
            <w:r>
              <w:rPr>
                <w:rFonts w:ascii="Arial" w:cs="Arial" w:eastAsia="Arial" w:hAnsi="Arial"/>
                <w:sz w:val="18"/>
                <w:szCs w:val="18"/>
                <w:b w:val="1"/>
                <w:bCs w:val="1"/>
                <w:color w:val="FFFFFF"/>
              </w:rPr>
              <w:t>Bonus</w:t>
            </w:r>
            <w:r>
              <w:rPr>
                <w:rFonts w:ascii="Arial" w:cs="Arial" w:eastAsia="Arial" w:hAnsi="Arial"/>
                <w:sz w:val="23"/>
                <w:szCs w:val="23"/>
                <w:b w:val="1"/>
                <w:bCs w:val="1"/>
                <w:color w:val="FFFFFF"/>
                <w:vertAlign w:val="superscript"/>
              </w:rPr>
              <w:t>(1)</w:t>
            </w:r>
          </w:p>
        </w:tc>
        <w:tc>
          <w:tcPr>
            <w:tcW w:w="160" w:type="dxa"/>
            <w:vAlign w:val="bottom"/>
            <w:shd w:val="clear" w:color="auto" w:fill="D91E18"/>
          </w:tcPr>
          <w:p>
            <w:pPr>
              <w:spacing w:after="0"/>
              <w:rPr>
                <w:sz w:val="15"/>
                <w:szCs w:val="15"/>
                <w:color w:val="auto"/>
              </w:rPr>
            </w:pPr>
          </w:p>
        </w:tc>
        <w:tc>
          <w:tcPr>
            <w:tcW w:w="1400" w:type="dxa"/>
            <w:vAlign w:val="bottom"/>
            <w:tcBorders>
              <w:right w:val="single" w:sz="8" w:color="E5E5E5"/>
            </w:tcBorders>
            <w:vMerge w:val="continue"/>
            <w:shd w:val="clear" w:color="auto" w:fill="D91E18"/>
          </w:tcPr>
          <w:p>
            <w:pPr>
              <w:spacing w:after="0"/>
              <w:rPr>
                <w:sz w:val="15"/>
                <w:szCs w:val="15"/>
                <w:color w:val="auto"/>
              </w:rPr>
            </w:pPr>
          </w:p>
        </w:tc>
        <w:tc>
          <w:tcPr>
            <w:tcW w:w="2460" w:type="dxa"/>
            <w:vAlign w:val="bottom"/>
            <w:tcBorders>
              <w:right w:val="single" w:sz="8" w:color="E5E5E5"/>
            </w:tcBorders>
            <w:gridSpan w:val="2"/>
            <w:shd w:val="clear" w:color="auto" w:fill="D91E18"/>
          </w:tcPr>
          <w:p>
            <w:pPr>
              <w:ind w:left="20"/>
              <w:spacing w:after="0" w:line="176" w:lineRule="exact"/>
              <w:rPr>
                <w:sz w:val="20"/>
                <w:szCs w:val="20"/>
                <w:color w:val="auto"/>
              </w:rPr>
            </w:pPr>
            <w:r>
              <w:rPr>
                <w:rFonts w:ascii="Arial" w:cs="Arial" w:eastAsia="Arial" w:hAnsi="Arial"/>
                <w:sz w:val="18"/>
                <w:szCs w:val="18"/>
                <w:b w:val="1"/>
                <w:bCs w:val="1"/>
                <w:color w:val="FFFFFF"/>
                <w:w w:val="99"/>
              </w:rPr>
              <w:t>Restricted Stock/ Restricted</w:t>
            </w:r>
          </w:p>
        </w:tc>
        <w:tc>
          <w:tcPr>
            <w:tcW w:w="300" w:type="dxa"/>
            <w:vAlign w:val="bottom"/>
            <w:shd w:val="clear" w:color="auto" w:fill="D91E18"/>
          </w:tcPr>
          <w:p>
            <w:pPr>
              <w:spacing w:after="0"/>
              <w:rPr>
                <w:sz w:val="15"/>
                <w:szCs w:val="15"/>
                <w:color w:val="auto"/>
              </w:rPr>
            </w:pPr>
          </w:p>
        </w:tc>
        <w:tc>
          <w:tcPr>
            <w:tcW w:w="1300" w:type="dxa"/>
            <w:vAlign w:val="bottom"/>
            <w:tcBorders>
              <w:right w:val="single" w:sz="8" w:color="E5E5E5"/>
            </w:tcBorders>
            <w:vMerge w:val="restart"/>
            <w:shd w:val="clear" w:color="auto" w:fill="D91E18"/>
          </w:tcPr>
          <w:p>
            <w:pPr>
              <w:jc w:val="right"/>
              <w:ind w:right="510"/>
              <w:spacing w:after="0"/>
              <w:rPr>
                <w:sz w:val="20"/>
                <w:szCs w:val="20"/>
                <w:color w:val="auto"/>
              </w:rPr>
            </w:pPr>
            <w:r>
              <w:rPr>
                <w:rFonts w:ascii="Arial" w:cs="Arial" w:eastAsia="Arial" w:hAnsi="Arial"/>
                <w:sz w:val="18"/>
                <w:szCs w:val="18"/>
                <w:b w:val="1"/>
                <w:bCs w:val="1"/>
                <w:color w:val="FFFFFF"/>
              </w:rPr>
              <w:t>Total</w:t>
            </w:r>
          </w:p>
        </w:tc>
        <w:tc>
          <w:tcPr>
            <w:tcW w:w="0" w:type="dxa"/>
            <w:vAlign w:val="bottom"/>
          </w:tcPr>
          <w:p>
            <w:pPr>
              <w:spacing w:after="0"/>
              <w:rPr>
                <w:sz w:val="1"/>
                <w:szCs w:val="1"/>
                <w:color w:val="auto"/>
              </w:rPr>
            </w:pPr>
          </w:p>
        </w:tc>
      </w:tr>
      <w:tr>
        <w:trPr>
          <w:trHeight w:val="250"/>
        </w:trPr>
        <w:tc>
          <w:tcPr>
            <w:tcW w:w="2460" w:type="dxa"/>
            <w:vAlign w:val="bottom"/>
            <w:tcBorders>
              <w:left w:val="single" w:sz="8" w:color="E5E5E5"/>
              <w:right w:val="single" w:sz="8" w:color="E5E5E5"/>
            </w:tcBorders>
            <w:vMerge w:val="continue"/>
            <w:shd w:val="clear" w:color="auto" w:fill="D91E18"/>
          </w:tcPr>
          <w:p>
            <w:pPr>
              <w:spacing w:after="0"/>
              <w:rPr>
                <w:sz w:val="21"/>
                <w:szCs w:val="21"/>
                <w:color w:val="auto"/>
              </w:rPr>
            </w:pPr>
          </w:p>
        </w:tc>
        <w:tc>
          <w:tcPr>
            <w:tcW w:w="160" w:type="dxa"/>
            <w:vAlign w:val="bottom"/>
            <w:shd w:val="clear" w:color="auto" w:fill="D91E18"/>
          </w:tcPr>
          <w:p>
            <w:pPr>
              <w:spacing w:after="0"/>
              <w:rPr>
                <w:sz w:val="21"/>
                <w:szCs w:val="21"/>
                <w:color w:val="auto"/>
              </w:rPr>
            </w:pPr>
          </w:p>
        </w:tc>
        <w:tc>
          <w:tcPr>
            <w:tcW w:w="1520" w:type="dxa"/>
            <w:vAlign w:val="bottom"/>
            <w:tcBorders>
              <w:right w:val="single" w:sz="8" w:color="E5E5E5"/>
            </w:tcBorders>
            <w:shd w:val="clear" w:color="auto" w:fill="D91E18"/>
          </w:tcPr>
          <w:p>
            <w:pPr>
              <w:jc w:val="right"/>
              <w:ind w:right="150"/>
              <w:spacing w:after="0" w:line="243" w:lineRule="exact"/>
              <w:rPr>
                <w:sz w:val="20"/>
                <w:szCs w:val="20"/>
                <w:color w:val="auto"/>
              </w:rPr>
            </w:pPr>
            <w:r>
              <w:rPr>
                <w:rFonts w:ascii="Arial" w:cs="Arial" w:eastAsia="Arial" w:hAnsi="Arial"/>
                <w:sz w:val="18"/>
                <w:szCs w:val="18"/>
                <w:b w:val="1"/>
                <w:bCs w:val="1"/>
                <w:color w:val="FFFFFF"/>
                <w:w w:val="97"/>
              </w:rPr>
              <w:t>Continuation</w:t>
            </w:r>
            <w:r>
              <w:rPr>
                <w:rFonts w:ascii="Arial" w:cs="Arial" w:eastAsia="Arial" w:hAnsi="Arial"/>
                <w:sz w:val="23"/>
                <w:szCs w:val="23"/>
                <w:b w:val="1"/>
                <w:bCs w:val="1"/>
                <w:color w:val="FFFFFF"/>
                <w:w w:val="97"/>
                <w:vertAlign w:val="superscript"/>
              </w:rPr>
              <w:t>(1)</w:t>
            </w:r>
          </w:p>
        </w:tc>
        <w:tc>
          <w:tcPr>
            <w:tcW w:w="240" w:type="dxa"/>
            <w:vAlign w:val="bottom"/>
            <w:shd w:val="clear" w:color="auto" w:fill="D91E18"/>
          </w:tcPr>
          <w:p>
            <w:pPr>
              <w:spacing w:after="0"/>
              <w:rPr>
                <w:sz w:val="21"/>
                <w:szCs w:val="21"/>
                <w:color w:val="auto"/>
              </w:rPr>
            </w:pPr>
          </w:p>
        </w:tc>
        <w:tc>
          <w:tcPr>
            <w:tcW w:w="1260" w:type="dxa"/>
            <w:vAlign w:val="bottom"/>
            <w:tcBorders>
              <w:right w:val="single" w:sz="8" w:color="E5E5E5"/>
            </w:tcBorders>
            <w:vMerge w:val="continue"/>
            <w:shd w:val="clear" w:color="auto" w:fill="D91E18"/>
          </w:tcPr>
          <w:p>
            <w:pPr>
              <w:spacing w:after="0"/>
              <w:rPr>
                <w:sz w:val="21"/>
                <w:szCs w:val="21"/>
                <w:color w:val="auto"/>
              </w:rPr>
            </w:pPr>
          </w:p>
        </w:tc>
        <w:tc>
          <w:tcPr>
            <w:tcW w:w="160" w:type="dxa"/>
            <w:vAlign w:val="bottom"/>
            <w:shd w:val="clear" w:color="auto" w:fill="D91E18"/>
          </w:tcPr>
          <w:p>
            <w:pPr>
              <w:spacing w:after="0"/>
              <w:rPr>
                <w:sz w:val="21"/>
                <w:szCs w:val="21"/>
                <w:color w:val="auto"/>
              </w:rPr>
            </w:pPr>
          </w:p>
        </w:tc>
        <w:tc>
          <w:tcPr>
            <w:tcW w:w="1400" w:type="dxa"/>
            <w:vAlign w:val="bottom"/>
            <w:tcBorders>
              <w:right w:val="single" w:sz="8" w:color="E5E5E5"/>
            </w:tcBorders>
            <w:shd w:val="clear" w:color="auto" w:fill="D91E18"/>
          </w:tcPr>
          <w:p>
            <w:pPr>
              <w:ind w:left="60"/>
              <w:spacing w:after="0"/>
              <w:rPr>
                <w:sz w:val="20"/>
                <w:szCs w:val="20"/>
                <w:color w:val="auto"/>
              </w:rPr>
            </w:pPr>
            <w:r>
              <w:rPr>
                <w:rFonts w:ascii="Arial" w:cs="Arial" w:eastAsia="Arial" w:hAnsi="Arial"/>
                <w:sz w:val="18"/>
                <w:szCs w:val="18"/>
                <w:b w:val="1"/>
                <w:bCs w:val="1"/>
                <w:color w:val="FFFFFF"/>
              </w:rPr>
              <w:t>Continuation</w:t>
            </w:r>
          </w:p>
        </w:tc>
        <w:tc>
          <w:tcPr>
            <w:tcW w:w="120" w:type="dxa"/>
            <w:vAlign w:val="bottom"/>
            <w:shd w:val="clear" w:color="auto" w:fill="D91E18"/>
          </w:tcPr>
          <w:p>
            <w:pPr>
              <w:spacing w:after="0"/>
              <w:rPr>
                <w:sz w:val="21"/>
                <w:szCs w:val="21"/>
                <w:color w:val="auto"/>
              </w:rPr>
            </w:pPr>
          </w:p>
        </w:tc>
        <w:tc>
          <w:tcPr>
            <w:tcW w:w="2340" w:type="dxa"/>
            <w:vAlign w:val="bottom"/>
            <w:tcBorders>
              <w:right w:val="single" w:sz="8" w:color="E5E5E5"/>
            </w:tcBorders>
            <w:shd w:val="clear" w:color="auto" w:fill="D91E18"/>
          </w:tcPr>
          <w:p>
            <w:pPr>
              <w:jc w:val="right"/>
              <w:ind w:right="130"/>
              <w:spacing w:after="0"/>
              <w:rPr>
                <w:sz w:val="20"/>
                <w:szCs w:val="20"/>
                <w:color w:val="auto"/>
              </w:rPr>
            </w:pPr>
            <w:r>
              <w:rPr>
                <w:rFonts w:ascii="Arial" w:cs="Arial" w:eastAsia="Arial" w:hAnsi="Arial"/>
                <w:sz w:val="18"/>
                <w:szCs w:val="18"/>
                <w:b w:val="1"/>
                <w:bCs w:val="1"/>
                <w:color w:val="FFFFFF"/>
              </w:rPr>
              <w:t>Stock Unit Acceleration</w:t>
            </w:r>
          </w:p>
        </w:tc>
        <w:tc>
          <w:tcPr>
            <w:tcW w:w="300" w:type="dxa"/>
            <w:vAlign w:val="bottom"/>
            <w:shd w:val="clear" w:color="auto" w:fill="D91E18"/>
          </w:tcPr>
          <w:p>
            <w:pPr>
              <w:spacing w:after="0"/>
              <w:rPr>
                <w:sz w:val="21"/>
                <w:szCs w:val="21"/>
                <w:color w:val="auto"/>
              </w:rPr>
            </w:pPr>
          </w:p>
        </w:tc>
        <w:tc>
          <w:tcPr>
            <w:tcW w:w="1300" w:type="dxa"/>
            <w:vAlign w:val="bottom"/>
            <w:tcBorders>
              <w:right w:val="single" w:sz="8" w:color="E5E5E5"/>
            </w:tcBorders>
            <w:vMerge w:val="continue"/>
            <w:shd w:val="clear" w:color="auto" w:fill="D91E18"/>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460" w:type="dxa"/>
            <w:vAlign w:val="bottom"/>
            <w:tcBorders>
              <w:left w:val="single" w:sz="8" w:color="E5E5E5"/>
              <w:right w:val="single" w:sz="8" w:color="E5E5E5"/>
            </w:tcBorders>
            <w:shd w:val="clear" w:color="auto" w:fill="DBDBDB"/>
          </w:tcPr>
          <w:p>
            <w:pPr>
              <w:ind w:left="40"/>
              <w:spacing w:after="0"/>
              <w:rPr>
                <w:sz w:val="20"/>
                <w:szCs w:val="20"/>
                <w:color w:val="auto"/>
              </w:rPr>
            </w:pPr>
            <w:r>
              <w:rPr>
                <w:rFonts w:ascii="Arial" w:cs="Arial" w:eastAsia="Arial" w:hAnsi="Arial"/>
                <w:sz w:val="18"/>
                <w:szCs w:val="18"/>
                <w:color w:val="auto"/>
              </w:rPr>
              <w:t>David W. Hult</w:t>
            </w:r>
          </w:p>
        </w:tc>
        <w:tc>
          <w:tcPr>
            <w:tcW w:w="160" w:type="dxa"/>
            <w:vAlign w:val="bottom"/>
            <w:shd w:val="clear" w:color="auto" w:fill="DBDBDB"/>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right w:val="single" w:sz="8" w:color="E5E5E5"/>
            </w:tcBorders>
            <w:shd w:val="clear" w:color="auto" w:fill="DBDBDB"/>
          </w:tcPr>
          <w:p>
            <w:pPr>
              <w:jc w:val="right"/>
              <w:ind w:right="110"/>
              <w:spacing w:after="0"/>
              <w:rPr>
                <w:sz w:val="20"/>
                <w:szCs w:val="20"/>
                <w:color w:val="auto"/>
              </w:rPr>
            </w:pPr>
            <w:r>
              <w:rPr>
                <w:rFonts w:ascii="Arial" w:cs="Arial" w:eastAsia="Arial" w:hAnsi="Arial"/>
                <w:sz w:val="18"/>
                <w:szCs w:val="18"/>
                <w:color w:val="auto"/>
              </w:rPr>
              <w:t>2,600,000</w:t>
            </w:r>
          </w:p>
        </w:tc>
        <w:tc>
          <w:tcPr>
            <w:tcW w:w="240" w:type="dxa"/>
            <w:vAlign w:val="bottom"/>
            <w:shd w:val="clear" w:color="auto" w:fill="DBDBDB"/>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Borders>
              <w:right w:val="single" w:sz="8" w:color="E5E5E5"/>
            </w:tcBorders>
            <w:shd w:val="clear" w:color="auto" w:fill="DBDBDB"/>
          </w:tcPr>
          <w:p>
            <w:pPr>
              <w:jc w:val="right"/>
              <w:ind w:right="110"/>
              <w:spacing w:after="0"/>
              <w:rPr>
                <w:sz w:val="20"/>
                <w:szCs w:val="20"/>
                <w:color w:val="auto"/>
              </w:rPr>
            </w:pPr>
            <w:r>
              <w:rPr>
                <w:rFonts w:ascii="Arial" w:cs="Arial" w:eastAsia="Arial" w:hAnsi="Arial"/>
                <w:sz w:val="18"/>
                <w:szCs w:val="18"/>
                <w:color w:val="auto"/>
              </w:rPr>
              <w:t>3,422,250</w:t>
            </w:r>
          </w:p>
        </w:tc>
        <w:tc>
          <w:tcPr>
            <w:tcW w:w="16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right w:val="single" w:sz="8" w:color="E5E5E5"/>
            </w:tcBorders>
            <w:shd w:val="clear" w:color="auto" w:fill="DBDBDB"/>
          </w:tcPr>
          <w:p>
            <w:pPr>
              <w:ind w:left="1040"/>
              <w:spacing w:after="0"/>
              <w:rPr>
                <w:sz w:val="20"/>
                <w:szCs w:val="20"/>
                <w:color w:val="auto"/>
              </w:rPr>
            </w:pPr>
            <w:r>
              <w:rPr>
                <w:rFonts w:ascii="Arial" w:cs="Arial" w:eastAsia="Arial" w:hAnsi="Arial"/>
                <w:sz w:val="18"/>
                <w:szCs w:val="18"/>
                <w:color w:val="auto"/>
              </w:rPr>
              <w:t>—</w:t>
            </w:r>
          </w:p>
        </w:tc>
        <w:tc>
          <w:tcPr>
            <w:tcW w:w="120" w:type="dxa"/>
            <w:vAlign w:val="bottom"/>
            <w:shd w:val="clear" w:color="auto" w:fill="DBDBDB"/>
          </w:tcPr>
          <w:p>
            <w:pPr>
              <w:ind w:left="20"/>
              <w:spacing w:after="0"/>
              <w:rPr>
                <w:sz w:val="20"/>
                <w:szCs w:val="20"/>
                <w:color w:val="auto"/>
              </w:rPr>
            </w:pPr>
            <w:r>
              <w:rPr>
                <w:rFonts w:ascii="Arial" w:cs="Arial" w:eastAsia="Arial" w:hAnsi="Arial"/>
                <w:sz w:val="18"/>
                <w:szCs w:val="18"/>
                <w:color w:val="auto"/>
                <w:w w:val="79"/>
              </w:rPr>
              <w:t>$</w:t>
            </w:r>
          </w:p>
        </w:tc>
        <w:tc>
          <w:tcPr>
            <w:tcW w:w="2340" w:type="dxa"/>
            <w:vAlign w:val="bottom"/>
            <w:tcBorders>
              <w:right w:val="single" w:sz="8" w:color="E5E5E5"/>
            </w:tcBorders>
            <w:shd w:val="clear" w:color="auto" w:fill="DBDBDB"/>
          </w:tcPr>
          <w:p>
            <w:pPr>
              <w:jc w:val="right"/>
              <w:ind w:right="110"/>
              <w:spacing w:after="0"/>
              <w:rPr>
                <w:sz w:val="20"/>
                <w:szCs w:val="20"/>
                <w:color w:val="auto"/>
              </w:rPr>
            </w:pPr>
            <w:r>
              <w:rPr>
                <w:rFonts w:ascii="Arial" w:cs="Arial" w:eastAsia="Arial" w:hAnsi="Arial"/>
                <w:sz w:val="18"/>
                <w:szCs w:val="18"/>
                <w:color w:val="auto"/>
              </w:rPr>
              <w:t>6,070,646</w:t>
            </w:r>
          </w:p>
        </w:tc>
        <w:tc>
          <w:tcPr>
            <w:tcW w:w="30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right w:val="single" w:sz="8" w:color="E5E5E5"/>
            </w:tcBorders>
            <w:shd w:val="clear" w:color="auto" w:fill="DBDBDB"/>
          </w:tcPr>
          <w:p>
            <w:pPr>
              <w:jc w:val="right"/>
              <w:ind w:right="110"/>
              <w:spacing w:after="0"/>
              <w:rPr>
                <w:sz w:val="20"/>
                <w:szCs w:val="20"/>
                <w:color w:val="auto"/>
              </w:rPr>
            </w:pPr>
            <w:r>
              <w:rPr>
                <w:rFonts w:ascii="Arial" w:cs="Arial" w:eastAsia="Arial" w:hAnsi="Arial"/>
                <w:sz w:val="18"/>
                <w:szCs w:val="18"/>
                <w:color w:val="auto"/>
              </w:rPr>
              <w:t>12,092,896</w:t>
            </w:r>
          </w:p>
        </w:tc>
        <w:tc>
          <w:tcPr>
            <w:tcW w:w="0" w:type="dxa"/>
            <w:vAlign w:val="bottom"/>
          </w:tcPr>
          <w:p>
            <w:pPr>
              <w:spacing w:after="0"/>
              <w:rPr>
                <w:sz w:val="1"/>
                <w:szCs w:val="1"/>
                <w:color w:val="auto"/>
              </w:rPr>
            </w:pPr>
          </w:p>
        </w:tc>
      </w:tr>
      <w:tr>
        <w:trPr>
          <w:trHeight w:val="229"/>
        </w:trPr>
        <w:tc>
          <w:tcPr>
            <w:tcW w:w="2460" w:type="dxa"/>
            <w:vAlign w:val="bottom"/>
            <w:tcBorders>
              <w:left w:val="single" w:sz="8" w:color="E5E5E5"/>
              <w:right w:val="single" w:sz="8" w:color="E5E5E5"/>
            </w:tcBorders>
          </w:tcPr>
          <w:p>
            <w:pPr>
              <w:ind w:left="40"/>
              <w:spacing w:after="0"/>
              <w:rPr>
                <w:sz w:val="20"/>
                <w:szCs w:val="20"/>
                <w:color w:val="auto"/>
              </w:rPr>
            </w:pPr>
            <w:r>
              <w:rPr>
                <w:rFonts w:ascii="Arial" w:cs="Arial" w:eastAsia="Arial" w:hAnsi="Arial"/>
                <w:sz w:val="18"/>
                <w:szCs w:val="18"/>
                <w:color w:val="auto"/>
              </w:rPr>
              <w:t>Michael Welch</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right w:val="single" w:sz="8" w:color="E5E5E5"/>
            </w:tcBorders>
          </w:tcPr>
          <w:p>
            <w:pPr>
              <w:jc w:val="right"/>
              <w:ind w:right="110"/>
              <w:spacing w:after="0"/>
              <w:rPr>
                <w:sz w:val="20"/>
                <w:szCs w:val="20"/>
                <w:color w:val="auto"/>
              </w:rPr>
            </w:pPr>
            <w:r>
              <w:rPr>
                <w:rFonts w:ascii="Arial" w:cs="Arial" w:eastAsia="Arial" w:hAnsi="Arial"/>
                <w:sz w:val="18"/>
                <w:szCs w:val="18"/>
                <w:color w:val="auto"/>
              </w:rPr>
              <w:t>725,000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Borders>
              <w:right w:val="single" w:sz="8" w:color="E5E5E5"/>
            </w:tcBorders>
          </w:tcPr>
          <w:p>
            <w:pPr>
              <w:jc w:val="right"/>
              <w:ind w:right="110"/>
              <w:spacing w:after="0"/>
              <w:rPr>
                <w:sz w:val="20"/>
                <w:szCs w:val="20"/>
                <w:color w:val="auto"/>
              </w:rPr>
            </w:pPr>
            <w:r>
              <w:rPr>
                <w:rFonts w:ascii="Arial" w:cs="Arial" w:eastAsia="Arial" w:hAnsi="Arial"/>
                <w:sz w:val="18"/>
                <w:szCs w:val="18"/>
                <w:color w:val="auto"/>
              </w:rPr>
              <w:t>585,438</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right w:val="single" w:sz="8" w:color="E5E5E5"/>
            </w:tcBorders>
          </w:tcPr>
          <w:p>
            <w:pPr>
              <w:ind w:left="1040"/>
              <w:spacing w:after="0"/>
              <w:rPr>
                <w:sz w:val="20"/>
                <w:szCs w:val="20"/>
                <w:color w:val="auto"/>
              </w:rPr>
            </w:pPr>
            <w:r>
              <w:rPr>
                <w:rFonts w:ascii="Arial" w:cs="Arial" w:eastAsia="Arial" w:hAnsi="Arial"/>
                <w:sz w:val="18"/>
                <w:szCs w:val="18"/>
                <w:color w:val="auto"/>
              </w:rPr>
              <w:t>—</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2340" w:type="dxa"/>
            <w:vAlign w:val="bottom"/>
            <w:tcBorders>
              <w:right w:val="single" w:sz="8" w:color="E5E5E5"/>
            </w:tcBorders>
          </w:tcPr>
          <w:p>
            <w:pPr>
              <w:jc w:val="right"/>
              <w:ind w:right="11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right w:val="single" w:sz="8" w:color="E5E5E5"/>
            </w:tcBorders>
          </w:tcPr>
          <w:p>
            <w:pPr>
              <w:jc w:val="right"/>
              <w:ind w:right="110"/>
              <w:spacing w:after="0"/>
              <w:rPr>
                <w:sz w:val="20"/>
                <w:szCs w:val="20"/>
                <w:color w:val="auto"/>
              </w:rPr>
            </w:pPr>
            <w:r>
              <w:rPr>
                <w:rFonts w:ascii="Arial" w:cs="Arial" w:eastAsia="Arial" w:hAnsi="Arial"/>
                <w:sz w:val="18"/>
                <w:szCs w:val="18"/>
                <w:color w:val="auto"/>
              </w:rPr>
              <w:t>1,310,438</w:t>
            </w:r>
          </w:p>
        </w:tc>
        <w:tc>
          <w:tcPr>
            <w:tcW w:w="0" w:type="dxa"/>
            <w:vAlign w:val="bottom"/>
          </w:tcPr>
          <w:p>
            <w:pPr>
              <w:spacing w:after="0"/>
              <w:rPr>
                <w:sz w:val="1"/>
                <w:szCs w:val="1"/>
                <w:color w:val="auto"/>
              </w:rPr>
            </w:pPr>
          </w:p>
        </w:tc>
      </w:tr>
      <w:tr>
        <w:trPr>
          <w:trHeight w:val="257"/>
        </w:trPr>
        <w:tc>
          <w:tcPr>
            <w:tcW w:w="2460" w:type="dxa"/>
            <w:vAlign w:val="bottom"/>
            <w:tcBorders>
              <w:left w:val="single" w:sz="8" w:color="E5E5E5"/>
              <w:right w:val="single" w:sz="8" w:color="E5E5E5"/>
            </w:tcBorders>
            <w:shd w:val="clear" w:color="auto" w:fill="DBDBDB"/>
          </w:tcPr>
          <w:p>
            <w:pPr>
              <w:ind w:left="40"/>
              <w:spacing w:after="0"/>
              <w:rPr>
                <w:sz w:val="20"/>
                <w:szCs w:val="20"/>
                <w:color w:val="auto"/>
              </w:rPr>
            </w:pPr>
            <w:r>
              <w:rPr>
                <w:rFonts w:ascii="Arial" w:cs="Arial" w:eastAsia="Arial" w:hAnsi="Arial"/>
                <w:sz w:val="18"/>
                <w:szCs w:val="18"/>
                <w:color w:val="auto"/>
              </w:rPr>
              <w:t>Daniel Clara</w:t>
            </w:r>
          </w:p>
        </w:tc>
        <w:tc>
          <w:tcPr>
            <w:tcW w:w="160" w:type="dxa"/>
            <w:vAlign w:val="bottom"/>
            <w:shd w:val="clear" w:color="auto" w:fill="DBDBDB"/>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right w:val="single" w:sz="8" w:color="E5E5E5"/>
            </w:tcBorders>
            <w:shd w:val="clear" w:color="auto" w:fill="DBDBDB"/>
          </w:tcPr>
          <w:p>
            <w:pPr>
              <w:jc w:val="right"/>
              <w:ind w:right="110"/>
              <w:spacing w:after="0"/>
              <w:rPr>
                <w:sz w:val="20"/>
                <w:szCs w:val="20"/>
                <w:color w:val="auto"/>
              </w:rPr>
            </w:pPr>
            <w:r>
              <w:rPr>
                <w:rFonts w:ascii="Arial" w:cs="Arial" w:eastAsia="Arial" w:hAnsi="Arial"/>
                <w:sz w:val="18"/>
                <w:szCs w:val="18"/>
                <w:color w:val="auto"/>
              </w:rPr>
              <w:t>750,000</w:t>
            </w:r>
          </w:p>
        </w:tc>
        <w:tc>
          <w:tcPr>
            <w:tcW w:w="240" w:type="dxa"/>
            <w:vAlign w:val="bottom"/>
            <w:shd w:val="clear" w:color="auto" w:fill="DBDBDB"/>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Borders>
              <w:right w:val="single" w:sz="8" w:color="E5E5E5"/>
            </w:tcBorders>
            <w:shd w:val="clear" w:color="auto" w:fill="DBDBDB"/>
          </w:tcPr>
          <w:p>
            <w:pPr>
              <w:jc w:val="right"/>
              <w:ind w:right="110"/>
              <w:spacing w:after="0"/>
              <w:rPr>
                <w:sz w:val="20"/>
                <w:szCs w:val="20"/>
                <w:color w:val="auto"/>
              </w:rPr>
            </w:pPr>
            <w:r>
              <w:rPr>
                <w:rFonts w:ascii="Arial" w:cs="Arial" w:eastAsia="Arial" w:hAnsi="Arial"/>
                <w:sz w:val="18"/>
                <w:szCs w:val="18"/>
                <w:color w:val="auto"/>
              </w:rPr>
              <w:t>605,625</w:t>
            </w:r>
          </w:p>
        </w:tc>
        <w:tc>
          <w:tcPr>
            <w:tcW w:w="16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right w:val="single" w:sz="8" w:color="E5E5E5"/>
            </w:tcBorders>
            <w:shd w:val="clear" w:color="auto" w:fill="DBDBDB"/>
          </w:tcPr>
          <w:p>
            <w:pPr>
              <w:ind w:left="1040"/>
              <w:spacing w:after="0"/>
              <w:rPr>
                <w:sz w:val="20"/>
                <w:szCs w:val="20"/>
                <w:color w:val="auto"/>
              </w:rPr>
            </w:pPr>
            <w:r>
              <w:rPr>
                <w:rFonts w:ascii="Arial" w:cs="Arial" w:eastAsia="Arial" w:hAnsi="Arial"/>
                <w:sz w:val="18"/>
                <w:szCs w:val="18"/>
                <w:color w:val="auto"/>
              </w:rPr>
              <w:t>—</w:t>
            </w:r>
          </w:p>
        </w:tc>
        <w:tc>
          <w:tcPr>
            <w:tcW w:w="120" w:type="dxa"/>
            <w:vAlign w:val="bottom"/>
            <w:shd w:val="clear" w:color="auto" w:fill="DBDBDB"/>
          </w:tcPr>
          <w:p>
            <w:pPr>
              <w:ind w:left="20"/>
              <w:spacing w:after="0"/>
              <w:rPr>
                <w:sz w:val="20"/>
                <w:szCs w:val="20"/>
                <w:color w:val="auto"/>
              </w:rPr>
            </w:pPr>
            <w:r>
              <w:rPr>
                <w:rFonts w:ascii="Arial" w:cs="Arial" w:eastAsia="Arial" w:hAnsi="Arial"/>
                <w:sz w:val="18"/>
                <w:szCs w:val="18"/>
                <w:color w:val="auto"/>
                <w:w w:val="79"/>
              </w:rPr>
              <w:t>$</w:t>
            </w:r>
          </w:p>
        </w:tc>
        <w:tc>
          <w:tcPr>
            <w:tcW w:w="2340" w:type="dxa"/>
            <w:vAlign w:val="bottom"/>
            <w:tcBorders>
              <w:right w:val="single" w:sz="8" w:color="E5E5E5"/>
            </w:tcBorders>
            <w:shd w:val="clear" w:color="auto" w:fill="DBDBDB"/>
          </w:tcPr>
          <w:p>
            <w:pPr>
              <w:jc w:val="right"/>
              <w:ind w:right="110"/>
              <w:spacing w:after="0"/>
              <w:rPr>
                <w:sz w:val="20"/>
                <w:szCs w:val="20"/>
                <w:color w:val="auto"/>
              </w:rPr>
            </w:pPr>
            <w:r>
              <w:rPr>
                <w:rFonts w:ascii="Arial" w:cs="Arial" w:eastAsia="Arial" w:hAnsi="Arial"/>
                <w:sz w:val="18"/>
                <w:szCs w:val="18"/>
                <w:color w:val="auto"/>
              </w:rPr>
              <w:t>—</w:t>
            </w:r>
          </w:p>
        </w:tc>
        <w:tc>
          <w:tcPr>
            <w:tcW w:w="30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right w:val="single" w:sz="8" w:color="E5E5E5"/>
            </w:tcBorders>
            <w:shd w:val="clear" w:color="auto" w:fill="DBDBDB"/>
          </w:tcPr>
          <w:p>
            <w:pPr>
              <w:jc w:val="right"/>
              <w:ind w:right="110"/>
              <w:spacing w:after="0"/>
              <w:rPr>
                <w:sz w:val="20"/>
                <w:szCs w:val="20"/>
                <w:color w:val="auto"/>
              </w:rPr>
            </w:pPr>
            <w:r>
              <w:rPr>
                <w:rFonts w:ascii="Arial" w:cs="Arial" w:eastAsia="Arial" w:hAnsi="Arial"/>
                <w:sz w:val="18"/>
                <w:szCs w:val="18"/>
                <w:color w:val="auto"/>
              </w:rPr>
              <w:t>1,355,625</w:t>
            </w:r>
          </w:p>
        </w:tc>
        <w:tc>
          <w:tcPr>
            <w:tcW w:w="0" w:type="dxa"/>
            <w:vAlign w:val="bottom"/>
          </w:tcPr>
          <w:p>
            <w:pPr>
              <w:spacing w:after="0"/>
              <w:rPr>
                <w:sz w:val="1"/>
                <w:szCs w:val="1"/>
                <w:color w:val="auto"/>
              </w:rPr>
            </w:pPr>
          </w:p>
        </w:tc>
      </w:tr>
      <w:tr>
        <w:trPr>
          <w:trHeight w:val="229"/>
        </w:trPr>
        <w:tc>
          <w:tcPr>
            <w:tcW w:w="2460" w:type="dxa"/>
            <w:vAlign w:val="bottom"/>
            <w:tcBorders>
              <w:left w:val="single" w:sz="8" w:color="E5E5E5"/>
              <w:right w:val="single" w:sz="8" w:color="E5E5E5"/>
            </w:tcBorders>
          </w:tcPr>
          <w:p>
            <w:pPr>
              <w:ind w:left="40"/>
              <w:spacing w:after="0"/>
              <w:rPr>
                <w:sz w:val="20"/>
                <w:szCs w:val="20"/>
                <w:color w:val="auto"/>
              </w:rPr>
            </w:pPr>
            <w:r>
              <w:rPr>
                <w:rFonts w:ascii="Arial" w:cs="Arial" w:eastAsia="Arial" w:hAnsi="Arial"/>
                <w:sz w:val="18"/>
                <w:szCs w:val="18"/>
                <w:color w:val="auto"/>
              </w:rPr>
              <w:t>Jed Milstein</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right w:val="single" w:sz="8" w:color="E5E5E5"/>
            </w:tcBorders>
          </w:tcPr>
          <w:p>
            <w:pPr>
              <w:jc w:val="right"/>
              <w:ind w:right="110"/>
              <w:spacing w:after="0"/>
              <w:rPr>
                <w:sz w:val="20"/>
                <w:szCs w:val="20"/>
                <w:color w:val="auto"/>
              </w:rPr>
            </w:pPr>
            <w:r>
              <w:rPr>
                <w:rFonts w:ascii="Arial" w:cs="Arial" w:eastAsia="Arial" w:hAnsi="Arial"/>
                <w:sz w:val="18"/>
                <w:szCs w:val="18"/>
                <w:color w:val="auto"/>
              </w:rPr>
              <w:t>625,000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Borders>
              <w:right w:val="single" w:sz="8" w:color="E5E5E5"/>
            </w:tcBorders>
          </w:tcPr>
          <w:p>
            <w:pPr>
              <w:jc w:val="right"/>
              <w:ind w:right="110"/>
              <w:spacing w:after="0"/>
              <w:rPr>
                <w:sz w:val="20"/>
                <w:szCs w:val="20"/>
                <w:color w:val="auto"/>
              </w:rPr>
            </w:pPr>
            <w:r>
              <w:rPr>
                <w:rFonts w:ascii="Arial" w:cs="Arial" w:eastAsia="Arial" w:hAnsi="Arial"/>
                <w:sz w:val="18"/>
                <w:szCs w:val="18"/>
                <w:color w:val="auto"/>
              </w:rPr>
              <w:t>504,688</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right w:val="single" w:sz="8" w:color="E5E5E5"/>
            </w:tcBorders>
          </w:tcPr>
          <w:p>
            <w:pPr>
              <w:ind w:left="1040"/>
              <w:spacing w:after="0"/>
              <w:rPr>
                <w:sz w:val="20"/>
                <w:szCs w:val="20"/>
                <w:color w:val="auto"/>
              </w:rPr>
            </w:pPr>
            <w:r>
              <w:rPr>
                <w:rFonts w:ascii="Arial" w:cs="Arial" w:eastAsia="Arial" w:hAnsi="Arial"/>
                <w:sz w:val="18"/>
                <w:szCs w:val="18"/>
                <w:color w:val="auto"/>
              </w:rPr>
              <w:t>—</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2340" w:type="dxa"/>
            <w:vAlign w:val="bottom"/>
            <w:tcBorders>
              <w:right w:val="single" w:sz="8" w:color="E5E5E5"/>
            </w:tcBorders>
          </w:tcPr>
          <w:p>
            <w:pPr>
              <w:jc w:val="right"/>
              <w:ind w:right="11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right w:val="single" w:sz="8" w:color="E5E5E5"/>
            </w:tcBorders>
          </w:tcPr>
          <w:p>
            <w:pPr>
              <w:jc w:val="right"/>
              <w:ind w:right="110"/>
              <w:spacing w:after="0"/>
              <w:rPr>
                <w:sz w:val="20"/>
                <w:szCs w:val="20"/>
                <w:color w:val="auto"/>
              </w:rPr>
            </w:pPr>
            <w:r>
              <w:rPr>
                <w:rFonts w:ascii="Arial" w:cs="Arial" w:eastAsia="Arial" w:hAnsi="Arial"/>
                <w:sz w:val="18"/>
                <w:szCs w:val="18"/>
                <w:color w:val="auto"/>
              </w:rPr>
              <w:t>1,129,688</w:t>
            </w:r>
          </w:p>
        </w:tc>
        <w:tc>
          <w:tcPr>
            <w:tcW w:w="0" w:type="dxa"/>
            <w:vAlign w:val="bottom"/>
          </w:tcPr>
          <w:p>
            <w:pPr>
              <w:spacing w:after="0"/>
              <w:rPr>
                <w:sz w:val="1"/>
                <w:szCs w:val="1"/>
                <w:color w:val="auto"/>
              </w:rPr>
            </w:pPr>
          </w:p>
        </w:tc>
      </w:tr>
      <w:tr>
        <w:trPr>
          <w:trHeight w:val="257"/>
        </w:trPr>
        <w:tc>
          <w:tcPr>
            <w:tcW w:w="2460" w:type="dxa"/>
            <w:vAlign w:val="bottom"/>
            <w:tcBorders>
              <w:left w:val="single" w:sz="8" w:color="E5E5E5"/>
              <w:right w:val="single" w:sz="8" w:color="E5E5E5"/>
            </w:tcBorders>
            <w:shd w:val="clear" w:color="auto" w:fill="DBDBDB"/>
          </w:tcPr>
          <w:p>
            <w:pPr>
              <w:ind w:left="40"/>
              <w:spacing w:after="0"/>
              <w:rPr>
                <w:sz w:val="20"/>
                <w:szCs w:val="20"/>
                <w:color w:val="auto"/>
              </w:rPr>
            </w:pPr>
            <w:r>
              <w:rPr>
                <w:rFonts w:ascii="Arial" w:cs="Arial" w:eastAsia="Arial" w:hAnsi="Arial"/>
                <w:sz w:val="18"/>
                <w:szCs w:val="18"/>
                <w:color w:val="auto"/>
              </w:rPr>
              <w:t>Dean Calloway</w:t>
            </w:r>
          </w:p>
        </w:tc>
        <w:tc>
          <w:tcPr>
            <w:tcW w:w="160" w:type="dxa"/>
            <w:vAlign w:val="bottom"/>
            <w:shd w:val="clear" w:color="auto" w:fill="DBDBDB"/>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right w:val="single" w:sz="8" w:color="E5E5E5"/>
            </w:tcBorders>
            <w:shd w:val="clear" w:color="auto" w:fill="DBDBDB"/>
          </w:tcPr>
          <w:p>
            <w:pPr>
              <w:jc w:val="right"/>
              <w:ind w:right="110"/>
              <w:spacing w:after="0"/>
              <w:rPr>
                <w:sz w:val="20"/>
                <w:szCs w:val="20"/>
                <w:color w:val="auto"/>
              </w:rPr>
            </w:pPr>
            <w:r>
              <w:rPr>
                <w:rFonts w:ascii="Arial" w:cs="Arial" w:eastAsia="Arial" w:hAnsi="Arial"/>
                <w:sz w:val="18"/>
                <w:szCs w:val="18"/>
                <w:color w:val="auto"/>
              </w:rPr>
              <w:t>600,000</w:t>
            </w:r>
          </w:p>
        </w:tc>
        <w:tc>
          <w:tcPr>
            <w:tcW w:w="240" w:type="dxa"/>
            <w:vAlign w:val="bottom"/>
            <w:shd w:val="clear" w:color="auto" w:fill="DBDBDB"/>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Borders>
              <w:right w:val="single" w:sz="8" w:color="E5E5E5"/>
            </w:tcBorders>
            <w:shd w:val="clear" w:color="auto" w:fill="DBDBDB"/>
          </w:tcPr>
          <w:p>
            <w:pPr>
              <w:jc w:val="right"/>
              <w:ind w:right="110"/>
              <w:spacing w:after="0"/>
              <w:rPr>
                <w:sz w:val="20"/>
                <w:szCs w:val="20"/>
                <w:color w:val="auto"/>
              </w:rPr>
            </w:pPr>
            <w:r>
              <w:rPr>
                <w:rFonts w:ascii="Arial" w:cs="Arial" w:eastAsia="Arial" w:hAnsi="Arial"/>
                <w:sz w:val="18"/>
                <w:szCs w:val="18"/>
                <w:color w:val="auto"/>
              </w:rPr>
              <w:t>427,500</w:t>
            </w:r>
          </w:p>
        </w:tc>
        <w:tc>
          <w:tcPr>
            <w:tcW w:w="16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right w:val="single" w:sz="8" w:color="E5E5E5"/>
            </w:tcBorders>
            <w:shd w:val="clear" w:color="auto" w:fill="DBDBDB"/>
          </w:tcPr>
          <w:p>
            <w:pPr>
              <w:ind w:left="1040"/>
              <w:spacing w:after="0"/>
              <w:rPr>
                <w:sz w:val="20"/>
                <w:szCs w:val="20"/>
                <w:color w:val="auto"/>
              </w:rPr>
            </w:pPr>
            <w:r>
              <w:rPr>
                <w:rFonts w:ascii="Arial" w:cs="Arial" w:eastAsia="Arial" w:hAnsi="Arial"/>
                <w:sz w:val="18"/>
                <w:szCs w:val="18"/>
                <w:color w:val="auto"/>
              </w:rPr>
              <w:t>—</w:t>
            </w:r>
          </w:p>
        </w:tc>
        <w:tc>
          <w:tcPr>
            <w:tcW w:w="120" w:type="dxa"/>
            <w:vAlign w:val="bottom"/>
            <w:shd w:val="clear" w:color="auto" w:fill="DBDBDB"/>
          </w:tcPr>
          <w:p>
            <w:pPr>
              <w:ind w:left="20"/>
              <w:spacing w:after="0"/>
              <w:rPr>
                <w:sz w:val="20"/>
                <w:szCs w:val="20"/>
                <w:color w:val="auto"/>
              </w:rPr>
            </w:pPr>
            <w:r>
              <w:rPr>
                <w:rFonts w:ascii="Arial" w:cs="Arial" w:eastAsia="Arial" w:hAnsi="Arial"/>
                <w:sz w:val="18"/>
                <w:szCs w:val="18"/>
                <w:color w:val="auto"/>
                <w:w w:val="79"/>
              </w:rPr>
              <w:t>$</w:t>
            </w:r>
          </w:p>
        </w:tc>
        <w:tc>
          <w:tcPr>
            <w:tcW w:w="2340" w:type="dxa"/>
            <w:vAlign w:val="bottom"/>
            <w:tcBorders>
              <w:right w:val="single" w:sz="8" w:color="E5E5E5"/>
            </w:tcBorders>
            <w:shd w:val="clear" w:color="auto" w:fill="DBDBDB"/>
          </w:tcPr>
          <w:p>
            <w:pPr>
              <w:jc w:val="right"/>
              <w:ind w:right="110"/>
              <w:spacing w:after="0"/>
              <w:rPr>
                <w:sz w:val="20"/>
                <w:szCs w:val="20"/>
                <w:color w:val="auto"/>
              </w:rPr>
            </w:pPr>
            <w:r>
              <w:rPr>
                <w:rFonts w:ascii="Arial" w:cs="Arial" w:eastAsia="Arial" w:hAnsi="Arial"/>
                <w:sz w:val="18"/>
                <w:szCs w:val="18"/>
                <w:color w:val="auto"/>
              </w:rPr>
              <w:t>—</w:t>
            </w:r>
          </w:p>
        </w:tc>
        <w:tc>
          <w:tcPr>
            <w:tcW w:w="30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right w:val="single" w:sz="8" w:color="E5E5E5"/>
            </w:tcBorders>
            <w:shd w:val="clear" w:color="auto" w:fill="DBDBDB"/>
          </w:tcPr>
          <w:p>
            <w:pPr>
              <w:jc w:val="right"/>
              <w:ind w:right="110"/>
              <w:spacing w:after="0"/>
              <w:rPr>
                <w:sz w:val="20"/>
                <w:szCs w:val="20"/>
                <w:color w:val="auto"/>
              </w:rPr>
            </w:pPr>
            <w:r>
              <w:rPr>
                <w:rFonts w:ascii="Arial" w:cs="Arial" w:eastAsia="Arial" w:hAnsi="Arial"/>
                <w:sz w:val="18"/>
                <w:szCs w:val="18"/>
                <w:color w:val="auto"/>
              </w:rPr>
              <w:t>1,027,500</w:t>
            </w:r>
          </w:p>
        </w:tc>
        <w:tc>
          <w:tcPr>
            <w:tcW w:w="0" w:type="dxa"/>
            <w:vAlign w:val="bottom"/>
          </w:tcPr>
          <w:p>
            <w:pPr>
              <w:spacing w:after="0"/>
              <w:rPr>
                <w:sz w:val="1"/>
                <w:szCs w:val="1"/>
                <w:color w:val="auto"/>
              </w:rPr>
            </w:pPr>
          </w:p>
        </w:tc>
      </w:tr>
      <w:tr>
        <w:trPr>
          <w:trHeight w:val="230"/>
        </w:trPr>
        <w:tc>
          <w:tcPr>
            <w:tcW w:w="2460" w:type="dxa"/>
            <w:vAlign w:val="bottom"/>
            <w:tcBorders>
              <w:left w:val="single" w:sz="8" w:color="E5E5E5"/>
              <w:right w:val="single" w:sz="8" w:color="E5E5E5"/>
            </w:tcBorders>
          </w:tcPr>
          <w:p>
            <w:pPr>
              <w:ind w:left="40"/>
              <w:spacing w:after="0" w:line="230" w:lineRule="exact"/>
              <w:rPr>
                <w:sz w:val="20"/>
                <w:szCs w:val="20"/>
                <w:color w:val="auto"/>
              </w:rPr>
            </w:pPr>
            <w:r>
              <w:rPr>
                <w:rFonts w:ascii="Arial" w:cs="Arial" w:eastAsia="Arial" w:hAnsi="Arial"/>
                <w:sz w:val="18"/>
                <w:szCs w:val="18"/>
                <w:color w:val="auto"/>
              </w:rPr>
              <w:t>George A. Villasana</w:t>
            </w:r>
            <w:r>
              <w:rPr>
                <w:rFonts w:ascii="Arial" w:cs="Arial" w:eastAsia="Arial" w:hAnsi="Arial"/>
                <w:sz w:val="23"/>
                <w:szCs w:val="23"/>
                <w:color w:val="auto"/>
                <w:vertAlign w:val="superscript"/>
              </w:rPr>
              <w:t>(2)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right w:val="single" w:sz="8" w:color="E5E5E5"/>
            </w:tcBorders>
          </w:tcPr>
          <w:p>
            <w:pPr>
              <w:jc w:val="right"/>
              <w:ind w:right="110"/>
              <w:spacing w:after="0"/>
              <w:rPr>
                <w:sz w:val="20"/>
                <w:szCs w:val="20"/>
                <w:color w:val="auto"/>
              </w:rPr>
            </w:pPr>
            <w:r>
              <w:rPr>
                <w:rFonts w:ascii="Arial" w:cs="Arial" w:eastAsia="Arial" w:hAnsi="Arial"/>
                <w:sz w:val="18"/>
                <w:szCs w:val="18"/>
                <w:color w:val="auto"/>
              </w:rPr>
              <w:t>175,000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Borders>
              <w:right w:val="single" w:sz="8" w:color="E5E5E5"/>
            </w:tcBorders>
          </w:tcPr>
          <w:p>
            <w:pPr>
              <w:jc w:val="right"/>
              <w:ind w:right="110"/>
              <w:spacing w:after="0"/>
              <w:rPr>
                <w:sz w:val="20"/>
                <w:szCs w:val="20"/>
                <w:color w:val="auto"/>
              </w:rPr>
            </w:pPr>
            <w:r>
              <w:rPr>
                <w:rFonts w:ascii="Arial" w:cs="Arial" w:eastAsia="Arial" w:hAnsi="Arial"/>
                <w:sz w:val="18"/>
                <w:szCs w:val="18"/>
                <w:color w:val="auto"/>
              </w:rPr>
              <w:t>282,625</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right w:val="single" w:sz="8" w:color="E5E5E5"/>
            </w:tcBorders>
          </w:tcPr>
          <w:p>
            <w:pPr>
              <w:ind w:left="1040"/>
              <w:spacing w:after="0"/>
              <w:rPr>
                <w:sz w:val="20"/>
                <w:szCs w:val="20"/>
                <w:color w:val="auto"/>
              </w:rPr>
            </w:pPr>
            <w:r>
              <w:rPr>
                <w:rFonts w:ascii="Arial" w:cs="Arial" w:eastAsia="Arial" w:hAnsi="Arial"/>
                <w:sz w:val="18"/>
                <w:szCs w:val="18"/>
                <w:color w:val="auto"/>
              </w:rPr>
              <w:t>—</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2340" w:type="dxa"/>
            <w:vAlign w:val="bottom"/>
            <w:tcBorders>
              <w:right w:val="single" w:sz="8" w:color="E5E5E5"/>
            </w:tcBorders>
          </w:tcPr>
          <w:p>
            <w:pPr>
              <w:jc w:val="right"/>
              <w:ind w:right="110"/>
              <w:spacing w:after="0"/>
              <w:rPr>
                <w:sz w:val="20"/>
                <w:szCs w:val="20"/>
                <w:color w:val="auto"/>
              </w:rPr>
            </w:pPr>
            <w:r>
              <w:rPr>
                <w:rFonts w:ascii="Arial" w:cs="Arial" w:eastAsia="Arial" w:hAnsi="Arial"/>
                <w:sz w:val="18"/>
                <w:szCs w:val="18"/>
                <w:color w:val="auto"/>
              </w:rPr>
              <w:t>1,679,094</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right w:val="single" w:sz="8" w:color="E5E5E5"/>
            </w:tcBorders>
          </w:tcPr>
          <w:p>
            <w:pPr>
              <w:jc w:val="right"/>
              <w:ind w:right="110"/>
              <w:spacing w:after="0"/>
              <w:rPr>
                <w:sz w:val="20"/>
                <w:szCs w:val="20"/>
                <w:color w:val="auto"/>
              </w:rPr>
            </w:pPr>
            <w:r>
              <w:rPr>
                <w:rFonts w:ascii="Arial" w:cs="Arial" w:eastAsia="Arial" w:hAnsi="Arial"/>
                <w:sz w:val="18"/>
                <w:szCs w:val="18"/>
                <w:color w:val="auto"/>
              </w:rPr>
              <w:t>2,136,719</w:t>
            </w:r>
          </w:p>
        </w:tc>
        <w:tc>
          <w:tcPr>
            <w:tcW w:w="0" w:type="dxa"/>
            <w:vAlign w:val="bottom"/>
          </w:tcPr>
          <w:p>
            <w:pPr>
              <w:spacing w:after="0"/>
              <w:rPr>
                <w:sz w:val="1"/>
                <w:szCs w:val="1"/>
                <w:color w:val="auto"/>
              </w:rPr>
            </w:pPr>
          </w:p>
        </w:tc>
      </w:tr>
      <w:tr>
        <w:trPr>
          <w:trHeight w:val="256"/>
        </w:trPr>
        <w:tc>
          <w:tcPr>
            <w:tcW w:w="2460" w:type="dxa"/>
            <w:vAlign w:val="bottom"/>
            <w:tcBorders>
              <w:left w:val="single" w:sz="8" w:color="E5E5E5"/>
              <w:right w:val="single" w:sz="8" w:color="E5E5E5"/>
            </w:tcBorders>
            <w:shd w:val="clear" w:color="auto" w:fill="DBDBDB"/>
          </w:tcPr>
          <w:p>
            <w:pPr>
              <w:ind w:left="40"/>
              <w:spacing w:after="0" w:line="243" w:lineRule="exact"/>
              <w:rPr>
                <w:sz w:val="20"/>
                <w:szCs w:val="20"/>
                <w:color w:val="auto"/>
              </w:rPr>
            </w:pPr>
            <w:r>
              <w:rPr>
                <w:rFonts w:ascii="Arial" w:cs="Arial" w:eastAsia="Arial" w:hAnsi="Arial"/>
                <w:sz w:val="18"/>
                <w:szCs w:val="18"/>
                <w:color w:val="auto"/>
              </w:rPr>
              <w:t>Miran Maric</w:t>
            </w:r>
            <w:r>
              <w:rPr>
                <w:rFonts w:ascii="Arial" w:cs="Arial" w:eastAsia="Arial" w:hAnsi="Arial"/>
                <w:sz w:val="23"/>
                <w:szCs w:val="23"/>
                <w:color w:val="auto"/>
                <w:vertAlign w:val="superscript"/>
              </w:rPr>
              <w:t>(3)</w:t>
            </w:r>
          </w:p>
        </w:tc>
        <w:tc>
          <w:tcPr>
            <w:tcW w:w="160" w:type="dxa"/>
            <w:vAlign w:val="bottom"/>
            <w:shd w:val="clear" w:color="auto" w:fill="DBDBDB"/>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right w:val="single" w:sz="8" w:color="E5E5E5"/>
            </w:tcBorders>
            <w:shd w:val="clear" w:color="auto" w:fill="DBDBDB"/>
          </w:tcPr>
          <w:p>
            <w:pPr>
              <w:jc w:val="right"/>
              <w:ind w:right="110"/>
              <w:spacing w:after="0"/>
              <w:rPr>
                <w:sz w:val="20"/>
                <w:szCs w:val="20"/>
                <w:color w:val="auto"/>
              </w:rPr>
            </w:pPr>
            <w:r>
              <w:rPr>
                <w:rFonts w:ascii="Arial" w:cs="Arial" w:eastAsia="Arial" w:hAnsi="Arial"/>
                <w:sz w:val="18"/>
                <w:szCs w:val="18"/>
                <w:color w:val="auto"/>
              </w:rPr>
              <w:t>—</w:t>
            </w:r>
          </w:p>
        </w:tc>
        <w:tc>
          <w:tcPr>
            <w:tcW w:w="240" w:type="dxa"/>
            <w:vAlign w:val="bottom"/>
            <w:shd w:val="clear" w:color="auto" w:fill="DBDBDB"/>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Borders>
              <w:right w:val="single" w:sz="8" w:color="E5E5E5"/>
            </w:tcBorders>
            <w:shd w:val="clear" w:color="auto" w:fill="DBDBDB"/>
          </w:tcPr>
          <w:p>
            <w:pPr>
              <w:jc w:val="right"/>
              <w:ind w:right="110"/>
              <w:spacing w:after="0"/>
              <w:rPr>
                <w:sz w:val="20"/>
                <w:szCs w:val="20"/>
                <w:color w:val="auto"/>
              </w:rPr>
            </w:pPr>
            <w:r>
              <w:rPr>
                <w:rFonts w:ascii="Arial" w:cs="Arial" w:eastAsia="Arial" w:hAnsi="Arial"/>
                <w:sz w:val="18"/>
                <w:szCs w:val="18"/>
                <w:color w:val="auto"/>
              </w:rPr>
              <w:t>—</w:t>
            </w:r>
          </w:p>
        </w:tc>
        <w:tc>
          <w:tcPr>
            <w:tcW w:w="16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right w:val="single" w:sz="8" w:color="E5E5E5"/>
            </w:tcBorders>
            <w:shd w:val="clear" w:color="auto" w:fill="DBDBDB"/>
          </w:tcPr>
          <w:p>
            <w:pPr>
              <w:ind w:left="1040"/>
              <w:spacing w:after="0"/>
              <w:rPr>
                <w:sz w:val="20"/>
                <w:szCs w:val="20"/>
                <w:color w:val="auto"/>
              </w:rPr>
            </w:pPr>
            <w:r>
              <w:rPr>
                <w:rFonts w:ascii="Arial" w:cs="Arial" w:eastAsia="Arial" w:hAnsi="Arial"/>
                <w:sz w:val="18"/>
                <w:szCs w:val="18"/>
                <w:color w:val="auto"/>
              </w:rPr>
              <w:t>—</w:t>
            </w:r>
          </w:p>
        </w:tc>
        <w:tc>
          <w:tcPr>
            <w:tcW w:w="120" w:type="dxa"/>
            <w:vAlign w:val="bottom"/>
            <w:shd w:val="clear" w:color="auto" w:fill="DBDBDB"/>
          </w:tcPr>
          <w:p>
            <w:pPr>
              <w:ind w:left="20"/>
              <w:spacing w:after="0"/>
              <w:rPr>
                <w:sz w:val="20"/>
                <w:szCs w:val="20"/>
                <w:color w:val="auto"/>
              </w:rPr>
            </w:pPr>
            <w:r>
              <w:rPr>
                <w:rFonts w:ascii="Arial" w:cs="Arial" w:eastAsia="Arial" w:hAnsi="Arial"/>
                <w:sz w:val="18"/>
                <w:szCs w:val="18"/>
                <w:color w:val="auto"/>
                <w:w w:val="79"/>
              </w:rPr>
              <w:t>$</w:t>
            </w:r>
          </w:p>
        </w:tc>
        <w:tc>
          <w:tcPr>
            <w:tcW w:w="2340" w:type="dxa"/>
            <w:vAlign w:val="bottom"/>
            <w:tcBorders>
              <w:right w:val="single" w:sz="8" w:color="E5E5E5"/>
            </w:tcBorders>
            <w:shd w:val="clear" w:color="auto" w:fill="DBDBDB"/>
          </w:tcPr>
          <w:p>
            <w:pPr>
              <w:jc w:val="right"/>
              <w:ind w:right="110"/>
              <w:spacing w:after="0"/>
              <w:rPr>
                <w:sz w:val="20"/>
                <w:szCs w:val="20"/>
                <w:color w:val="auto"/>
              </w:rPr>
            </w:pPr>
            <w:r>
              <w:rPr>
                <w:rFonts w:ascii="Arial" w:cs="Arial" w:eastAsia="Arial" w:hAnsi="Arial"/>
                <w:sz w:val="18"/>
                <w:szCs w:val="18"/>
                <w:color w:val="auto"/>
              </w:rPr>
              <w:t>—</w:t>
            </w:r>
          </w:p>
        </w:tc>
        <w:tc>
          <w:tcPr>
            <w:tcW w:w="30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right w:val="single" w:sz="8" w:color="E5E5E5"/>
            </w:tcBorders>
            <w:shd w:val="clear" w:color="auto" w:fill="DBDBDB"/>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340" w:right="420" w:hanging="332"/>
        <w:spacing w:after="0" w:line="281" w:lineRule="auto"/>
        <w:tabs>
          <w:tab w:leader="none" w:pos="335" w:val="left"/>
        </w:tabs>
        <w:numPr>
          <w:ilvl w:val="0"/>
          <w:numId w:val="62"/>
        </w:numPr>
        <w:rPr>
          <w:rFonts w:ascii="Arial" w:cs="Arial" w:eastAsia="Arial" w:hAnsi="Arial"/>
          <w:sz w:val="16"/>
          <w:szCs w:val="16"/>
          <w:color w:val="auto"/>
        </w:rPr>
      </w:pPr>
      <w:r>
        <w:rPr>
          <w:rFonts w:ascii="Arial" w:cs="Arial" w:eastAsia="Arial" w:hAnsi="Arial"/>
          <w:sz w:val="16"/>
          <w:szCs w:val="16"/>
          <w:color w:val="auto"/>
        </w:rPr>
        <w:t>Based upon the annual base salary in effect at December 31, 2024 and actual non-equity incentive plan compensation payable for 2024, which are described above in the "Compensation Discussion &amp; Analysis" section of this proxy statement.</w:t>
      </w:r>
    </w:p>
    <w:p>
      <w:pPr>
        <w:spacing w:after="0" w:line="1" w:lineRule="exact"/>
        <w:rPr>
          <w:rFonts w:ascii="Arial" w:cs="Arial" w:eastAsia="Arial" w:hAnsi="Arial"/>
          <w:sz w:val="16"/>
          <w:szCs w:val="16"/>
          <w:color w:val="auto"/>
        </w:rPr>
      </w:pPr>
    </w:p>
    <w:p>
      <w:pPr>
        <w:ind w:left="340" w:right="220" w:hanging="332"/>
        <w:spacing w:after="0" w:line="275" w:lineRule="auto"/>
        <w:tabs>
          <w:tab w:leader="none" w:pos="335" w:val="left"/>
        </w:tabs>
        <w:numPr>
          <w:ilvl w:val="0"/>
          <w:numId w:val="62"/>
        </w:numPr>
        <w:rPr>
          <w:rFonts w:ascii="Arial" w:cs="Arial" w:eastAsia="Arial" w:hAnsi="Arial"/>
          <w:sz w:val="16"/>
          <w:szCs w:val="16"/>
          <w:color w:val="auto"/>
        </w:rPr>
      </w:pPr>
      <w:r>
        <w:rPr>
          <w:rFonts w:ascii="Arial" w:cs="Arial" w:eastAsia="Arial" w:hAnsi="Arial"/>
          <w:sz w:val="16"/>
          <w:szCs w:val="16"/>
          <w:color w:val="auto"/>
        </w:rPr>
        <w:t>Reflects Mr. Villasana's Transition and Retirement Agreement. For a description of fiscal 2024 compensation amounts paid to Mr. Villasana in connection with his Transition and Retirement Agreement see "Potential Payments Upon Termination or Change in Control–Severance and Transition Agreements” above.</w:t>
      </w:r>
    </w:p>
    <w:p>
      <w:pPr>
        <w:spacing w:after="0" w:line="15" w:lineRule="exact"/>
        <w:rPr>
          <w:rFonts w:ascii="Arial" w:cs="Arial" w:eastAsia="Arial" w:hAnsi="Arial"/>
          <w:sz w:val="16"/>
          <w:szCs w:val="16"/>
          <w:color w:val="auto"/>
        </w:rPr>
      </w:pPr>
    </w:p>
    <w:p>
      <w:pPr>
        <w:ind w:left="320" w:hanging="312"/>
        <w:spacing w:after="0"/>
        <w:tabs>
          <w:tab w:leader="none" w:pos="320" w:val="left"/>
        </w:tabs>
        <w:numPr>
          <w:ilvl w:val="0"/>
          <w:numId w:val="62"/>
        </w:numPr>
        <w:rPr>
          <w:rFonts w:ascii="Arial" w:cs="Arial" w:eastAsia="Arial" w:hAnsi="Arial"/>
          <w:sz w:val="16"/>
          <w:szCs w:val="16"/>
          <w:color w:val="auto"/>
        </w:rPr>
      </w:pPr>
      <w:r>
        <w:rPr>
          <w:rFonts w:ascii="Arial" w:cs="Arial" w:eastAsia="Arial" w:hAnsi="Arial"/>
          <w:sz w:val="16"/>
          <w:szCs w:val="16"/>
          <w:color w:val="auto"/>
        </w:rPr>
        <w:t>Mr. Maric terminated prior to December 31, 2024 and would not have any potential payments as of December 31, 2024.</w:t>
      </w:r>
    </w:p>
    <w:p>
      <w:pPr>
        <w:spacing w:after="0" w:line="8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Qualifying Termination Assuming Change in Control</w:t>
      </w:r>
    </w:p>
    <w:p>
      <w:pPr>
        <w:spacing w:after="0" w:line="12"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2460" w:type="dxa"/>
            <w:vAlign w:val="bottom"/>
            <w:tcBorders>
              <w:left w:val="single" w:sz="8" w:color="E5E5E5"/>
              <w:right w:val="single" w:sz="8" w:color="E5E5E5"/>
            </w:tcBorders>
            <w:shd w:val="clear" w:color="auto" w:fill="D91E18"/>
          </w:tcPr>
          <w:p>
            <w:pPr>
              <w:spacing w:after="0"/>
              <w:rPr>
                <w:sz w:val="17"/>
                <w:szCs w:val="17"/>
                <w:color w:val="auto"/>
              </w:rPr>
            </w:pPr>
          </w:p>
        </w:tc>
        <w:tc>
          <w:tcPr>
            <w:tcW w:w="180" w:type="dxa"/>
            <w:vAlign w:val="bottom"/>
            <w:shd w:val="clear" w:color="auto" w:fill="D91E18"/>
          </w:tcPr>
          <w:p>
            <w:pPr>
              <w:spacing w:after="0"/>
              <w:rPr>
                <w:sz w:val="17"/>
                <w:szCs w:val="17"/>
                <w:color w:val="auto"/>
              </w:rPr>
            </w:pPr>
          </w:p>
        </w:tc>
        <w:tc>
          <w:tcPr>
            <w:tcW w:w="1600" w:type="dxa"/>
            <w:vAlign w:val="bottom"/>
            <w:tcBorders>
              <w:right w:val="single" w:sz="8" w:color="E5E5E5"/>
            </w:tcBorders>
            <w:vMerge w:val="restart"/>
            <w:shd w:val="clear" w:color="auto" w:fill="D91E18"/>
          </w:tcPr>
          <w:p>
            <w:pPr>
              <w:jc w:val="right"/>
              <w:ind w:right="310"/>
              <w:spacing w:after="0"/>
              <w:rPr>
                <w:sz w:val="20"/>
                <w:szCs w:val="20"/>
                <w:color w:val="auto"/>
              </w:rPr>
            </w:pPr>
            <w:r>
              <w:rPr>
                <w:rFonts w:ascii="Arial" w:cs="Arial" w:eastAsia="Arial" w:hAnsi="Arial"/>
                <w:sz w:val="18"/>
                <w:szCs w:val="18"/>
                <w:b w:val="1"/>
                <w:bCs w:val="1"/>
                <w:color w:val="FFFFFF"/>
              </w:rPr>
              <w:t>Base Salary</w:t>
            </w:r>
          </w:p>
        </w:tc>
        <w:tc>
          <w:tcPr>
            <w:tcW w:w="220" w:type="dxa"/>
            <w:vAlign w:val="bottom"/>
            <w:shd w:val="clear" w:color="auto" w:fill="D91E18"/>
          </w:tcPr>
          <w:p>
            <w:pPr>
              <w:spacing w:after="0"/>
              <w:rPr>
                <w:sz w:val="17"/>
                <w:szCs w:val="17"/>
                <w:color w:val="auto"/>
              </w:rPr>
            </w:pPr>
          </w:p>
        </w:tc>
        <w:tc>
          <w:tcPr>
            <w:tcW w:w="1180" w:type="dxa"/>
            <w:vAlign w:val="bottom"/>
            <w:tcBorders>
              <w:right w:val="single" w:sz="8" w:color="E5E5E5"/>
            </w:tcBorders>
            <w:shd w:val="clear" w:color="auto" w:fill="D91E18"/>
          </w:tcPr>
          <w:p>
            <w:pPr>
              <w:spacing w:after="0"/>
              <w:rPr>
                <w:sz w:val="17"/>
                <w:szCs w:val="17"/>
                <w:color w:val="auto"/>
              </w:rPr>
            </w:pPr>
          </w:p>
        </w:tc>
        <w:tc>
          <w:tcPr>
            <w:tcW w:w="160" w:type="dxa"/>
            <w:vAlign w:val="bottom"/>
            <w:shd w:val="clear" w:color="auto" w:fill="D91E18"/>
          </w:tcPr>
          <w:p>
            <w:pPr>
              <w:spacing w:after="0"/>
              <w:rPr>
                <w:sz w:val="17"/>
                <w:szCs w:val="17"/>
                <w:color w:val="auto"/>
              </w:rPr>
            </w:pPr>
          </w:p>
        </w:tc>
        <w:tc>
          <w:tcPr>
            <w:tcW w:w="1360" w:type="dxa"/>
            <w:vAlign w:val="bottom"/>
            <w:tcBorders>
              <w:right w:val="single" w:sz="8" w:color="E5E5E5"/>
            </w:tcBorders>
            <w:vMerge w:val="restart"/>
            <w:shd w:val="clear" w:color="auto" w:fill="D91E18"/>
          </w:tcPr>
          <w:p>
            <w:pPr>
              <w:ind w:left="240"/>
              <w:spacing w:after="0"/>
              <w:rPr>
                <w:sz w:val="20"/>
                <w:szCs w:val="20"/>
                <w:color w:val="auto"/>
              </w:rPr>
            </w:pPr>
            <w:r>
              <w:rPr>
                <w:rFonts w:ascii="Arial" w:cs="Arial" w:eastAsia="Arial" w:hAnsi="Arial"/>
                <w:sz w:val="18"/>
                <w:szCs w:val="18"/>
                <w:b w:val="1"/>
                <w:bCs w:val="1"/>
                <w:color w:val="FFFFFF"/>
              </w:rPr>
              <w:t>Benefits</w:t>
            </w:r>
          </w:p>
        </w:tc>
        <w:tc>
          <w:tcPr>
            <w:tcW w:w="120" w:type="dxa"/>
            <w:vAlign w:val="bottom"/>
            <w:shd w:val="clear" w:color="auto" w:fill="D91E18"/>
          </w:tcPr>
          <w:p>
            <w:pPr>
              <w:spacing w:after="0"/>
              <w:rPr>
                <w:sz w:val="17"/>
                <w:szCs w:val="17"/>
                <w:color w:val="auto"/>
              </w:rPr>
            </w:pPr>
          </w:p>
        </w:tc>
        <w:tc>
          <w:tcPr>
            <w:tcW w:w="2380" w:type="dxa"/>
            <w:vAlign w:val="bottom"/>
            <w:tcBorders>
              <w:right w:val="single" w:sz="8" w:color="E5E5E5"/>
            </w:tcBorders>
            <w:shd w:val="clear" w:color="auto" w:fill="D91E18"/>
          </w:tcPr>
          <w:p>
            <w:pPr>
              <w:jc w:val="center"/>
              <w:ind w:right="50"/>
              <w:spacing w:after="0"/>
              <w:rPr>
                <w:sz w:val="20"/>
                <w:szCs w:val="20"/>
                <w:color w:val="auto"/>
              </w:rPr>
            </w:pPr>
            <w:r>
              <w:rPr>
                <w:rFonts w:ascii="Arial" w:cs="Arial" w:eastAsia="Arial" w:hAnsi="Arial"/>
                <w:sz w:val="18"/>
                <w:szCs w:val="18"/>
                <w:b w:val="1"/>
                <w:bCs w:val="1"/>
                <w:color w:val="FFFFFF"/>
                <w:w w:val="99"/>
              </w:rPr>
              <w:t>Performance Share Units/</w:t>
            </w:r>
          </w:p>
        </w:tc>
        <w:tc>
          <w:tcPr>
            <w:tcW w:w="300" w:type="dxa"/>
            <w:vAlign w:val="bottom"/>
            <w:shd w:val="clear" w:color="auto" w:fill="D91E18"/>
          </w:tcPr>
          <w:p>
            <w:pPr>
              <w:spacing w:after="0"/>
              <w:rPr>
                <w:sz w:val="17"/>
                <w:szCs w:val="17"/>
                <w:color w:val="auto"/>
              </w:rPr>
            </w:pPr>
          </w:p>
        </w:tc>
        <w:tc>
          <w:tcPr>
            <w:tcW w:w="1300" w:type="dxa"/>
            <w:vAlign w:val="bottom"/>
            <w:tcBorders>
              <w:right w:val="single" w:sz="8" w:color="E5E5E5"/>
            </w:tcBorders>
            <w:shd w:val="clear" w:color="auto" w:fill="D91E18"/>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460" w:type="dxa"/>
            <w:vAlign w:val="bottom"/>
            <w:tcBorders>
              <w:left w:val="single" w:sz="8" w:color="E5E5E5"/>
              <w:right w:val="single" w:sz="8" w:color="E5E5E5"/>
            </w:tcBorders>
            <w:vMerge w:val="restart"/>
            <w:shd w:val="clear" w:color="auto" w:fill="D91E18"/>
          </w:tcPr>
          <w:p>
            <w:pPr>
              <w:ind w:left="40"/>
              <w:spacing w:after="0"/>
              <w:rPr>
                <w:sz w:val="20"/>
                <w:szCs w:val="20"/>
                <w:color w:val="auto"/>
              </w:rPr>
            </w:pPr>
            <w:r>
              <w:rPr>
                <w:rFonts w:ascii="Arial" w:cs="Arial" w:eastAsia="Arial" w:hAnsi="Arial"/>
                <w:sz w:val="18"/>
                <w:szCs w:val="18"/>
                <w:b w:val="1"/>
                <w:bCs w:val="1"/>
                <w:color w:val="FFFFFF"/>
              </w:rPr>
              <w:t>Named Executive Officer</w:t>
            </w:r>
          </w:p>
        </w:tc>
        <w:tc>
          <w:tcPr>
            <w:tcW w:w="180" w:type="dxa"/>
            <w:vAlign w:val="bottom"/>
            <w:shd w:val="clear" w:color="auto" w:fill="D91E18"/>
          </w:tcPr>
          <w:p>
            <w:pPr>
              <w:spacing w:after="0"/>
              <w:rPr>
                <w:sz w:val="15"/>
                <w:szCs w:val="15"/>
                <w:color w:val="auto"/>
              </w:rPr>
            </w:pPr>
          </w:p>
        </w:tc>
        <w:tc>
          <w:tcPr>
            <w:tcW w:w="1600" w:type="dxa"/>
            <w:vAlign w:val="bottom"/>
            <w:tcBorders>
              <w:right w:val="single" w:sz="8" w:color="E5E5E5"/>
            </w:tcBorders>
            <w:vMerge w:val="continue"/>
            <w:shd w:val="clear" w:color="auto" w:fill="D91E18"/>
          </w:tcPr>
          <w:p>
            <w:pPr>
              <w:spacing w:after="0"/>
              <w:rPr>
                <w:sz w:val="15"/>
                <w:szCs w:val="15"/>
                <w:color w:val="auto"/>
              </w:rPr>
            </w:pPr>
          </w:p>
        </w:tc>
        <w:tc>
          <w:tcPr>
            <w:tcW w:w="220" w:type="dxa"/>
            <w:vAlign w:val="bottom"/>
            <w:shd w:val="clear" w:color="auto" w:fill="D91E18"/>
          </w:tcPr>
          <w:p>
            <w:pPr>
              <w:spacing w:after="0"/>
              <w:rPr>
                <w:sz w:val="15"/>
                <w:szCs w:val="15"/>
                <w:color w:val="auto"/>
              </w:rPr>
            </w:pPr>
          </w:p>
        </w:tc>
        <w:tc>
          <w:tcPr>
            <w:tcW w:w="1180" w:type="dxa"/>
            <w:vAlign w:val="bottom"/>
            <w:tcBorders>
              <w:right w:val="single" w:sz="8" w:color="E5E5E5"/>
            </w:tcBorders>
            <w:vMerge w:val="restart"/>
            <w:shd w:val="clear" w:color="auto" w:fill="D91E18"/>
          </w:tcPr>
          <w:p>
            <w:pPr>
              <w:jc w:val="right"/>
              <w:ind w:right="270"/>
              <w:spacing w:after="0"/>
              <w:rPr>
                <w:sz w:val="20"/>
                <w:szCs w:val="20"/>
                <w:color w:val="auto"/>
              </w:rPr>
            </w:pPr>
            <w:r>
              <w:rPr>
                <w:rFonts w:ascii="Arial" w:cs="Arial" w:eastAsia="Arial" w:hAnsi="Arial"/>
                <w:sz w:val="18"/>
                <w:szCs w:val="18"/>
                <w:b w:val="1"/>
                <w:bCs w:val="1"/>
                <w:color w:val="FFFFFF"/>
              </w:rPr>
              <w:t>Bonus</w:t>
            </w:r>
            <w:r>
              <w:rPr>
                <w:rFonts w:ascii="Arial" w:cs="Arial" w:eastAsia="Arial" w:hAnsi="Arial"/>
                <w:sz w:val="23"/>
                <w:szCs w:val="23"/>
                <w:b w:val="1"/>
                <w:bCs w:val="1"/>
                <w:color w:val="FFFFFF"/>
                <w:vertAlign w:val="superscript"/>
              </w:rPr>
              <w:t>(1)</w:t>
            </w:r>
          </w:p>
        </w:tc>
        <w:tc>
          <w:tcPr>
            <w:tcW w:w="160" w:type="dxa"/>
            <w:vAlign w:val="bottom"/>
            <w:shd w:val="clear" w:color="auto" w:fill="D91E18"/>
          </w:tcPr>
          <w:p>
            <w:pPr>
              <w:spacing w:after="0"/>
              <w:rPr>
                <w:sz w:val="15"/>
                <w:szCs w:val="15"/>
                <w:color w:val="auto"/>
              </w:rPr>
            </w:pPr>
          </w:p>
        </w:tc>
        <w:tc>
          <w:tcPr>
            <w:tcW w:w="1360" w:type="dxa"/>
            <w:vAlign w:val="bottom"/>
            <w:tcBorders>
              <w:right w:val="single" w:sz="8" w:color="E5E5E5"/>
            </w:tcBorders>
            <w:vMerge w:val="continue"/>
            <w:shd w:val="clear" w:color="auto" w:fill="D91E18"/>
          </w:tcPr>
          <w:p>
            <w:pPr>
              <w:spacing w:after="0"/>
              <w:rPr>
                <w:sz w:val="15"/>
                <w:szCs w:val="15"/>
                <w:color w:val="auto"/>
              </w:rPr>
            </w:pPr>
          </w:p>
        </w:tc>
        <w:tc>
          <w:tcPr>
            <w:tcW w:w="2500" w:type="dxa"/>
            <w:vAlign w:val="bottom"/>
            <w:tcBorders>
              <w:right w:val="single" w:sz="8" w:color="E5E5E5"/>
            </w:tcBorders>
            <w:gridSpan w:val="2"/>
            <w:shd w:val="clear" w:color="auto" w:fill="D91E18"/>
          </w:tcPr>
          <w:p>
            <w:pPr>
              <w:jc w:val="center"/>
              <w:spacing w:after="0" w:line="176" w:lineRule="exact"/>
              <w:rPr>
                <w:sz w:val="20"/>
                <w:szCs w:val="20"/>
                <w:color w:val="auto"/>
              </w:rPr>
            </w:pPr>
            <w:r>
              <w:rPr>
                <w:rFonts w:ascii="Arial" w:cs="Arial" w:eastAsia="Arial" w:hAnsi="Arial"/>
                <w:sz w:val="18"/>
                <w:szCs w:val="18"/>
                <w:b w:val="1"/>
                <w:bCs w:val="1"/>
                <w:color w:val="FFFFFF"/>
                <w:w w:val="99"/>
              </w:rPr>
              <w:t>Restricted Stock/ Restricted</w:t>
            </w:r>
          </w:p>
        </w:tc>
        <w:tc>
          <w:tcPr>
            <w:tcW w:w="300" w:type="dxa"/>
            <w:vAlign w:val="bottom"/>
            <w:shd w:val="clear" w:color="auto" w:fill="D91E18"/>
          </w:tcPr>
          <w:p>
            <w:pPr>
              <w:spacing w:after="0"/>
              <w:rPr>
                <w:sz w:val="15"/>
                <w:szCs w:val="15"/>
                <w:color w:val="auto"/>
              </w:rPr>
            </w:pPr>
          </w:p>
        </w:tc>
        <w:tc>
          <w:tcPr>
            <w:tcW w:w="1300" w:type="dxa"/>
            <w:vAlign w:val="bottom"/>
            <w:tcBorders>
              <w:right w:val="single" w:sz="8" w:color="E5E5E5"/>
            </w:tcBorders>
            <w:vMerge w:val="restart"/>
            <w:shd w:val="clear" w:color="auto" w:fill="D91E18"/>
          </w:tcPr>
          <w:p>
            <w:pPr>
              <w:jc w:val="right"/>
              <w:ind w:right="510"/>
              <w:spacing w:after="0"/>
              <w:rPr>
                <w:sz w:val="20"/>
                <w:szCs w:val="20"/>
                <w:color w:val="auto"/>
              </w:rPr>
            </w:pPr>
            <w:r>
              <w:rPr>
                <w:rFonts w:ascii="Arial" w:cs="Arial" w:eastAsia="Arial" w:hAnsi="Arial"/>
                <w:sz w:val="18"/>
                <w:szCs w:val="18"/>
                <w:b w:val="1"/>
                <w:bCs w:val="1"/>
                <w:color w:val="FFFFFF"/>
              </w:rPr>
              <w:t>Total</w:t>
            </w:r>
          </w:p>
        </w:tc>
        <w:tc>
          <w:tcPr>
            <w:tcW w:w="0" w:type="dxa"/>
            <w:vAlign w:val="bottom"/>
          </w:tcPr>
          <w:p>
            <w:pPr>
              <w:spacing w:after="0"/>
              <w:rPr>
                <w:sz w:val="1"/>
                <w:szCs w:val="1"/>
                <w:color w:val="auto"/>
              </w:rPr>
            </w:pPr>
          </w:p>
        </w:tc>
      </w:tr>
      <w:tr>
        <w:trPr>
          <w:trHeight w:val="250"/>
        </w:trPr>
        <w:tc>
          <w:tcPr>
            <w:tcW w:w="2460" w:type="dxa"/>
            <w:vAlign w:val="bottom"/>
            <w:tcBorders>
              <w:left w:val="single" w:sz="8" w:color="E5E5E5"/>
              <w:right w:val="single" w:sz="8" w:color="E5E5E5"/>
            </w:tcBorders>
            <w:vMerge w:val="continue"/>
            <w:shd w:val="clear" w:color="auto" w:fill="D91E18"/>
          </w:tcPr>
          <w:p>
            <w:pPr>
              <w:spacing w:after="0"/>
              <w:rPr>
                <w:sz w:val="21"/>
                <w:szCs w:val="21"/>
                <w:color w:val="auto"/>
              </w:rPr>
            </w:pPr>
          </w:p>
        </w:tc>
        <w:tc>
          <w:tcPr>
            <w:tcW w:w="180" w:type="dxa"/>
            <w:vAlign w:val="bottom"/>
            <w:shd w:val="clear" w:color="auto" w:fill="D91E18"/>
          </w:tcPr>
          <w:p>
            <w:pPr>
              <w:spacing w:after="0"/>
              <w:rPr>
                <w:sz w:val="21"/>
                <w:szCs w:val="21"/>
                <w:color w:val="auto"/>
              </w:rPr>
            </w:pPr>
          </w:p>
        </w:tc>
        <w:tc>
          <w:tcPr>
            <w:tcW w:w="1600" w:type="dxa"/>
            <w:vAlign w:val="bottom"/>
            <w:tcBorders>
              <w:right w:val="single" w:sz="8" w:color="E5E5E5"/>
            </w:tcBorders>
            <w:shd w:val="clear" w:color="auto" w:fill="D91E18"/>
          </w:tcPr>
          <w:p>
            <w:pPr>
              <w:jc w:val="right"/>
              <w:ind w:right="190"/>
              <w:spacing w:after="0" w:line="243" w:lineRule="exact"/>
              <w:rPr>
                <w:sz w:val="20"/>
                <w:szCs w:val="20"/>
                <w:color w:val="auto"/>
              </w:rPr>
            </w:pPr>
            <w:r>
              <w:rPr>
                <w:rFonts w:ascii="Arial" w:cs="Arial" w:eastAsia="Arial" w:hAnsi="Arial"/>
                <w:sz w:val="18"/>
                <w:szCs w:val="18"/>
                <w:b w:val="1"/>
                <w:bCs w:val="1"/>
                <w:color w:val="FFFFFF"/>
              </w:rPr>
              <w:t>Continuation</w:t>
            </w:r>
            <w:r>
              <w:rPr>
                <w:rFonts w:ascii="Arial" w:cs="Arial" w:eastAsia="Arial" w:hAnsi="Arial"/>
                <w:sz w:val="23"/>
                <w:szCs w:val="23"/>
                <w:b w:val="1"/>
                <w:bCs w:val="1"/>
                <w:color w:val="FFFFFF"/>
                <w:vertAlign w:val="superscript"/>
              </w:rPr>
              <w:t>(1)</w:t>
            </w:r>
          </w:p>
        </w:tc>
        <w:tc>
          <w:tcPr>
            <w:tcW w:w="220" w:type="dxa"/>
            <w:vAlign w:val="bottom"/>
            <w:shd w:val="clear" w:color="auto" w:fill="D91E18"/>
          </w:tcPr>
          <w:p>
            <w:pPr>
              <w:spacing w:after="0"/>
              <w:rPr>
                <w:sz w:val="21"/>
                <w:szCs w:val="21"/>
                <w:color w:val="auto"/>
              </w:rPr>
            </w:pPr>
          </w:p>
        </w:tc>
        <w:tc>
          <w:tcPr>
            <w:tcW w:w="1180" w:type="dxa"/>
            <w:vAlign w:val="bottom"/>
            <w:tcBorders>
              <w:right w:val="single" w:sz="8" w:color="E5E5E5"/>
            </w:tcBorders>
            <w:vMerge w:val="continue"/>
            <w:shd w:val="clear" w:color="auto" w:fill="D91E18"/>
          </w:tcPr>
          <w:p>
            <w:pPr>
              <w:spacing w:after="0"/>
              <w:rPr>
                <w:sz w:val="21"/>
                <w:szCs w:val="21"/>
                <w:color w:val="auto"/>
              </w:rPr>
            </w:pPr>
          </w:p>
        </w:tc>
        <w:tc>
          <w:tcPr>
            <w:tcW w:w="160" w:type="dxa"/>
            <w:vAlign w:val="bottom"/>
            <w:shd w:val="clear" w:color="auto" w:fill="D91E18"/>
          </w:tcPr>
          <w:p>
            <w:pPr>
              <w:spacing w:after="0"/>
              <w:rPr>
                <w:sz w:val="21"/>
                <w:szCs w:val="21"/>
                <w:color w:val="auto"/>
              </w:rPr>
            </w:pPr>
          </w:p>
        </w:tc>
        <w:tc>
          <w:tcPr>
            <w:tcW w:w="1360" w:type="dxa"/>
            <w:vAlign w:val="bottom"/>
            <w:tcBorders>
              <w:right w:val="single" w:sz="8" w:color="E5E5E5"/>
            </w:tcBorders>
            <w:shd w:val="clear" w:color="auto" w:fill="D91E18"/>
          </w:tcPr>
          <w:p>
            <w:pPr>
              <w:ind w:left="40"/>
              <w:spacing w:after="0"/>
              <w:rPr>
                <w:sz w:val="20"/>
                <w:szCs w:val="20"/>
                <w:color w:val="auto"/>
              </w:rPr>
            </w:pPr>
            <w:r>
              <w:rPr>
                <w:rFonts w:ascii="Arial" w:cs="Arial" w:eastAsia="Arial" w:hAnsi="Arial"/>
                <w:sz w:val="18"/>
                <w:szCs w:val="18"/>
                <w:b w:val="1"/>
                <w:bCs w:val="1"/>
                <w:color w:val="FFFFFF"/>
              </w:rPr>
              <w:t>Continuation</w:t>
            </w:r>
          </w:p>
        </w:tc>
        <w:tc>
          <w:tcPr>
            <w:tcW w:w="120" w:type="dxa"/>
            <w:vAlign w:val="bottom"/>
            <w:shd w:val="clear" w:color="auto" w:fill="D91E18"/>
          </w:tcPr>
          <w:p>
            <w:pPr>
              <w:spacing w:after="0"/>
              <w:rPr>
                <w:sz w:val="21"/>
                <w:szCs w:val="21"/>
                <w:color w:val="auto"/>
              </w:rPr>
            </w:pPr>
          </w:p>
        </w:tc>
        <w:tc>
          <w:tcPr>
            <w:tcW w:w="2380" w:type="dxa"/>
            <w:vAlign w:val="bottom"/>
            <w:tcBorders>
              <w:right w:val="single" w:sz="8" w:color="E5E5E5"/>
            </w:tcBorders>
            <w:shd w:val="clear" w:color="auto" w:fill="D91E18"/>
          </w:tcPr>
          <w:p>
            <w:pPr>
              <w:jc w:val="center"/>
              <w:ind w:right="70"/>
              <w:spacing w:after="0"/>
              <w:rPr>
                <w:sz w:val="20"/>
                <w:szCs w:val="20"/>
                <w:color w:val="auto"/>
              </w:rPr>
            </w:pPr>
            <w:r>
              <w:rPr>
                <w:rFonts w:ascii="Arial" w:cs="Arial" w:eastAsia="Arial" w:hAnsi="Arial"/>
                <w:sz w:val="18"/>
                <w:szCs w:val="18"/>
                <w:b w:val="1"/>
                <w:bCs w:val="1"/>
                <w:color w:val="FFFFFF"/>
                <w:w w:val="99"/>
              </w:rPr>
              <w:t>Stock Unit Acceleration</w:t>
            </w:r>
          </w:p>
        </w:tc>
        <w:tc>
          <w:tcPr>
            <w:tcW w:w="300" w:type="dxa"/>
            <w:vAlign w:val="bottom"/>
            <w:shd w:val="clear" w:color="auto" w:fill="D91E18"/>
          </w:tcPr>
          <w:p>
            <w:pPr>
              <w:spacing w:after="0"/>
              <w:rPr>
                <w:sz w:val="21"/>
                <w:szCs w:val="21"/>
                <w:color w:val="auto"/>
              </w:rPr>
            </w:pPr>
          </w:p>
        </w:tc>
        <w:tc>
          <w:tcPr>
            <w:tcW w:w="1300" w:type="dxa"/>
            <w:vAlign w:val="bottom"/>
            <w:tcBorders>
              <w:right w:val="single" w:sz="8" w:color="E5E5E5"/>
            </w:tcBorders>
            <w:vMerge w:val="continue"/>
            <w:shd w:val="clear" w:color="auto" w:fill="D91E18"/>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460" w:type="dxa"/>
            <w:vAlign w:val="bottom"/>
            <w:tcBorders>
              <w:left w:val="single" w:sz="8" w:color="E5E5E5"/>
              <w:right w:val="single" w:sz="8" w:color="E5E5E5"/>
            </w:tcBorders>
            <w:shd w:val="clear" w:color="auto" w:fill="DBDBDB"/>
          </w:tcPr>
          <w:p>
            <w:pPr>
              <w:ind w:left="40"/>
              <w:spacing w:after="0"/>
              <w:rPr>
                <w:sz w:val="20"/>
                <w:szCs w:val="20"/>
                <w:color w:val="auto"/>
              </w:rPr>
            </w:pPr>
            <w:r>
              <w:rPr>
                <w:rFonts w:ascii="Arial" w:cs="Arial" w:eastAsia="Arial" w:hAnsi="Arial"/>
                <w:sz w:val="18"/>
                <w:szCs w:val="18"/>
                <w:color w:val="auto"/>
              </w:rPr>
              <w:t>David W. Hult</w:t>
            </w: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right w:val="single" w:sz="8" w:color="E5E5E5"/>
            </w:tcBorders>
            <w:shd w:val="clear" w:color="auto" w:fill="DBDBDB"/>
          </w:tcPr>
          <w:p>
            <w:pPr>
              <w:jc w:val="right"/>
              <w:ind w:right="110"/>
              <w:spacing w:after="0"/>
              <w:rPr>
                <w:sz w:val="20"/>
                <w:szCs w:val="20"/>
                <w:color w:val="auto"/>
              </w:rPr>
            </w:pPr>
            <w:r>
              <w:rPr>
                <w:rFonts w:ascii="Arial" w:cs="Arial" w:eastAsia="Arial" w:hAnsi="Arial"/>
                <w:sz w:val="18"/>
                <w:szCs w:val="18"/>
                <w:color w:val="auto"/>
              </w:rPr>
              <w:t>2,600,000</w:t>
            </w:r>
          </w:p>
        </w:tc>
        <w:tc>
          <w:tcPr>
            <w:tcW w:w="22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right w:val="single" w:sz="8" w:color="E5E5E5"/>
            </w:tcBorders>
            <w:shd w:val="clear" w:color="auto" w:fill="DBDBDB"/>
          </w:tcPr>
          <w:p>
            <w:pPr>
              <w:jc w:val="right"/>
              <w:ind w:right="110"/>
              <w:spacing w:after="0"/>
              <w:rPr>
                <w:sz w:val="20"/>
                <w:szCs w:val="20"/>
                <w:color w:val="auto"/>
              </w:rPr>
            </w:pPr>
            <w:r>
              <w:rPr>
                <w:rFonts w:ascii="Arial" w:cs="Arial" w:eastAsia="Arial" w:hAnsi="Arial"/>
                <w:sz w:val="18"/>
                <w:szCs w:val="18"/>
                <w:color w:val="auto"/>
              </w:rPr>
              <w:t>5,177,250</w:t>
            </w:r>
          </w:p>
        </w:tc>
        <w:tc>
          <w:tcPr>
            <w:tcW w:w="16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right w:val="single" w:sz="8" w:color="E5E5E5"/>
            </w:tcBorders>
            <w:shd w:val="clear" w:color="auto" w:fill="DBDBDB"/>
          </w:tcPr>
          <w:p>
            <w:pPr>
              <w:ind w:left="980"/>
              <w:spacing w:after="0"/>
              <w:rPr>
                <w:sz w:val="20"/>
                <w:szCs w:val="20"/>
                <w:color w:val="auto"/>
              </w:rPr>
            </w:pPr>
            <w:r>
              <w:rPr>
                <w:rFonts w:ascii="Arial" w:cs="Arial" w:eastAsia="Arial" w:hAnsi="Arial"/>
                <w:sz w:val="18"/>
                <w:szCs w:val="18"/>
                <w:color w:val="auto"/>
              </w:rPr>
              <w:t>—</w:t>
            </w:r>
          </w:p>
        </w:tc>
        <w:tc>
          <w:tcPr>
            <w:tcW w:w="120" w:type="dxa"/>
            <w:vAlign w:val="bottom"/>
            <w:shd w:val="clear" w:color="auto" w:fill="DBDBDB"/>
          </w:tcPr>
          <w:p>
            <w:pPr>
              <w:jc w:val="right"/>
              <w:spacing w:after="0"/>
              <w:rPr>
                <w:sz w:val="20"/>
                <w:szCs w:val="20"/>
                <w:color w:val="auto"/>
              </w:rPr>
            </w:pPr>
            <w:r>
              <w:rPr>
                <w:rFonts w:ascii="Arial" w:cs="Arial" w:eastAsia="Arial" w:hAnsi="Arial"/>
                <w:sz w:val="18"/>
                <w:szCs w:val="18"/>
                <w:color w:val="auto"/>
                <w:w w:val="79"/>
              </w:rPr>
              <w:t>$</w:t>
            </w:r>
          </w:p>
        </w:tc>
        <w:tc>
          <w:tcPr>
            <w:tcW w:w="2380" w:type="dxa"/>
            <w:vAlign w:val="bottom"/>
            <w:tcBorders>
              <w:right w:val="single" w:sz="8" w:color="E5E5E5"/>
            </w:tcBorders>
            <w:shd w:val="clear" w:color="auto" w:fill="DBDBDB"/>
          </w:tcPr>
          <w:p>
            <w:pPr>
              <w:jc w:val="right"/>
              <w:ind w:right="110"/>
              <w:spacing w:after="0"/>
              <w:rPr>
                <w:sz w:val="20"/>
                <w:szCs w:val="20"/>
                <w:color w:val="auto"/>
              </w:rPr>
            </w:pPr>
            <w:r>
              <w:rPr>
                <w:rFonts w:ascii="Arial" w:cs="Arial" w:eastAsia="Arial" w:hAnsi="Arial"/>
                <w:sz w:val="18"/>
                <w:szCs w:val="18"/>
                <w:color w:val="auto"/>
              </w:rPr>
              <w:t>12,245,067</w:t>
            </w:r>
          </w:p>
        </w:tc>
        <w:tc>
          <w:tcPr>
            <w:tcW w:w="30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right w:val="single" w:sz="8" w:color="E5E5E5"/>
            </w:tcBorders>
            <w:shd w:val="clear" w:color="auto" w:fill="DBDBDB"/>
          </w:tcPr>
          <w:p>
            <w:pPr>
              <w:jc w:val="right"/>
              <w:ind w:right="110"/>
              <w:spacing w:after="0"/>
              <w:rPr>
                <w:sz w:val="20"/>
                <w:szCs w:val="20"/>
                <w:color w:val="auto"/>
              </w:rPr>
            </w:pPr>
            <w:r>
              <w:rPr>
                <w:rFonts w:ascii="Arial" w:cs="Arial" w:eastAsia="Arial" w:hAnsi="Arial"/>
                <w:sz w:val="18"/>
                <w:szCs w:val="18"/>
                <w:color w:val="auto"/>
              </w:rPr>
              <w:t>20,022,317</w:t>
            </w:r>
          </w:p>
        </w:tc>
        <w:tc>
          <w:tcPr>
            <w:tcW w:w="0" w:type="dxa"/>
            <w:vAlign w:val="bottom"/>
          </w:tcPr>
          <w:p>
            <w:pPr>
              <w:spacing w:after="0"/>
              <w:rPr>
                <w:sz w:val="1"/>
                <w:szCs w:val="1"/>
                <w:color w:val="auto"/>
              </w:rPr>
            </w:pPr>
          </w:p>
        </w:tc>
      </w:tr>
      <w:tr>
        <w:trPr>
          <w:trHeight w:val="229"/>
        </w:trPr>
        <w:tc>
          <w:tcPr>
            <w:tcW w:w="2460" w:type="dxa"/>
            <w:vAlign w:val="bottom"/>
            <w:tcBorders>
              <w:left w:val="single" w:sz="8" w:color="E5E5E5"/>
              <w:right w:val="single" w:sz="8" w:color="E5E5E5"/>
            </w:tcBorders>
          </w:tcPr>
          <w:p>
            <w:pPr>
              <w:ind w:left="40"/>
              <w:spacing w:after="0"/>
              <w:rPr>
                <w:sz w:val="20"/>
                <w:szCs w:val="20"/>
                <w:color w:val="auto"/>
              </w:rPr>
            </w:pPr>
            <w:r>
              <w:rPr>
                <w:rFonts w:ascii="Arial" w:cs="Arial" w:eastAsia="Arial" w:hAnsi="Arial"/>
                <w:sz w:val="18"/>
                <w:szCs w:val="18"/>
                <w:color w:val="auto"/>
              </w:rPr>
              <w:t>Michael Welch</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right w:val="single" w:sz="8" w:color="E5E5E5"/>
            </w:tcBorders>
          </w:tcPr>
          <w:p>
            <w:pPr>
              <w:jc w:val="right"/>
              <w:ind w:right="110"/>
              <w:spacing w:after="0"/>
              <w:rPr>
                <w:sz w:val="20"/>
                <w:szCs w:val="20"/>
                <w:color w:val="auto"/>
              </w:rPr>
            </w:pPr>
            <w:r>
              <w:rPr>
                <w:rFonts w:ascii="Arial" w:cs="Arial" w:eastAsia="Arial" w:hAnsi="Arial"/>
                <w:sz w:val="18"/>
                <w:szCs w:val="18"/>
                <w:color w:val="auto"/>
              </w:rPr>
              <w:t>725,000</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right w:val="single" w:sz="8" w:color="E5E5E5"/>
            </w:tcBorders>
          </w:tcPr>
          <w:p>
            <w:pPr>
              <w:jc w:val="right"/>
              <w:ind w:right="110"/>
              <w:spacing w:after="0"/>
              <w:rPr>
                <w:sz w:val="20"/>
                <w:szCs w:val="20"/>
                <w:color w:val="auto"/>
              </w:rPr>
            </w:pPr>
            <w:r>
              <w:rPr>
                <w:rFonts w:ascii="Arial" w:cs="Arial" w:eastAsia="Arial" w:hAnsi="Arial"/>
                <w:sz w:val="18"/>
                <w:szCs w:val="18"/>
                <w:color w:val="auto"/>
              </w:rPr>
              <w:t>585,438</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right w:val="single" w:sz="8" w:color="E5E5E5"/>
            </w:tcBorders>
          </w:tcPr>
          <w:p>
            <w:pPr>
              <w:ind w:left="9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380" w:type="dxa"/>
            <w:vAlign w:val="bottom"/>
            <w:tcBorders>
              <w:right w:val="single" w:sz="8" w:color="E5E5E5"/>
            </w:tcBorders>
          </w:tcPr>
          <w:p>
            <w:pPr>
              <w:jc w:val="right"/>
              <w:ind w:right="110"/>
              <w:spacing w:after="0"/>
              <w:rPr>
                <w:sz w:val="20"/>
                <w:szCs w:val="20"/>
                <w:color w:val="auto"/>
              </w:rPr>
            </w:pPr>
            <w:r>
              <w:rPr>
                <w:rFonts w:ascii="Arial" w:cs="Arial" w:eastAsia="Arial" w:hAnsi="Arial"/>
                <w:sz w:val="18"/>
                <w:szCs w:val="18"/>
                <w:color w:val="auto"/>
              </w:rPr>
              <w:t>2,090,058</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right w:val="single" w:sz="8" w:color="E5E5E5"/>
            </w:tcBorders>
          </w:tcPr>
          <w:p>
            <w:pPr>
              <w:jc w:val="right"/>
              <w:ind w:right="110"/>
              <w:spacing w:after="0"/>
              <w:rPr>
                <w:sz w:val="20"/>
                <w:szCs w:val="20"/>
                <w:color w:val="auto"/>
              </w:rPr>
            </w:pPr>
            <w:r>
              <w:rPr>
                <w:rFonts w:ascii="Arial" w:cs="Arial" w:eastAsia="Arial" w:hAnsi="Arial"/>
                <w:sz w:val="18"/>
                <w:szCs w:val="18"/>
                <w:color w:val="auto"/>
              </w:rPr>
              <w:t>3,400,496</w:t>
            </w:r>
          </w:p>
        </w:tc>
        <w:tc>
          <w:tcPr>
            <w:tcW w:w="0" w:type="dxa"/>
            <w:vAlign w:val="bottom"/>
          </w:tcPr>
          <w:p>
            <w:pPr>
              <w:spacing w:after="0"/>
              <w:rPr>
                <w:sz w:val="1"/>
                <w:szCs w:val="1"/>
                <w:color w:val="auto"/>
              </w:rPr>
            </w:pPr>
          </w:p>
        </w:tc>
      </w:tr>
      <w:tr>
        <w:trPr>
          <w:trHeight w:val="257"/>
        </w:trPr>
        <w:tc>
          <w:tcPr>
            <w:tcW w:w="2460" w:type="dxa"/>
            <w:vAlign w:val="bottom"/>
            <w:tcBorders>
              <w:left w:val="single" w:sz="8" w:color="E5E5E5"/>
              <w:right w:val="single" w:sz="8" w:color="E5E5E5"/>
            </w:tcBorders>
            <w:shd w:val="clear" w:color="auto" w:fill="DBDBDB"/>
          </w:tcPr>
          <w:p>
            <w:pPr>
              <w:ind w:left="40"/>
              <w:spacing w:after="0"/>
              <w:rPr>
                <w:sz w:val="20"/>
                <w:szCs w:val="20"/>
                <w:color w:val="auto"/>
              </w:rPr>
            </w:pPr>
            <w:r>
              <w:rPr>
                <w:rFonts w:ascii="Arial" w:cs="Arial" w:eastAsia="Arial" w:hAnsi="Arial"/>
                <w:sz w:val="18"/>
                <w:szCs w:val="18"/>
                <w:color w:val="auto"/>
              </w:rPr>
              <w:t>Daniel Clara</w:t>
            </w: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right w:val="single" w:sz="8" w:color="E5E5E5"/>
            </w:tcBorders>
            <w:shd w:val="clear" w:color="auto" w:fill="DBDBDB"/>
          </w:tcPr>
          <w:p>
            <w:pPr>
              <w:jc w:val="right"/>
              <w:ind w:right="110"/>
              <w:spacing w:after="0"/>
              <w:rPr>
                <w:sz w:val="20"/>
                <w:szCs w:val="20"/>
                <w:color w:val="auto"/>
              </w:rPr>
            </w:pPr>
            <w:r>
              <w:rPr>
                <w:rFonts w:ascii="Arial" w:cs="Arial" w:eastAsia="Arial" w:hAnsi="Arial"/>
                <w:sz w:val="18"/>
                <w:szCs w:val="18"/>
                <w:color w:val="auto"/>
              </w:rPr>
              <w:t>750,000</w:t>
            </w:r>
          </w:p>
        </w:tc>
        <w:tc>
          <w:tcPr>
            <w:tcW w:w="22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right w:val="single" w:sz="8" w:color="E5E5E5"/>
            </w:tcBorders>
            <w:shd w:val="clear" w:color="auto" w:fill="DBDBDB"/>
          </w:tcPr>
          <w:p>
            <w:pPr>
              <w:jc w:val="right"/>
              <w:ind w:right="110"/>
              <w:spacing w:after="0"/>
              <w:rPr>
                <w:sz w:val="20"/>
                <w:szCs w:val="20"/>
                <w:color w:val="auto"/>
              </w:rPr>
            </w:pPr>
            <w:r>
              <w:rPr>
                <w:rFonts w:ascii="Arial" w:cs="Arial" w:eastAsia="Arial" w:hAnsi="Arial"/>
                <w:sz w:val="18"/>
                <w:szCs w:val="18"/>
                <w:color w:val="auto"/>
              </w:rPr>
              <w:t>605,625</w:t>
            </w:r>
          </w:p>
        </w:tc>
        <w:tc>
          <w:tcPr>
            <w:tcW w:w="16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right w:val="single" w:sz="8" w:color="E5E5E5"/>
            </w:tcBorders>
            <w:shd w:val="clear" w:color="auto" w:fill="DBDBDB"/>
          </w:tcPr>
          <w:p>
            <w:pPr>
              <w:ind w:left="980"/>
              <w:spacing w:after="0"/>
              <w:rPr>
                <w:sz w:val="20"/>
                <w:szCs w:val="20"/>
                <w:color w:val="auto"/>
              </w:rPr>
            </w:pPr>
            <w:r>
              <w:rPr>
                <w:rFonts w:ascii="Arial" w:cs="Arial" w:eastAsia="Arial" w:hAnsi="Arial"/>
                <w:sz w:val="18"/>
                <w:szCs w:val="18"/>
                <w:color w:val="auto"/>
              </w:rPr>
              <w:t>—</w:t>
            </w:r>
          </w:p>
        </w:tc>
        <w:tc>
          <w:tcPr>
            <w:tcW w:w="120" w:type="dxa"/>
            <w:vAlign w:val="bottom"/>
            <w:shd w:val="clear" w:color="auto" w:fill="DBDBDB"/>
          </w:tcPr>
          <w:p>
            <w:pPr>
              <w:jc w:val="right"/>
              <w:spacing w:after="0"/>
              <w:rPr>
                <w:sz w:val="20"/>
                <w:szCs w:val="20"/>
                <w:color w:val="auto"/>
              </w:rPr>
            </w:pPr>
            <w:r>
              <w:rPr>
                <w:rFonts w:ascii="Arial" w:cs="Arial" w:eastAsia="Arial" w:hAnsi="Arial"/>
                <w:sz w:val="18"/>
                <w:szCs w:val="18"/>
                <w:color w:val="auto"/>
                <w:w w:val="79"/>
              </w:rPr>
              <w:t>$</w:t>
            </w:r>
          </w:p>
        </w:tc>
        <w:tc>
          <w:tcPr>
            <w:tcW w:w="2380" w:type="dxa"/>
            <w:vAlign w:val="bottom"/>
            <w:tcBorders>
              <w:right w:val="single" w:sz="8" w:color="E5E5E5"/>
            </w:tcBorders>
            <w:shd w:val="clear" w:color="auto" w:fill="DBDBDB"/>
          </w:tcPr>
          <w:p>
            <w:pPr>
              <w:jc w:val="right"/>
              <w:ind w:right="110"/>
              <w:spacing w:after="0"/>
              <w:rPr>
                <w:sz w:val="20"/>
                <w:szCs w:val="20"/>
                <w:color w:val="auto"/>
              </w:rPr>
            </w:pPr>
            <w:r>
              <w:rPr>
                <w:rFonts w:ascii="Arial" w:cs="Arial" w:eastAsia="Arial" w:hAnsi="Arial"/>
                <w:sz w:val="18"/>
                <w:szCs w:val="18"/>
                <w:color w:val="auto"/>
              </w:rPr>
              <w:t>2,151,788</w:t>
            </w:r>
          </w:p>
        </w:tc>
        <w:tc>
          <w:tcPr>
            <w:tcW w:w="30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right w:val="single" w:sz="8" w:color="E5E5E5"/>
            </w:tcBorders>
            <w:shd w:val="clear" w:color="auto" w:fill="DBDBDB"/>
          </w:tcPr>
          <w:p>
            <w:pPr>
              <w:jc w:val="right"/>
              <w:ind w:right="110"/>
              <w:spacing w:after="0"/>
              <w:rPr>
                <w:sz w:val="20"/>
                <w:szCs w:val="20"/>
                <w:color w:val="auto"/>
              </w:rPr>
            </w:pPr>
            <w:r>
              <w:rPr>
                <w:rFonts w:ascii="Arial" w:cs="Arial" w:eastAsia="Arial" w:hAnsi="Arial"/>
                <w:sz w:val="18"/>
                <w:szCs w:val="18"/>
                <w:color w:val="auto"/>
              </w:rPr>
              <w:t>3,507,413</w:t>
            </w:r>
          </w:p>
        </w:tc>
        <w:tc>
          <w:tcPr>
            <w:tcW w:w="0" w:type="dxa"/>
            <w:vAlign w:val="bottom"/>
          </w:tcPr>
          <w:p>
            <w:pPr>
              <w:spacing w:after="0"/>
              <w:rPr>
                <w:sz w:val="1"/>
                <w:szCs w:val="1"/>
                <w:color w:val="auto"/>
              </w:rPr>
            </w:pPr>
          </w:p>
        </w:tc>
      </w:tr>
      <w:tr>
        <w:trPr>
          <w:trHeight w:val="230"/>
        </w:trPr>
        <w:tc>
          <w:tcPr>
            <w:tcW w:w="2460" w:type="dxa"/>
            <w:vAlign w:val="bottom"/>
            <w:tcBorders>
              <w:left w:val="single" w:sz="8" w:color="E5E5E5"/>
              <w:right w:val="single" w:sz="8" w:color="E5E5E5"/>
            </w:tcBorders>
          </w:tcPr>
          <w:p>
            <w:pPr>
              <w:ind w:left="40"/>
              <w:spacing w:after="0"/>
              <w:rPr>
                <w:sz w:val="20"/>
                <w:szCs w:val="20"/>
                <w:color w:val="auto"/>
              </w:rPr>
            </w:pPr>
            <w:r>
              <w:rPr>
                <w:rFonts w:ascii="Arial" w:cs="Arial" w:eastAsia="Arial" w:hAnsi="Arial"/>
                <w:sz w:val="18"/>
                <w:szCs w:val="18"/>
                <w:color w:val="auto"/>
              </w:rPr>
              <w:t>Jed Milstein</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right w:val="single" w:sz="8" w:color="E5E5E5"/>
            </w:tcBorders>
          </w:tcPr>
          <w:p>
            <w:pPr>
              <w:jc w:val="right"/>
              <w:ind w:right="110"/>
              <w:spacing w:after="0"/>
              <w:rPr>
                <w:sz w:val="20"/>
                <w:szCs w:val="20"/>
                <w:color w:val="auto"/>
              </w:rPr>
            </w:pPr>
            <w:r>
              <w:rPr>
                <w:rFonts w:ascii="Arial" w:cs="Arial" w:eastAsia="Arial" w:hAnsi="Arial"/>
                <w:sz w:val="18"/>
                <w:szCs w:val="18"/>
                <w:color w:val="auto"/>
              </w:rPr>
              <w:t>625,000</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right w:val="single" w:sz="8" w:color="E5E5E5"/>
            </w:tcBorders>
          </w:tcPr>
          <w:p>
            <w:pPr>
              <w:jc w:val="right"/>
              <w:ind w:right="110"/>
              <w:spacing w:after="0"/>
              <w:rPr>
                <w:sz w:val="20"/>
                <w:szCs w:val="20"/>
                <w:color w:val="auto"/>
              </w:rPr>
            </w:pPr>
            <w:r>
              <w:rPr>
                <w:rFonts w:ascii="Arial" w:cs="Arial" w:eastAsia="Arial" w:hAnsi="Arial"/>
                <w:sz w:val="18"/>
                <w:szCs w:val="18"/>
                <w:color w:val="auto"/>
              </w:rPr>
              <w:t>504,688</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right w:val="single" w:sz="8" w:color="E5E5E5"/>
            </w:tcBorders>
          </w:tcPr>
          <w:p>
            <w:pPr>
              <w:ind w:left="9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380" w:type="dxa"/>
            <w:vAlign w:val="bottom"/>
            <w:tcBorders>
              <w:right w:val="single" w:sz="8" w:color="E5E5E5"/>
            </w:tcBorders>
          </w:tcPr>
          <w:p>
            <w:pPr>
              <w:jc w:val="right"/>
              <w:ind w:right="110"/>
              <w:spacing w:after="0"/>
              <w:rPr>
                <w:sz w:val="20"/>
                <w:szCs w:val="20"/>
                <w:color w:val="auto"/>
              </w:rPr>
            </w:pPr>
            <w:r>
              <w:rPr>
                <w:rFonts w:ascii="Arial" w:cs="Arial" w:eastAsia="Arial" w:hAnsi="Arial"/>
                <w:sz w:val="18"/>
                <w:szCs w:val="18"/>
                <w:color w:val="auto"/>
              </w:rPr>
              <w:t>1,853,104</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right w:val="single" w:sz="8" w:color="E5E5E5"/>
            </w:tcBorders>
          </w:tcPr>
          <w:p>
            <w:pPr>
              <w:jc w:val="right"/>
              <w:ind w:right="110"/>
              <w:spacing w:after="0"/>
              <w:rPr>
                <w:sz w:val="20"/>
                <w:szCs w:val="20"/>
                <w:color w:val="auto"/>
              </w:rPr>
            </w:pPr>
            <w:r>
              <w:rPr>
                <w:rFonts w:ascii="Arial" w:cs="Arial" w:eastAsia="Arial" w:hAnsi="Arial"/>
                <w:sz w:val="18"/>
                <w:szCs w:val="18"/>
                <w:color w:val="auto"/>
              </w:rPr>
              <w:t>2,982,792</w:t>
            </w:r>
          </w:p>
        </w:tc>
        <w:tc>
          <w:tcPr>
            <w:tcW w:w="0" w:type="dxa"/>
            <w:vAlign w:val="bottom"/>
          </w:tcPr>
          <w:p>
            <w:pPr>
              <w:spacing w:after="0"/>
              <w:rPr>
                <w:sz w:val="1"/>
                <w:szCs w:val="1"/>
                <w:color w:val="auto"/>
              </w:rPr>
            </w:pPr>
          </w:p>
        </w:tc>
      </w:tr>
      <w:tr>
        <w:trPr>
          <w:trHeight w:val="257"/>
        </w:trPr>
        <w:tc>
          <w:tcPr>
            <w:tcW w:w="2460" w:type="dxa"/>
            <w:vAlign w:val="bottom"/>
            <w:tcBorders>
              <w:left w:val="single" w:sz="8" w:color="E5E5E5"/>
              <w:right w:val="single" w:sz="8" w:color="E5E5E5"/>
            </w:tcBorders>
            <w:shd w:val="clear" w:color="auto" w:fill="DBDBDB"/>
          </w:tcPr>
          <w:p>
            <w:pPr>
              <w:ind w:left="40"/>
              <w:spacing w:after="0"/>
              <w:rPr>
                <w:sz w:val="20"/>
                <w:szCs w:val="20"/>
                <w:color w:val="auto"/>
              </w:rPr>
            </w:pPr>
            <w:r>
              <w:rPr>
                <w:rFonts w:ascii="Arial" w:cs="Arial" w:eastAsia="Arial" w:hAnsi="Arial"/>
                <w:sz w:val="18"/>
                <w:szCs w:val="18"/>
                <w:color w:val="auto"/>
              </w:rPr>
              <w:t>Dean Calloway</w:t>
            </w: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right w:val="single" w:sz="8" w:color="E5E5E5"/>
            </w:tcBorders>
            <w:shd w:val="clear" w:color="auto" w:fill="DBDBDB"/>
          </w:tcPr>
          <w:p>
            <w:pPr>
              <w:jc w:val="right"/>
              <w:ind w:right="110"/>
              <w:spacing w:after="0"/>
              <w:rPr>
                <w:sz w:val="20"/>
                <w:szCs w:val="20"/>
                <w:color w:val="auto"/>
              </w:rPr>
            </w:pPr>
            <w:r>
              <w:rPr>
                <w:rFonts w:ascii="Arial" w:cs="Arial" w:eastAsia="Arial" w:hAnsi="Arial"/>
                <w:sz w:val="18"/>
                <w:szCs w:val="18"/>
                <w:color w:val="auto"/>
              </w:rPr>
              <w:t>600,000</w:t>
            </w:r>
          </w:p>
        </w:tc>
        <w:tc>
          <w:tcPr>
            <w:tcW w:w="22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right w:val="single" w:sz="8" w:color="E5E5E5"/>
            </w:tcBorders>
            <w:shd w:val="clear" w:color="auto" w:fill="DBDBDB"/>
          </w:tcPr>
          <w:p>
            <w:pPr>
              <w:jc w:val="right"/>
              <w:ind w:right="110"/>
              <w:spacing w:after="0"/>
              <w:rPr>
                <w:sz w:val="20"/>
                <w:szCs w:val="20"/>
                <w:color w:val="auto"/>
              </w:rPr>
            </w:pPr>
            <w:r>
              <w:rPr>
                <w:rFonts w:ascii="Arial" w:cs="Arial" w:eastAsia="Arial" w:hAnsi="Arial"/>
                <w:sz w:val="18"/>
                <w:szCs w:val="18"/>
                <w:color w:val="auto"/>
              </w:rPr>
              <w:t>427,500</w:t>
            </w:r>
          </w:p>
        </w:tc>
        <w:tc>
          <w:tcPr>
            <w:tcW w:w="16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right w:val="single" w:sz="8" w:color="E5E5E5"/>
            </w:tcBorders>
            <w:shd w:val="clear" w:color="auto" w:fill="DBDBDB"/>
          </w:tcPr>
          <w:p>
            <w:pPr>
              <w:ind w:left="980"/>
              <w:spacing w:after="0"/>
              <w:rPr>
                <w:sz w:val="20"/>
                <w:szCs w:val="20"/>
                <w:color w:val="auto"/>
              </w:rPr>
            </w:pPr>
            <w:r>
              <w:rPr>
                <w:rFonts w:ascii="Arial" w:cs="Arial" w:eastAsia="Arial" w:hAnsi="Arial"/>
                <w:sz w:val="18"/>
                <w:szCs w:val="18"/>
                <w:color w:val="auto"/>
              </w:rPr>
              <w:t>—</w:t>
            </w:r>
          </w:p>
        </w:tc>
        <w:tc>
          <w:tcPr>
            <w:tcW w:w="120" w:type="dxa"/>
            <w:vAlign w:val="bottom"/>
            <w:shd w:val="clear" w:color="auto" w:fill="DBDBDB"/>
          </w:tcPr>
          <w:p>
            <w:pPr>
              <w:jc w:val="right"/>
              <w:spacing w:after="0"/>
              <w:rPr>
                <w:sz w:val="20"/>
                <w:szCs w:val="20"/>
                <w:color w:val="auto"/>
              </w:rPr>
            </w:pPr>
            <w:r>
              <w:rPr>
                <w:rFonts w:ascii="Arial" w:cs="Arial" w:eastAsia="Arial" w:hAnsi="Arial"/>
                <w:sz w:val="18"/>
                <w:szCs w:val="18"/>
                <w:color w:val="auto"/>
                <w:w w:val="79"/>
              </w:rPr>
              <w:t>$</w:t>
            </w:r>
          </w:p>
        </w:tc>
        <w:tc>
          <w:tcPr>
            <w:tcW w:w="2380" w:type="dxa"/>
            <w:vAlign w:val="bottom"/>
            <w:tcBorders>
              <w:right w:val="single" w:sz="8" w:color="E5E5E5"/>
            </w:tcBorders>
            <w:shd w:val="clear" w:color="auto" w:fill="DBDBDB"/>
          </w:tcPr>
          <w:p>
            <w:pPr>
              <w:jc w:val="right"/>
              <w:ind w:right="110"/>
              <w:spacing w:after="0"/>
              <w:rPr>
                <w:sz w:val="20"/>
                <w:szCs w:val="20"/>
                <w:color w:val="auto"/>
              </w:rPr>
            </w:pPr>
            <w:r>
              <w:rPr>
                <w:rFonts w:ascii="Arial" w:cs="Arial" w:eastAsia="Arial" w:hAnsi="Arial"/>
                <w:sz w:val="18"/>
                <w:szCs w:val="18"/>
                <w:color w:val="auto"/>
              </w:rPr>
              <w:t>826,545</w:t>
            </w:r>
          </w:p>
        </w:tc>
        <w:tc>
          <w:tcPr>
            <w:tcW w:w="30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right w:val="single" w:sz="8" w:color="E5E5E5"/>
            </w:tcBorders>
            <w:shd w:val="clear" w:color="auto" w:fill="DBDBDB"/>
          </w:tcPr>
          <w:p>
            <w:pPr>
              <w:jc w:val="right"/>
              <w:ind w:right="110"/>
              <w:spacing w:after="0"/>
              <w:rPr>
                <w:sz w:val="20"/>
                <w:szCs w:val="20"/>
                <w:color w:val="auto"/>
              </w:rPr>
            </w:pPr>
            <w:r>
              <w:rPr>
                <w:rFonts w:ascii="Arial" w:cs="Arial" w:eastAsia="Arial" w:hAnsi="Arial"/>
                <w:sz w:val="18"/>
                <w:szCs w:val="18"/>
                <w:color w:val="auto"/>
              </w:rPr>
              <w:t>1,854,045</w:t>
            </w:r>
          </w:p>
        </w:tc>
        <w:tc>
          <w:tcPr>
            <w:tcW w:w="0" w:type="dxa"/>
            <w:vAlign w:val="bottom"/>
          </w:tcPr>
          <w:p>
            <w:pPr>
              <w:spacing w:after="0"/>
              <w:rPr>
                <w:sz w:val="1"/>
                <w:szCs w:val="1"/>
                <w:color w:val="auto"/>
              </w:rPr>
            </w:pPr>
          </w:p>
        </w:tc>
      </w:tr>
      <w:tr>
        <w:trPr>
          <w:trHeight w:val="229"/>
        </w:trPr>
        <w:tc>
          <w:tcPr>
            <w:tcW w:w="2460" w:type="dxa"/>
            <w:vAlign w:val="bottom"/>
            <w:tcBorders>
              <w:left w:val="single" w:sz="8" w:color="E5E5E5"/>
              <w:right w:val="single" w:sz="8" w:color="E5E5E5"/>
            </w:tcBorders>
          </w:tcPr>
          <w:p>
            <w:pPr>
              <w:ind w:left="40"/>
              <w:spacing w:after="0" w:line="230" w:lineRule="exact"/>
              <w:rPr>
                <w:sz w:val="20"/>
                <w:szCs w:val="20"/>
                <w:color w:val="auto"/>
              </w:rPr>
            </w:pPr>
            <w:r>
              <w:rPr>
                <w:rFonts w:ascii="Arial" w:cs="Arial" w:eastAsia="Arial" w:hAnsi="Arial"/>
                <w:sz w:val="18"/>
                <w:szCs w:val="18"/>
                <w:color w:val="auto"/>
              </w:rPr>
              <w:t>George A. Villasana</w:t>
            </w:r>
            <w:r>
              <w:rPr>
                <w:rFonts w:ascii="Arial" w:cs="Arial" w:eastAsia="Arial" w:hAnsi="Arial"/>
                <w:sz w:val="23"/>
                <w:szCs w:val="23"/>
                <w:color w:val="auto"/>
                <w:vertAlign w:val="superscript"/>
              </w:rPr>
              <w:t>(2)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right w:val="single" w:sz="8" w:color="E5E5E5"/>
            </w:tcBorders>
          </w:tcPr>
          <w:p>
            <w:pPr>
              <w:jc w:val="right"/>
              <w:ind w:right="110"/>
              <w:spacing w:after="0"/>
              <w:rPr>
                <w:sz w:val="20"/>
                <w:szCs w:val="20"/>
                <w:color w:val="auto"/>
              </w:rPr>
            </w:pPr>
            <w:r>
              <w:rPr>
                <w:rFonts w:ascii="Arial" w:cs="Arial" w:eastAsia="Arial" w:hAnsi="Arial"/>
                <w:sz w:val="18"/>
                <w:szCs w:val="18"/>
                <w:color w:val="auto"/>
              </w:rPr>
              <w:t>175,000</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right w:val="single" w:sz="8" w:color="E5E5E5"/>
            </w:tcBorders>
          </w:tcPr>
          <w:p>
            <w:pPr>
              <w:jc w:val="right"/>
              <w:ind w:right="110"/>
              <w:spacing w:after="0"/>
              <w:rPr>
                <w:sz w:val="20"/>
                <w:szCs w:val="20"/>
                <w:color w:val="auto"/>
              </w:rPr>
            </w:pPr>
            <w:r>
              <w:rPr>
                <w:rFonts w:ascii="Arial" w:cs="Arial" w:eastAsia="Arial" w:hAnsi="Arial"/>
                <w:sz w:val="18"/>
                <w:szCs w:val="18"/>
                <w:color w:val="auto"/>
              </w:rPr>
              <w:t>282,625</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right w:val="single" w:sz="8" w:color="E5E5E5"/>
            </w:tcBorders>
          </w:tcPr>
          <w:p>
            <w:pPr>
              <w:ind w:left="9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380" w:type="dxa"/>
            <w:vAlign w:val="bottom"/>
            <w:tcBorders>
              <w:right w:val="single" w:sz="8" w:color="E5E5E5"/>
            </w:tcBorders>
          </w:tcPr>
          <w:p>
            <w:pPr>
              <w:jc w:val="right"/>
              <w:ind w:right="110"/>
              <w:spacing w:after="0"/>
              <w:rPr>
                <w:sz w:val="20"/>
                <w:szCs w:val="20"/>
                <w:color w:val="auto"/>
              </w:rPr>
            </w:pPr>
            <w:r>
              <w:rPr>
                <w:rFonts w:ascii="Arial" w:cs="Arial" w:eastAsia="Arial" w:hAnsi="Arial"/>
                <w:sz w:val="18"/>
                <w:szCs w:val="18"/>
                <w:color w:val="auto"/>
              </w:rPr>
              <w:t>1,679,094</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right w:val="single" w:sz="8" w:color="E5E5E5"/>
            </w:tcBorders>
          </w:tcPr>
          <w:p>
            <w:pPr>
              <w:jc w:val="right"/>
              <w:ind w:right="110"/>
              <w:spacing w:after="0"/>
              <w:rPr>
                <w:sz w:val="20"/>
                <w:szCs w:val="20"/>
                <w:color w:val="auto"/>
              </w:rPr>
            </w:pPr>
            <w:r>
              <w:rPr>
                <w:rFonts w:ascii="Arial" w:cs="Arial" w:eastAsia="Arial" w:hAnsi="Arial"/>
                <w:sz w:val="18"/>
                <w:szCs w:val="18"/>
                <w:color w:val="auto"/>
              </w:rPr>
              <w:t>2,136,719</w:t>
            </w:r>
          </w:p>
        </w:tc>
        <w:tc>
          <w:tcPr>
            <w:tcW w:w="0" w:type="dxa"/>
            <w:vAlign w:val="bottom"/>
          </w:tcPr>
          <w:p>
            <w:pPr>
              <w:spacing w:after="0"/>
              <w:rPr>
                <w:sz w:val="1"/>
                <w:szCs w:val="1"/>
                <w:color w:val="auto"/>
              </w:rPr>
            </w:pPr>
          </w:p>
        </w:tc>
      </w:tr>
      <w:tr>
        <w:trPr>
          <w:trHeight w:val="257"/>
        </w:trPr>
        <w:tc>
          <w:tcPr>
            <w:tcW w:w="2460" w:type="dxa"/>
            <w:vAlign w:val="bottom"/>
            <w:tcBorders>
              <w:left w:val="single" w:sz="8" w:color="E5E5E5"/>
              <w:right w:val="single" w:sz="8" w:color="E5E5E5"/>
            </w:tcBorders>
            <w:shd w:val="clear" w:color="auto" w:fill="DBDBDB"/>
          </w:tcPr>
          <w:p>
            <w:pPr>
              <w:ind w:left="40"/>
              <w:spacing w:after="0" w:line="243" w:lineRule="exact"/>
              <w:rPr>
                <w:sz w:val="20"/>
                <w:szCs w:val="20"/>
                <w:color w:val="auto"/>
              </w:rPr>
            </w:pPr>
            <w:r>
              <w:rPr>
                <w:rFonts w:ascii="Arial" w:cs="Arial" w:eastAsia="Arial" w:hAnsi="Arial"/>
                <w:sz w:val="18"/>
                <w:szCs w:val="18"/>
                <w:color w:val="auto"/>
              </w:rPr>
              <w:t>Miran Maric</w:t>
            </w:r>
            <w:r>
              <w:rPr>
                <w:rFonts w:ascii="Arial" w:cs="Arial" w:eastAsia="Arial" w:hAnsi="Arial"/>
                <w:sz w:val="23"/>
                <w:szCs w:val="23"/>
                <w:color w:val="auto"/>
                <w:vertAlign w:val="superscript"/>
              </w:rPr>
              <w:t>(3)</w:t>
            </w: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right w:val="single" w:sz="8" w:color="E5E5E5"/>
            </w:tcBorders>
            <w:shd w:val="clear" w:color="auto" w:fill="DBDBDB"/>
          </w:tcPr>
          <w:p>
            <w:pPr>
              <w:jc w:val="right"/>
              <w:ind w:right="110"/>
              <w:spacing w:after="0"/>
              <w:rPr>
                <w:sz w:val="20"/>
                <w:szCs w:val="20"/>
                <w:color w:val="auto"/>
              </w:rPr>
            </w:pPr>
            <w:r>
              <w:rPr>
                <w:rFonts w:ascii="Arial" w:cs="Arial" w:eastAsia="Arial" w:hAnsi="Arial"/>
                <w:sz w:val="18"/>
                <w:szCs w:val="18"/>
                <w:color w:val="auto"/>
              </w:rPr>
              <w:t>—</w:t>
            </w:r>
          </w:p>
        </w:tc>
        <w:tc>
          <w:tcPr>
            <w:tcW w:w="22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right w:val="single" w:sz="8" w:color="E5E5E5"/>
            </w:tcBorders>
            <w:shd w:val="clear" w:color="auto" w:fill="DBDBDB"/>
          </w:tcPr>
          <w:p>
            <w:pPr>
              <w:jc w:val="right"/>
              <w:ind w:right="110"/>
              <w:spacing w:after="0"/>
              <w:rPr>
                <w:sz w:val="20"/>
                <w:szCs w:val="20"/>
                <w:color w:val="auto"/>
              </w:rPr>
            </w:pPr>
            <w:r>
              <w:rPr>
                <w:rFonts w:ascii="Arial" w:cs="Arial" w:eastAsia="Arial" w:hAnsi="Arial"/>
                <w:sz w:val="18"/>
                <w:szCs w:val="18"/>
                <w:color w:val="auto"/>
              </w:rPr>
              <w:t>—</w:t>
            </w:r>
          </w:p>
        </w:tc>
        <w:tc>
          <w:tcPr>
            <w:tcW w:w="16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right w:val="single" w:sz="8" w:color="E5E5E5"/>
            </w:tcBorders>
            <w:shd w:val="clear" w:color="auto" w:fill="DBDBDB"/>
          </w:tcPr>
          <w:p>
            <w:pPr>
              <w:ind w:left="980"/>
              <w:spacing w:after="0"/>
              <w:rPr>
                <w:sz w:val="20"/>
                <w:szCs w:val="20"/>
                <w:color w:val="auto"/>
              </w:rPr>
            </w:pPr>
            <w:r>
              <w:rPr>
                <w:rFonts w:ascii="Arial" w:cs="Arial" w:eastAsia="Arial" w:hAnsi="Arial"/>
                <w:sz w:val="18"/>
                <w:szCs w:val="18"/>
                <w:color w:val="auto"/>
              </w:rPr>
              <w:t>—</w:t>
            </w:r>
          </w:p>
        </w:tc>
        <w:tc>
          <w:tcPr>
            <w:tcW w:w="120" w:type="dxa"/>
            <w:vAlign w:val="bottom"/>
            <w:shd w:val="clear" w:color="auto" w:fill="DBDBDB"/>
          </w:tcPr>
          <w:p>
            <w:pPr>
              <w:jc w:val="right"/>
              <w:spacing w:after="0"/>
              <w:rPr>
                <w:sz w:val="20"/>
                <w:szCs w:val="20"/>
                <w:color w:val="auto"/>
              </w:rPr>
            </w:pPr>
            <w:r>
              <w:rPr>
                <w:rFonts w:ascii="Arial" w:cs="Arial" w:eastAsia="Arial" w:hAnsi="Arial"/>
                <w:sz w:val="18"/>
                <w:szCs w:val="18"/>
                <w:color w:val="auto"/>
                <w:w w:val="79"/>
              </w:rPr>
              <w:t>$</w:t>
            </w:r>
          </w:p>
        </w:tc>
        <w:tc>
          <w:tcPr>
            <w:tcW w:w="2380" w:type="dxa"/>
            <w:vAlign w:val="bottom"/>
            <w:tcBorders>
              <w:right w:val="single" w:sz="8" w:color="E5E5E5"/>
            </w:tcBorders>
            <w:shd w:val="clear" w:color="auto" w:fill="DBDBDB"/>
          </w:tcPr>
          <w:p>
            <w:pPr>
              <w:jc w:val="right"/>
              <w:ind w:right="110"/>
              <w:spacing w:after="0"/>
              <w:rPr>
                <w:sz w:val="20"/>
                <w:szCs w:val="20"/>
                <w:color w:val="auto"/>
              </w:rPr>
            </w:pPr>
            <w:r>
              <w:rPr>
                <w:rFonts w:ascii="Arial" w:cs="Arial" w:eastAsia="Arial" w:hAnsi="Arial"/>
                <w:sz w:val="18"/>
                <w:szCs w:val="18"/>
                <w:color w:val="auto"/>
              </w:rPr>
              <w:t>—</w:t>
            </w:r>
          </w:p>
        </w:tc>
        <w:tc>
          <w:tcPr>
            <w:tcW w:w="30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right w:val="single" w:sz="8" w:color="E5E5E5"/>
            </w:tcBorders>
            <w:shd w:val="clear" w:color="auto" w:fill="DBDBDB"/>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340" w:right="180" w:hanging="332"/>
        <w:spacing w:after="0" w:line="281" w:lineRule="auto"/>
        <w:tabs>
          <w:tab w:leader="none" w:pos="335" w:val="left"/>
        </w:tabs>
        <w:numPr>
          <w:ilvl w:val="0"/>
          <w:numId w:val="63"/>
        </w:numPr>
        <w:rPr>
          <w:rFonts w:ascii="Arial" w:cs="Arial" w:eastAsia="Arial" w:hAnsi="Arial"/>
          <w:sz w:val="16"/>
          <w:szCs w:val="16"/>
          <w:color w:val="auto"/>
        </w:rPr>
      </w:pPr>
      <w:r>
        <w:rPr>
          <w:rFonts w:ascii="Arial" w:cs="Arial" w:eastAsia="Arial" w:hAnsi="Arial"/>
          <w:sz w:val="16"/>
          <w:szCs w:val="16"/>
          <w:color w:val="auto"/>
        </w:rPr>
        <w:t>Based upon the actual annual base salary in effect on December 31, 2024 and actual non-equity incentive plan compensation payable for 2024, which are described above in the "Compensation Discussion &amp; Analysis" section of this proxy statement.</w:t>
      </w:r>
    </w:p>
    <w:p>
      <w:pPr>
        <w:spacing w:after="0" w:line="1" w:lineRule="exact"/>
        <w:rPr>
          <w:rFonts w:ascii="Arial" w:cs="Arial" w:eastAsia="Arial" w:hAnsi="Arial"/>
          <w:sz w:val="16"/>
          <w:szCs w:val="16"/>
          <w:color w:val="auto"/>
        </w:rPr>
      </w:pPr>
    </w:p>
    <w:p>
      <w:pPr>
        <w:ind w:left="340" w:right="220" w:hanging="332"/>
        <w:spacing w:after="0" w:line="275" w:lineRule="auto"/>
        <w:tabs>
          <w:tab w:leader="none" w:pos="335" w:val="left"/>
        </w:tabs>
        <w:numPr>
          <w:ilvl w:val="0"/>
          <w:numId w:val="63"/>
        </w:numPr>
        <w:rPr>
          <w:rFonts w:ascii="Arial" w:cs="Arial" w:eastAsia="Arial" w:hAnsi="Arial"/>
          <w:sz w:val="16"/>
          <w:szCs w:val="16"/>
          <w:color w:val="auto"/>
        </w:rPr>
      </w:pPr>
      <w:r>
        <w:rPr>
          <w:rFonts w:ascii="Arial" w:cs="Arial" w:eastAsia="Arial" w:hAnsi="Arial"/>
          <w:sz w:val="16"/>
          <w:szCs w:val="16"/>
          <w:color w:val="auto"/>
        </w:rPr>
        <w:t>Reflects Mr. Villasana's Transition and Retirement Agreement. For a description of fiscal 2024 compensation amounts paid to Mr. Villasana in connection with his Transition and Retirement Agreement see "Potential Payments Upon Termination or Change in Control–Severance and Transition Agreements” above.</w:t>
      </w:r>
    </w:p>
    <w:p>
      <w:pPr>
        <w:spacing w:after="0" w:line="15" w:lineRule="exact"/>
        <w:rPr>
          <w:rFonts w:ascii="Arial" w:cs="Arial" w:eastAsia="Arial" w:hAnsi="Arial"/>
          <w:sz w:val="16"/>
          <w:szCs w:val="16"/>
          <w:color w:val="auto"/>
        </w:rPr>
      </w:pPr>
    </w:p>
    <w:p>
      <w:pPr>
        <w:ind w:left="320" w:hanging="312"/>
        <w:spacing w:after="0"/>
        <w:tabs>
          <w:tab w:leader="none" w:pos="320" w:val="left"/>
        </w:tabs>
        <w:numPr>
          <w:ilvl w:val="0"/>
          <w:numId w:val="63"/>
        </w:numPr>
        <w:rPr>
          <w:rFonts w:ascii="Arial" w:cs="Arial" w:eastAsia="Arial" w:hAnsi="Arial"/>
          <w:sz w:val="16"/>
          <w:szCs w:val="16"/>
          <w:color w:val="auto"/>
        </w:rPr>
      </w:pPr>
      <w:r>
        <w:rPr>
          <w:rFonts w:ascii="Arial" w:cs="Arial" w:eastAsia="Arial" w:hAnsi="Arial"/>
          <w:sz w:val="16"/>
          <w:szCs w:val="16"/>
          <w:color w:val="auto"/>
        </w:rPr>
        <w:t>Mr. Maric terminated prior to December 31, 2024 and would not have any potential payments as of December 31, 2024.</w:t>
      </w:r>
    </w:p>
    <w:p>
      <w:pPr>
        <w:spacing w:after="0" w:line="8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Separation from Service Upon Death or Disability</w:t>
      </w:r>
    </w:p>
    <w:p>
      <w:pPr>
        <w:spacing w:after="0" w:line="12"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2220" w:type="dxa"/>
            <w:vAlign w:val="bottom"/>
            <w:tcBorders>
              <w:left w:val="single" w:sz="8" w:color="E5E5E5"/>
              <w:right w:val="single" w:sz="8" w:color="E5E5E5"/>
            </w:tcBorders>
            <w:shd w:val="clear" w:color="auto" w:fill="D91E18"/>
          </w:tcPr>
          <w:p>
            <w:pPr>
              <w:spacing w:after="0"/>
              <w:rPr>
                <w:sz w:val="18"/>
                <w:szCs w:val="18"/>
                <w:color w:val="auto"/>
              </w:rPr>
            </w:pPr>
          </w:p>
        </w:tc>
        <w:tc>
          <w:tcPr>
            <w:tcW w:w="200" w:type="dxa"/>
            <w:vAlign w:val="bottom"/>
            <w:shd w:val="clear" w:color="auto" w:fill="D91E18"/>
          </w:tcPr>
          <w:p>
            <w:pPr>
              <w:spacing w:after="0"/>
              <w:rPr>
                <w:sz w:val="18"/>
                <w:szCs w:val="18"/>
                <w:color w:val="auto"/>
              </w:rPr>
            </w:pPr>
          </w:p>
        </w:tc>
        <w:tc>
          <w:tcPr>
            <w:tcW w:w="1540" w:type="dxa"/>
            <w:vAlign w:val="bottom"/>
            <w:tcBorders>
              <w:right w:val="single" w:sz="8" w:color="E5E5E5"/>
            </w:tcBorders>
            <w:vMerge w:val="restart"/>
            <w:shd w:val="clear" w:color="auto" w:fill="D91E18"/>
          </w:tcPr>
          <w:p>
            <w:pPr>
              <w:ind w:left="140"/>
              <w:spacing w:after="0"/>
              <w:rPr>
                <w:sz w:val="20"/>
                <w:szCs w:val="20"/>
                <w:color w:val="auto"/>
              </w:rPr>
            </w:pPr>
            <w:r>
              <w:rPr>
                <w:rFonts w:ascii="Arial" w:cs="Arial" w:eastAsia="Arial" w:hAnsi="Arial"/>
                <w:sz w:val="18"/>
                <w:szCs w:val="18"/>
                <w:b w:val="1"/>
                <w:bCs w:val="1"/>
                <w:color w:val="FFFFFF"/>
              </w:rPr>
              <w:t>Base Salary</w:t>
            </w:r>
          </w:p>
        </w:tc>
        <w:tc>
          <w:tcPr>
            <w:tcW w:w="220" w:type="dxa"/>
            <w:vAlign w:val="bottom"/>
            <w:shd w:val="clear" w:color="auto" w:fill="D91E18"/>
          </w:tcPr>
          <w:p>
            <w:pPr>
              <w:spacing w:after="0"/>
              <w:rPr>
                <w:sz w:val="18"/>
                <w:szCs w:val="18"/>
                <w:color w:val="auto"/>
              </w:rPr>
            </w:pPr>
          </w:p>
        </w:tc>
        <w:tc>
          <w:tcPr>
            <w:tcW w:w="1000" w:type="dxa"/>
            <w:vAlign w:val="bottom"/>
            <w:tcBorders>
              <w:right w:val="single" w:sz="8" w:color="E5E5E5"/>
            </w:tcBorders>
            <w:shd w:val="clear" w:color="auto" w:fill="D91E18"/>
          </w:tcPr>
          <w:p>
            <w:pPr>
              <w:spacing w:after="0"/>
              <w:rPr>
                <w:sz w:val="18"/>
                <w:szCs w:val="18"/>
                <w:color w:val="auto"/>
              </w:rPr>
            </w:pPr>
          </w:p>
        </w:tc>
        <w:tc>
          <w:tcPr>
            <w:tcW w:w="200" w:type="dxa"/>
            <w:vAlign w:val="bottom"/>
            <w:shd w:val="clear" w:color="auto" w:fill="D91E18"/>
          </w:tcPr>
          <w:p>
            <w:pPr>
              <w:spacing w:after="0"/>
              <w:rPr>
                <w:sz w:val="18"/>
                <w:szCs w:val="18"/>
                <w:color w:val="auto"/>
              </w:rPr>
            </w:pPr>
          </w:p>
        </w:tc>
        <w:tc>
          <w:tcPr>
            <w:tcW w:w="1540" w:type="dxa"/>
            <w:vAlign w:val="bottom"/>
            <w:tcBorders>
              <w:right w:val="single" w:sz="8" w:color="E5E5E5"/>
            </w:tcBorders>
            <w:vMerge w:val="restart"/>
            <w:shd w:val="clear" w:color="auto" w:fill="D91E18"/>
          </w:tcPr>
          <w:p>
            <w:pPr>
              <w:ind w:left="300"/>
              <w:spacing w:after="0"/>
              <w:rPr>
                <w:sz w:val="20"/>
                <w:szCs w:val="20"/>
                <w:color w:val="auto"/>
              </w:rPr>
            </w:pPr>
            <w:r>
              <w:rPr>
                <w:rFonts w:ascii="Arial" w:cs="Arial" w:eastAsia="Arial" w:hAnsi="Arial"/>
                <w:sz w:val="18"/>
                <w:szCs w:val="18"/>
                <w:b w:val="1"/>
                <w:bCs w:val="1"/>
                <w:color w:val="FFFFFF"/>
              </w:rPr>
              <w:t>Benefits</w:t>
            </w:r>
          </w:p>
        </w:tc>
        <w:tc>
          <w:tcPr>
            <w:tcW w:w="120" w:type="dxa"/>
            <w:vAlign w:val="bottom"/>
            <w:shd w:val="clear" w:color="auto" w:fill="D91E18"/>
          </w:tcPr>
          <w:p>
            <w:pPr>
              <w:spacing w:after="0"/>
              <w:rPr>
                <w:sz w:val="18"/>
                <w:szCs w:val="18"/>
                <w:color w:val="auto"/>
              </w:rPr>
            </w:pPr>
          </w:p>
        </w:tc>
        <w:tc>
          <w:tcPr>
            <w:tcW w:w="2380" w:type="dxa"/>
            <w:vAlign w:val="bottom"/>
            <w:tcBorders>
              <w:right w:val="single" w:sz="8" w:color="E5E5E5"/>
            </w:tcBorders>
            <w:shd w:val="clear" w:color="auto" w:fill="D91E18"/>
          </w:tcPr>
          <w:p>
            <w:pPr>
              <w:jc w:val="right"/>
              <w:ind w:right="70"/>
              <w:spacing w:after="0"/>
              <w:rPr>
                <w:sz w:val="20"/>
                <w:szCs w:val="20"/>
                <w:color w:val="auto"/>
              </w:rPr>
            </w:pPr>
            <w:r>
              <w:rPr>
                <w:rFonts w:ascii="Arial" w:cs="Arial" w:eastAsia="Arial" w:hAnsi="Arial"/>
                <w:sz w:val="18"/>
                <w:szCs w:val="18"/>
                <w:b w:val="1"/>
                <w:bCs w:val="1"/>
                <w:color w:val="FFFFFF"/>
                <w:w w:val="99"/>
              </w:rPr>
              <w:t>Performance Share Units/</w:t>
            </w:r>
          </w:p>
        </w:tc>
        <w:tc>
          <w:tcPr>
            <w:tcW w:w="400" w:type="dxa"/>
            <w:vAlign w:val="bottom"/>
            <w:shd w:val="clear" w:color="auto" w:fill="D91E18"/>
          </w:tcPr>
          <w:p>
            <w:pPr>
              <w:spacing w:after="0"/>
              <w:rPr>
                <w:sz w:val="18"/>
                <w:szCs w:val="18"/>
                <w:color w:val="auto"/>
              </w:rPr>
            </w:pPr>
          </w:p>
        </w:tc>
        <w:tc>
          <w:tcPr>
            <w:tcW w:w="1440" w:type="dxa"/>
            <w:vAlign w:val="bottom"/>
            <w:tcBorders>
              <w:right w:val="single" w:sz="8" w:color="E5E5E5"/>
            </w:tcBorders>
            <w:shd w:val="clear" w:color="auto" w:fill="D91E18"/>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220" w:type="dxa"/>
            <w:vAlign w:val="bottom"/>
            <w:tcBorders>
              <w:left w:val="single" w:sz="8" w:color="E5E5E5"/>
              <w:right w:val="single" w:sz="8" w:color="E5E5E5"/>
            </w:tcBorders>
            <w:vMerge w:val="restart"/>
            <w:shd w:val="clear" w:color="auto" w:fill="D91E18"/>
          </w:tcPr>
          <w:p>
            <w:pPr>
              <w:ind w:left="40"/>
              <w:spacing w:after="0"/>
              <w:rPr>
                <w:sz w:val="20"/>
                <w:szCs w:val="20"/>
                <w:color w:val="auto"/>
              </w:rPr>
            </w:pPr>
            <w:r>
              <w:rPr>
                <w:rFonts w:ascii="Arial" w:cs="Arial" w:eastAsia="Arial" w:hAnsi="Arial"/>
                <w:sz w:val="18"/>
                <w:szCs w:val="18"/>
                <w:b w:val="1"/>
                <w:bCs w:val="1"/>
                <w:color w:val="FFFFFF"/>
              </w:rPr>
              <w:t>Named Executive Officer</w:t>
            </w:r>
          </w:p>
        </w:tc>
        <w:tc>
          <w:tcPr>
            <w:tcW w:w="200" w:type="dxa"/>
            <w:vAlign w:val="bottom"/>
            <w:shd w:val="clear" w:color="auto" w:fill="D91E18"/>
          </w:tcPr>
          <w:p>
            <w:pPr>
              <w:spacing w:after="0"/>
              <w:rPr>
                <w:sz w:val="15"/>
                <w:szCs w:val="15"/>
                <w:color w:val="auto"/>
              </w:rPr>
            </w:pPr>
          </w:p>
        </w:tc>
        <w:tc>
          <w:tcPr>
            <w:tcW w:w="1540" w:type="dxa"/>
            <w:vAlign w:val="bottom"/>
            <w:tcBorders>
              <w:right w:val="single" w:sz="8" w:color="E5E5E5"/>
            </w:tcBorders>
            <w:vMerge w:val="continue"/>
            <w:shd w:val="clear" w:color="auto" w:fill="D91E18"/>
          </w:tcPr>
          <w:p>
            <w:pPr>
              <w:spacing w:after="0"/>
              <w:rPr>
                <w:sz w:val="15"/>
                <w:szCs w:val="15"/>
                <w:color w:val="auto"/>
              </w:rPr>
            </w:pPr>
          </w:p>
        </w:tc>
        <w:tc>
          <w:tcPr>
            <w:tcW w:w="220" w:type="dxa"/>
            <w:vAlign w:val="bottom"/>
            <w:shd w:val="clear" w:color="auto" w:fill="D91E18"/>
          </w:tcPr>
          <w:p>
            <w:pPr>
              <w:spacing w:after="0"/>
              <w:rPr>
                <w:sz w:val="15"/>
                <w:szCs w:val="15"/>
                <w:color w:val="auto"/>
              </w:rPr>
            </w:pPr>
          </w:p>
        </w:tc>
        <w:tc>
          <w:tcPr>
            <w:tcW w:w="1000" w:type="dxa"/>
            <w:vAlign w:val="bottom"/>
            <w:tcBorders>
              <w:right w:val="single" w:sz="8" w:color="E5E5E5"/>
            </w:tcBorders>
            <w:vMerge w:val="restart"/>
            <w:shd w:val="clear" w:color="auto" w:fill="D91E18"/>
          </w:tcPr>
          <w:p>
            <w:pPr>
              <w:ind w:left="100"/>
              <w:spacing w:after="0"/>
              <w:rPr>
                <w:sz w:val="20"/>
                <w:szCs w:val="20"/>
                <w:color w:val="auto"/>
              </w:rPr>
            </w:pPr>
            <w:r>
              <w:rPr>
                <w:rFonts w:ascii="Arial" w:cs="Arial" w:eastAsia="Arial" w:hAnsi="Arial"/>
                <w:sz w:val="18"/>
                <w:szCs w:val="18"/>
                <w:b w:val="1"/>
                <w:bCs w:val="1"/>
                <w:color w:val="FFFFFF"/>
              </w:rPr>
              <w:t>Bonus</w:t>
            </w:r>
          </w:p>
        </w:tc>
        <w:tc>
          <w:tcPr>
            <w:tcW w:w="200" w:type="dxa"/>
            <w:vAlign w:val="bottom"/>
            <w:shd w:val="clear" w:color="auto" w:fill="D91E18"/>
          </w:tcPr>
          <w:p>
            <w:pPr>
              <w:spacing w:after="0"/>
              <w:rPr>
                <w:sz w:val="15"/>
                <w:szCs w:val="15"/>
                <w:color w:val="auto"/>
              </w:rPr>
            </w:pPr>
          </w:p>
        </w:tc>
        <w:tc>
          <w:tcPr>
            <w:tcW w:w="1540" w:type="dxa"/>
            <w:vAlign w:val="bottom"/>
            <w:tcBorders>
              <w:right w:val="single" w:sz="8" w:color="E5E5E5"/>
            </w:tcBorders>
            <w:vMerge w:val="continue"/>
            <w:shd w:val="clear" w:color="auto" w:fill="D91E18"/>
          </w:tcPr>
          <w:p>
            <w:pPr>
              <w:spacing w:after="0"/>
              <w:rPr>
                <w:sz w:val="15"/>
                <w:szCs w:val="15"/>
                <w:color w:val="auto"/>
              </w:rPr>
            </w:pPr>
          </w:p>
        </w:tc>
        <w:tc>
          <w:tcPr>
            <w:tcW w:w="2500" w:type="dxa"/>
            <w:vAlign w:val="bottom"/>
            <w:tcBorders>
              <w:right w:val="single" w:sz="8" w:color="E5E5E5"/>
            </w:tcBorders>
            <w:gridSpan w:val="2"/>
            <w:shd w:val="clear" w:color="auto" w:fill="D91E18"/>
          </w:tcPr>
          <w:p>
            <w:pPr>
              <w:ind w:left="40"/>
              <w:spacing w:after="0" w:line="176" w:lineRule="exact"/>
              <w:rPr>
                <w:sz w:val="20"/>
                <w:szCs w:val="20"/>
                <w:color w:val="auto"/>
              </w:rPr>
            </w:pPr>
            <w:r>
              <w:rPr>
                <w:rFonts w:ascii="Arial" w:cs="Arial" w:eastAsia="Arial" w:hAnsi="Arial"/>
                <w:sz w:val="18"/>
                <w:szCs w:val="18"/>
                <w:b w:val="1"/>
                <w:bCs w:val="1"/>
                <w:color w:val="FFFFFF"/>
              </w:rPr>
              <w:t>Restricted Stock/ Restricted</w:t>
            </w:r>
          </w:p>
        </w:tc>
        <w:tc>
          <w:tcPr>
            <w:tcW w:w="400" w:type="dxa"/>
            <w:vAlign w:val="bottom"/>
            <w:shd w:val="clear" w:color="auto" w:fill="D91E18"/>
          </w:tcPr>
          <w:p>
            <w:pPr>
              <w:spacing w:after="0"/>
              <w:rPr>
                <w:sz w:val="15"/>
                <w:szCs w:val="15"/>
                <w:color w:val="auto"/>
              </w:rPr>
            </w:pPr>
          </w:p>
        </w:tc>
        <w:tc>
          <w:tcPr>
            <w:tcW w:w="1440" w:type="dxa"/>
            <w:vAlign w:val="bottom"/>
            <w:tcBorders>
              <w:right w:val="single" w:sz="8" w:color="E5E5E5"/>
            </w:tcBorders>
            <w:vMerge w:val="restart"/>
            <w:shd w:val="clear" w:color="auto" w:fill="D91E18"/>
          </w:tcPr>
          <w:p>
            <w:pPr>
              <w:jc w:val="right"/>
              <w:ind w:right="630"/>
              <w:spacing w:after="0"/>
              <w:rPr>
                <w:sz w:val="20"/>
                <w:szCs w:val="20"/>
                <w:color w:val="auto"/>
              </w:rPr>
            </w:pPr>
            <w:r>
              <w:rPr>
                <w:rFonts w:ascii="Arial" w:cs="Arial" w:eastAsia="Arial" w:hAnsi="Arial"/>
                <w:sz w:val="18"/>
                <w:szCs w:val="18"/>
                <w:b w:val="1"/>
                <w:bCs w:val="1"/>
                <w:color w:val="FFFFFF"/>
              </w:rPr>
              <w:t>Total</w:t>
            </w:r>
          </w:p>
        </w:tc>
        <w:tc>
          <w:tcPr>
            <w:tcW w:w="0" w:type="dxa"/>
            <w:vAlign w:val="bottom"/>
          </w:tcPr>
          <w:p>
            <w:pPr>
              <w:spacing w:after="0"/>
              <w:rPr>
                <w:sz w:val="1"/>
                <w:szCs w:val="1"/>
                <w:color w:val="auto"/>
              </w:rPr>
            </w:pPr>
          </w:p>
        </w:tc>
      </w:tr>
      <w:tr>
        <w:trPr>
          <w:trHeight w:val="250"/>
        </w:trPr>
        <w:tc>
          <w:tcPr>
            <w:tcW w:w="2220" w:type="dxa"/>
            <w:vAlign w:val="bottom"/>
            <w:tcBorders>
              <w:left w:val="single" w:sz="8" w:color="E5E5E5"/>
              <w:right w:val="single" w:sz="8" w:color="E5E5E5"/>
            </w:tcBorders>
            <w:vMerge w:val="continue"/>
            <w:shd w:val="clear" w:color="auto" w:fill="D91E18"/>
          </w:tcPr>
          <w:p>
            <w:pPr>
              <w:spacing w:after="0"/>
              <w:rPr>
                <w:sz w:val="21"/>
                <w:szCs w:val="21"/>
                <w:color w:val="auto"/>
              </w:rPr>
            </w:pPr>
          </w:p>
        </w:tc>
        <w:tc>
          <w:tcPr>
            <w:tcW w:w="200" w:type="dxa"/>
            <w:vAlign w:val="bottom"/>
            <w:shd w:val="clear" w:color="auto" w:fill="D91E18"/>
          </w:tcPr>
          <w:p>
            <w:pPr>
              <w:spacing w:after="0"/>
              <w:rPr>
                <w:sz w:val="21"/>
                <w:szCs w:val="21"/>
                <w:color w:val="auto"/>
              </w:rPr>
            </w:pPr>
          </w:p>
        </w:tc>
        <w:tc>
          <w:tcPr>
            <w:tcW w:w="1540" w:type="dxa"/>
            <w:vAlign w:val="bottom"/>
            <w:tcBorders>
              <w:right w:val="single" w:sz="8" w:color="E5E5E5"/>
            </w:tcBorders>
            <w:shd w:val="clear" w:color="auto" w:fill="D91E18"/>
          </w:tcPr>
          <w:p>
            <w:pPr>
              <w:ind w:left="100"/>
              <w:spacing w:after="0"/>
              <w:rPr>
                <w:sz w:val="20"/>
                <w:szCs w:val="20"/>
                <w:color w:val="auto"/>
              </w:rPr>
            </w:pPr>
            <w:r>
              <w:rPr>
                <w:rFonts w:ascii="Arial" w:cs="Arial" w:eastAsia="Arial" w:hAnsi="Arial"/>
                <w:sz w:val="18"/>
                <w:szCs w:val="18"/>
                <w:b w:val="1"/>
                <w:bCs w:val="1"/>
                <w:color w:val="FFFFFF"/>
              </w:rPr>
              <w:t>Continuation</w:t>
            </w:r>
          </w:p>
        </w:tc>
        <w:tc>
          <w:tcPr>
            <w:tcW w:w="220" w:type="dxa"/>
            <w:vAlign w:val="bottom"/>
            <w:shd w:val="clear" w:color="auto" w:fill="D91E18"/>
          </w:tcPr>
          <w:p>
            <w:pPr>
              <w:spacing w:after="0"/>
              <w:rPr>
                <w:sz w:val="21"/>
                <w:szCs w:val="21"/>
                <w:color w:val="auto"/>
              </w:rPr>
            </w:pPr>
          </w:p>
        </w:tc>
        <w:tc>
          <w:tcPr>
            <w:tcW w:w="1000" w:type="dxa"/>
            <w:vAlign w:val="bottom"/>
            <w:tcBorders>
              <w:right w:val="single" w:sz="8" w:color="E5E5E5"/>
            </w:tcBorders>
            <w:vMerge w:val="continue"/>
            <w:shd w:val="clear" w:color="auto" w:fill="D91E18"/>
          </w:tcPr>
          <w:p>
            <w:pPr>
              <w:spacing w:after="0"/>
              <w:rPr>
                <w:sz w:val="21"/>
                <w:szCs w:val="21"/>
                <w:color w:val="auto"/>
              </w:rPr>
            </w:pPr>
          </w:p>
        </w:tc>
        <w:tc>
          <w:tcPr>
            <w:tcW w:w="200" w:type="dxa"/>
            <w:vAlign w:val="bottom"/>
            <w:shd w:val="clear" w:color="auto" w:fill="D91E18"/>
          </w:tcPr>
          <w:p>
            <w:pPr>
              <w:spacing w:after="0"/>
              <w:rPr>
                <w:sz w:val="21"/>
                <w:szCs w:val="21"/>
                <w:color w:val="auto"/>
              </w:rPr>
            </w:pPr>
          </w:p>
        </w:tc>
        <w:tc>
          <w:tcPr>
            <w:tcW w:w="1540" w:type="dxa"/>
            <w:vAlign w:val="bottom"/>
            <w:tcBorders>
              <w:right w:val="single" w:sz="8" w:color="E5E5E5"/>
            </w:tcBorders>
            <w:shd w:val="clear" w:color="auto" w:fill="D91E18"/>
          </w:tcPr>
          <w:p>
            <w:pPr>
              <w:ind w:left="100"/>
              <w:spacing w:after="0"/>
              <w:rPr>
                <w:sz w:val="20"/>
                <w:szCs w:val="20"/>
                <w:color w:val="auto"/>
              </w:rPr>
            </w:pPr>
            <w:r>
              <w:rPr>
                <w:rFonts w:ascii="Arial" w:cs="Arial" w:eastAsia="Arial" w:hAnsi="Arial"/>
                <w:sz w:val="18"/>
                <w:szCs w:val="18"/>
                <w:b w:val="1"/>
                <w:bCs w:val="1"/>
                <w:color w:val="FFFFFF"/>
              </w:rPr>
              <w:t>Continuation</w:t>
            </w:r>
          </w:p>
        </w:tc>
        <w:tc>
          <w:tcPr>
            <w:tcW w:w="120" w:type="dxa"/>
            <w:vAlign w:val="bottom"/>
            <w:shd w:val="clear" w:color="auto" w:fill="D91E18"/>
          </w:tcPr>
          <w:p>
            <w:pPr>
              <w:spacing w:after="0"/>
              <w:rPr>
                <w:sz w:val="21"/>
                <w:szCs w:val="21"/>
                <w:color w:val="auto"/>
              </w:rPr>
            </w:pPr>
          </w:p>
        </w:tc>
        <w:tc>
          <w:tcPr>
            <w:tcW w:w="2380" w:type="dxa"/>
            <w:vAlign w:val="bottom"/>
            <w:tcBorders>
              <w:right w:val="single" w:sz="8" w:color="E5E5E5"/>
            </w:tcBorders>
            <w:shd w:val="clear" w:color="auto" w:fill="D91E18"/>
          </w:tcPr>
          <w:p>
            <w:pPr>
              <w:jc w:val="right"/>
              <w:ind w:right="110"/>
              <w:spacing w:after="0"/>
              <w:rPr>
                <w:sz w:val="20"/>
                <w:szCs w:val="20"/>
                <w:color w:val="auto"/>
              </w:rPr>
            </w:pPr>
            <w:r>
              <w:rPr>
                <w:rFonts w:ascii="Arial" w:cs="Arial" w:eastAsia="Arial" w:hAnsi="Arial"/>
                <w:sz w:val="18"/>
                <w:szCs w:val="18"/>
                <w:b w:val="1"/>
                <w:bCs w:val="1"/>
                <w:color w:val="FFFFFF"/>
              </w:rPr>
              <w:t>Stock Units Acceleration</w:t>
            </w:r>
          </w:p>
        </w:tc>
        <w:tc>
          <w:tcPr>
            <w:tcW w:w="400" w:type="dxa"/>
            <w:vAlign w:val="bottom"/>
            <w:shd w:val="clear" w:color="auto" w:fill="D91E18"/>
          </w:tcPr>
          <w:p>
            <w:pPr>
              <w:spacing w:after="0"/>
              <w:rPr>
                <w:sz w:val="21"/>
                <w:szCs w:val="21"/>
                <w:color w:val="auto"/>
              </w:rPr>
            </w:pPr>
          </w:p>
        </w:tc>
        <w:tc>
          <w:tcPr>
            <w:tcW w:w="1440" w:type="dxa"/>
            <w:vAlign w:val="bottom"/>
            <w:tcBorders>
              <w:right w:val="single" w:sz="8" w:color="E5E5E5"/>
            </w:tcBorders>
            <w:vMerge w:val="continue"/>
            <w:shd w:val="clear" w:color="auto" w:fill="D91E18"/>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220" w:type="dxa"/>
            <w:vAlign w:val="bottom"/>
            <w:tcBorders>
              <w:left w:val="single" w:sz="8" w:color="E5E5E5"/>
              <w:right w:val="single" w:sz="8" w:color="E5E5E5"/>
            </w:tcBorders>
            <w:shd w:val="clear" w:color="auto" w:fill="DBDBDB"/>
          </w:tcPr>
          <w:p>
            <w:pPr>
              <w:ind w:left="40"/>
              <w:spacing w:after="0"/>
              <w:rPr>
                <w:sz w:val="20"/>
                <w:szCs w:val="20"/>
                <w:color w:val="auto"/>
              </w:rPr>
            </w:pPr>
            <w:r>
              <w:rPr>
                <w:rFonts w:ascii="Arial" w:cs="Arial" w:eastAsia="Arial" w:hAnsi="Arial"/>
                <w:sz w:val="18"/>
                <w:szCs w:val="18"/>
                <w:color w:val="auto"/>
              </w:rPr>
              <w:t>David W. Hult</w:t>
            </w:r>
          </w:p>
        </w:tc>
        <w:tc>
          <w:tcPr>
            <w:tcW w:w="20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tcBorders>
              <w:right w:val="single" w:sz="8" w:color="E5E5E5"/>
            </w:tcBorders>
            <w:shd w:val="clear" w:color="auto" w:fill="DBDBDB"/>
          </w:tcPr>
          <w:p>
            <w:pPr>
              <w:ind w:left="1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right w:val="single" w:sz="8" w:color="E5E5E5"/>
            </w:tcBorders>
            <w:shd w:val="clear" w:color="auto" w:fill="DBDBDB"/>
          </w:tcPr>
          <w:p>
            <w:pPr>
              <w:ind w:left="620"/>
              <w:spacing w:after="0"/>
              <w:rPr>
                <w:sz w:val="20"/>
                <w:szCs w:val="20"/>
                <w:color w:val="auto"/>
              </w:rPr>
            </w:pPr>
            <w:r>
              <w:rPr>
                <w:rFonts w:ascii="Arial" w:cs="Arial" w:eastAsia="Arial" w:hAnsi="Arial"/>
                <w:sz w:val="18"/>
                <w:szCs w:val="18"/>
                <w:color w:val="auto"/>
              </w:rPr>
              <w:t>—</w:t>
            </w:r>
          </w:p>
        </w:tc>
        <w:tc>
          <w:tcPr>
            <w:tcW w:w="20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tcBorders>
              <w:right w:val="single" w:sz="8" w:color="E5E5E5"/>
            </w:tcBorders>
            <w:shd w:val="clear" w:color="auto" w:fill="DBDBDB"/>
          </w:tcPr>
          <w:p>
            <w:pPr>
              <w:ind w:left="1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DBDBDB"/>
          </w:tcPr>
          <w:p>
            <w:pPr>
              <w:ind w:left="20"/>
              <w:spacing w:after="0"/>
              <w:rPr>
                <w:sz w:val="20"/>
                <w:szCs w:val="20"/>
                <w:color w:val="auto"/>
              </w:rPr>
            </w:pPr>
            <w:r>
              <w:rPr>
                <w:rFonts w:ascii="Arial" w:cs="Arial" w:eastAsia="Arial" w:hAnsi="Arial"/>
                <w:sz w:val="18"/>
                <w:szCs w:val="18"/>
                <w:color w:val="auto"/>
                <w:w w:val="79"/>
              </w:rPr>
              <w:t>$</w:t>
            </w:r>
          </w:p>
        </w:tc>
        <w:tc>
          <w:tcPr>
            <w:tcW w:w="2380" w:type="dxa"/>
            <w:vAlign w:val="bottom"/>
            <w:tcBorders>
              <w:right w:val="single" w:sz="8" w:color="E5E5E5"/>
            </w:tcBorders>
            <w:shd w:val="clear" w:color="auto" w:fill="DBDBDB"/>
          </w:tcPr>
          <w:p>
            <w:pPr>
              <w:jc w:val="right"/>
              <w:ind w:right="110"/>
              <w:spacing w:after="0"/>
              <w:rPr>
                <w:sz w:val="20"/>
                <w:szCs w:val="20"/>
                <w:color w:val="auto"/>
              </w:rPr>
            </w:pPr>
            <w:r>
              <w:rPr>
                <w:rFonts w:ascii="Arial" w:cs="Arial" w:eastAsia="Arial" w:hAnsi="Arial"/>
                <w:sz w:val="18"/>
                <w:szCs w:val="18"/>
                <w:color w:val="auto"/>
              </w:rPr>
              <w:t>12,245,067</w:t>
            </w:r>
          </w:p>
        </w:tc>
        <w:tc>
          <w:tcPr>
            <w:tcW w:w="400" w:type="dxa"/>
            <w:vAlign w:val="bottom"/>
            <w:shd w:val="clear" w:color="auto" w:fill="DBDBDB"/>
          </w:tcPr>
          <w:p>
            <w:pPr>
              <w:jc w:val="right"/>
              <w:ind w:right="210"/>
              <w:spacing w:after="0"/>
              <w:rPr>
                <w:sz w:val="20"/>
                <w:szCs w:val="20"/>
                <w:color w:val="auto"/>
              </w:rPr>
            </w:pPr>
            <w:r>
              <w:rPr>
                <w:rFonts w:ascii="Arial" w:cs="Arial" w:eastAsia="Arial" w:hAnsi="Arial"/>
                <w:sz w:val="18"/>
                <w:szCs w:val="18"/>
                <w:color w:val="auto"/>
                <w:w w:val="79"/>
              </w:rPr>
              <w:t>$</w:t>
            </w:r>
          </w:p>
        </w:tc>
        <w:tc>
          <w:tcPr>
            <w:tcW w:w="1440" w:type="dxa"/>
            <w:vAlign w:val="bottom"/>
            <w:tcBorders>
              <w:right w:val="single" w:sz="8" w:color="E5E5E5"/>
            </w:tcBorders>
            <w:shd w:val="clear" w:color="auto" w:fill="DBDBDB"/>
          </w:tcPr>
          <w:p>
            <w:pPr>
              <w:jc w:val="right"/>
              <w:ind w:right="110"/>
              <w:spacing w:after="0"/>
              <w:rPr>
                <w:sz w:val="20"/>
                <w:szCs w:val="20"/>
                <w:color w:val="auto"/>
              </w:rPr>
            </w:pPr>
            <w:r>
              <w:rPr>
                <w:rFonts w:ascii="Arial" w:cs="Arial" w:eastAsia="Arial" w:hAnsi="Arial"/>
                <w:sz w:val="18"/>
                <w:szCs w:val="18"/>
                <w:color w:val="auto"/>
              </w:rPr>
              <w:t>12,245,067</w:t>
            </w:r>
          </w:p>
        </w:tc>
        <w:tc>
          <w:tcPr>
            <w:tcW w:w="0" w:type="dxa"/>
            <w:vAlign w:val="bottom"/>
          </w:tcPr>
          <w:p>
            <w:pPr>
              <w:spacing w:after="0"/>
              <w:rPr>
                <w:sz w:val="1"/>
                <w:szCs w:val="1"/>
                <w:color w:val="auto"/>
              </w:rPr>
            </w:pPr>
          </w:p>
        </w:tc>
      </w:tr>
      <w:tr>
        <w:trPr>
          <w:trHeight w:val="230"/>
        </w:trPr>
        <w:tc>
          <w:tcPr>
            <w:tcW w:w="2220" w:type="dxa"/>
            <w:vAlign w:val="bottom"/>
            <w:tcBorders>
              <w:left w:val="single" w:sz="8" w:color="E5E5E5"/>
              <w:right w:val="single" w:sz="8" w:color="E5E5E5"/>
            </w:tcBorders>
          </w:tcPr>
          <w:p>
            <w:pPr>
              <w:ind w:left="40"/>
              <w:spacing w:after="0"/>
              <w:rPr>
                <w:sz w:val="20"/>
                <w:szCs w:val="20"/>
                <w:color w:val="auto"/>
              </w:rPr>
            </w:pPr>
            <w:r>
              <w:rPr>
                <w:rFonts w:ascii="Arial" w:cs="Arial" w:eastAsia="Arial" w:hAnsi="Arial"/>
                <w:sz w:val="18"/>
                <w:szCs w:val="18"/>
                <w:color w:val="auto"/>
              </w:rPr>
              <w:t>Michael Welch</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tcBorders>
              <w:right w:val="single" w:sz="8" w:color="E5E5E5"/>
            </w:tcBorders>
          </w:tcPr>
          <w:p>
            <w:pPr>
              <w:ind w:left="1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right w:val="single" w:sz="8" w:color="E5E5E5"/>
            </w:tcBorders>
          </w:tcPr>
          <w:p>
            <w:pPr>
              <w:ind w:left="6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tcBorders>
              <w:right w:val="single" w:sz="8" w:color="E5E5E5"/>
            </w:tcBorders>
          </w:tcPr>
          <w:p>
            <w:pPr>
              <w:ind w:left="1160"/>
              <w:spacing w:after="0"/>
              <w:rPr>
                <w:sz w:val="20"/>
                <w:szCs w:val="20"/>
                <w:color w:val="auto"/>
              </w:rPr>
            </w:pPr>
            <w:r>
              <w:rPr>
                <w:rFonts w:ascii="Arial" w:cs="Arial" w:eastAsia="Arial" w:hAnsi="Arial"/>
                <w:sz w:val="18"/>
                <w:szCs w:val="18"/>
                <w:color w:val="auto"/>
              </w:rPr>
              <w:t>—</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2380" w:type="dxa"/>
            <w:vAlign w:val="bottom"/>
            <w:tcBorders>
              <w:right w:val="single" w:sz="8" w:color="E5E5E5"/>
            </w:tcBorders>
          </w:tcPr>
          <w:p>
            <w:pPr>
              <w:jc w:val="right"/>
              <w:ind w:right="110"/>
              <w:spacing w:after="0"/>
              <w:rPr>
                <w:sz w:val="20"/>
                <w:szCs w:val="20"/>
                <w:color w:val="auto"/>
              </w:rPr>
            </w:pPr>
            <w:r>
              <w:rPr>
                <w:rFonts w:ascii="Arial" w:cs="Arial" w:eastAsia="Arial" w:hAnsi="Arial"/>
                <w:sz w:val="18"/>
                <w:szCs w:val="18"/>
                <w:color w:val="auto"/>
              </w:rPr>
              <w:t>2,090,058</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440" w:type="dxa"/>
            <w:vAlign w:val="bottom"/>
            <w:tcBorders>
              <w:right w:val="single" w:sz="8" w:color="E5E5E5"/>
            </w:tcBorders>
          </w:tcPr>
          <w:p>
            <w:pPr>
              <w:jc w:val="right"/>
              <w:ind w:right="110"/>
              <w:spacing w:after="0"/>
              <w:rPr>
                <w:sz w:val="20"/>
                <w:szCs w:val="20"/>
                <w:color w:val="auto"/>
              </w:rPr>
            </w:pPr>
            <w:r>
              <w:rPr>
                <w:rFonts w:ascii="Arial" w:cs="Arial" w:eastAsia="Arial" w:hAnsi="Arial"/>
                <w:sz w:val="18"/>
                <w:szCs w:val="18"/>
                <w:color w:val="auto"/>
              </w:rPr>
              <w:t>2,090,058</w:t>
            </w:r>
          </w:p>
        </w:tc>
        <w:tc>
          <w:tcPr>
            <w:tcW w:w="0" w:type="dxa"/>
            <w:vAlign w:val="bottom"/>
          </w:tcPr>
          <w:p>
            <w:pPr>
              <w:spacing w:after="0"/>
              <w:rPr>
                <w:sz w:val="1"/>
                <w:szCs w:val="1"/>
                <w:color w:val="auto"/>
              </w:rPr>
            </w:pPr>
          </w:p>
        </w:tc>
      </w:tr>
      <w:tr>
        <w:trPr>
          <w:trHeight w:val="256"/>
        </w:trPr>
        <w:tc>
          <w:tcPr>
            <w:tcW w:w="2220" w:type="dxa"/>
            <w:vAlign w:val="bottom"/>
            <w:tcBorders>
              <w:left w:val="single" w:sz="8" w:color="E5E5E5"/>
              <w:right w:val="single" w:sz="8" w:color="E5E5E5"/>
            </w:tcBorders>
            <w:shd w:val="clear" w:color="auto" w:fill="DBDBDB"/>
          </w:tcPr>
          <w:p>
            <w:pPr>
              <w:ind w:left="40"/>
              <w:spacing w:after="0"/>
              <w:rPr>
                <w:sz w:val="20"/>
                <w:szCs w:val="20"/>
                <w:color w:val="auto"/>
              </w:rPr>
            </w:pPr>
            <w:r>
              <w:rPr>
                <w:rFonts w:ascii="Arial" w:cs="Arial" w:eastAsia="Arial" w:hAnsi="Arial"/>
                <w:sz w:val="18"/>
                <w:szCs w:val="18"/>
                <w:color w:val="auto"/>
              </w:rPr>
              <w:t>Daniel Clara</w:t>
            </w:r>
          </w:p>
        </w:tc>
        <w:tc>
          <w:tcPr>
            <w:tcW w:w="20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tcBorders>
              <w:right w:val="single" w:sz="8" w:color="E5E5E5"/>
            </w:tcBorders>
            <w:shd w:val="clear" w:color="auto" w:fill="DBDBDB"/>
          </w:tcPr>
          <w:p>
            <w:pPr>
              <w:ind w:left="1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right w:val="single" w:sz="8" w:color="E5E5E5"/>
            </w:tcBorders>
            <w:shd w:val="clear" w:color="auto" w:fill="DBDBDB"/>
          </w:tcPr>
          <w:p>
            <w:pPr>
              <w:ind w:left="620"/>
              <w:spacing w:after="0"/>
              <w:rPr>
                <w:sz w:val="20"/>
                <w:szCs w:val="20"/>
                <w:color w:val="auto"/>
              </w:rPr>
            </w:pPr>
            <w:r>
              <w:rPr>
                <w:rFonts w:ascii="Arial" w:cs="Arial" w:eastAsia="Arial" w:hAnsi="Arial"/>
                <w:sz w:val="18"/>
                <w:szCs w:val="18"/>
                <w:color w:val="auto"/>
              </w:rPr>
              <w:t>—</w:t>
            </w:r>
          </w:p>
        </w:tc>
        <w:tc>
          <w:tcPr>
            <w:tcW w:w="20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tcBorders>
              <w:right w:val="single" w:sz="8" w:color="E5E5E5"/>
            </w:tcBorders>
            <w:shd w:val="clear" w:color="auto" w:fill="DBDBDB"/>
          </w:tcPr>
          <w:p>
            <w:pPr>
              <w:ind w:left="1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DBDBDB"/>
          </w:tcPr>
          <w:p>
            <w:pPr>
              <w:ind w:left="20"/>
              <w:spacing w:after="0"/>
              <w:rPr>
                <w:sz w:val="20"/>
                <w:szCs w:val="20"/>
                <w:color w:val="auto"/>
              </w:rPr>
            </w:pPr>
            <w:r>
              <w:rPr>
                <w:rFonts w:ascii="Arial" w:cs="Arial" w:eastAsia="Arial" w:hAnsi="Arial"/>
                <w:sz w:val="18"/>
                <w:szCs w:val="18"/>
                <w:color w:val="auto"/>
                <w:w w:val="79"/>
              </w:rPr>
              <w:t>$</w:t>
            </w:r>
          </w:p>
        </w:tc>
        <w:tc>
          <w:tcPr>
            <w:tcW w:w="2380" w:type="dxa"/>
            <w:vAlign w:val="bottom"/>
            <w:tcBorders>
              <w:right w:val="single" w:sz="8" w:color="E5E5E5"/>
            </w:tcBorders>
            <w:shd w:val="clear" w:color="auto" w:fill="DBDBDB"/>
          </w:tcPr>
          <w:p>
            <w:pPr>
              <w:jc w:val="right"/>
              <w:ind w:right="110"/>
              <w:spacing w:after="0"/>
              <w:rPr>
                <w:sz w:val="20"/>
                <w:szCs w:val="20"/>
                <w:color w:val="auto"/>
              </w:rPr>
            </w:pPr>
            <w:r>
              <w:rPr>
                <w:rFonts w:ascii="Arial" w:cs="Arial" w:eastAsia="Arial" w:hAnsi="Arial"/>
                <w:sz w:val="18"/>
                <w:szCs w:val="18"/>
                <w:color w:val="auto"/>
              </w:rPr>
              <w:t>2,151,788</w:t>
            </w:r>
          </w:p>
        </w:tc>
        <w:tc>
          <w:tcPr>
            <w:tcW w:w="400" w:type="dxa"/>
            <w:vAlign w:val="bottom"/>
            <w:shd w:val="clear" w:color="auto" w:fill="DBDBDB"/>
          </w:tcPr>
          <w:p>
            <w:pPr>
              <w:jc w:val="right"/>
              <w:ind w:right="210"/>
              <w:spacing w:after="0"/>
              <w:rPr>
                <w:sz w:val="20"/>
                <w:szCs w:val="20"/>
                <w:color w:val="auto"/>
              </w:rPr>
            </w:pPr>
            <w:r>
              <w:rPr>
                <w:rFonts w:ascii="Arial" w:cs="Arial" w:eastAsia="Arial" w:hAnsi="Arial"/>
                <w:sz w:val="18"/>
                <w:szCs w:val="18"/>
                <w:color w:val="auto"/>
                <w:w w:val="79"/>
              </w:rPr>
              <w:t>$</w:t>
            </w:r>
          </w:p>
        </w:tc>
        <w:tc>
          <w:tcPr>
            <w:tcW w:w="1440" w:type="dxa"/>
            <w:vAlign w:val="bottom"/>
            <w:tcBorders>
              <w:right w:val="single" w:sz="8" w:color="E5E5E5"/>
            </w:tcBorders>
            <w:shd w:val="clear" w:color="auto" w:fill="DBDBDB"/>
          </w:tcPr>
          <w:p>
            <w:pPr>
              <w:jc w:val="right"/>
              <w:ind w:right="110"/>
              <w:spacing w:after="0"/>
              <w:rPr>
                <w:sz w:val="20"/>
                <w:szCs w:val="20"/>
                <w:color w:val="auto"/>
              </w:rPr>
            </w:pPr>
            <w:r>
              <w:rPr>
                <w:rFonts w:ascii="Arial" w:cs="Arial" w:eastAsia="Arial" w:hAnsi="Arial"/>
                <w:sz w:val="18"/>
                <w:szCs w:val="18"/>
                <w:color w:val="auto"/>
              </w:rPr>
              <w:t>2,151,788</w:t>
            </w:r>
          </w:p>
        </w:tc>
        <w:tc>
          <w:tcPr>
            <w:tcW w:w="0" w:type="dxa"/>
            <w:vAlign w:val="bottom"/>
          </w:tcPr>
          <w:p>
            <w:pPr>
              <w:spacing w:after="0"/>
              <w:rPr>
                <w:sz w:val="1"/>
                <w:szCs w:val="1"/>
                <w:color w:val="auto"/>
              </w:rPr>
            </w:pPr>
          </w:p>
        </w:tc>
      </w:tr>
      <w:tr>
        <w:trPr>
          <w:trHeight w:val="230"/>
        </w:trPr>
        <w:tc>
          <w:tcPr>
            <w:tcW w:w="2220" w:type="dxa"/>
            <w:vAlign w:val="bottom"/>
            <w:tcBorders>
              <w:left w:val="single" w:sz="8" w:color="E5E5E5"/>
              <w:right w:val="single" w:sz="8" w:color="E5E5E5"/>
            </w:tcBorders>
          </w:tcPr>
          <w:p>
            <w:pPr>
              <w:ind w:left="40"/>
              <w:spacing w:after="0"/>
              <w:rPr>
                <w:sz w:val="20"/>
                <w:szCs w:val="20"/>
                <w:color w:val="auto"/>
              </w:rPr>
            </w:pPr>
            <w:r>
              <w:rPr>
                <w:rFonts w:ascii="Arial" w:cs="Arial" w:eastAsia="Arial" w:hAnsi="Arial"/>
                <w:sz w:val="18"/>
                <w:szCs w:val="18"/>
                <w:color w:val="auto"/>
              </w:rPr>
              <w:t>Jed Milstein</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tcBorders>
              <w:right w:val="single" w:sz="8" w:color="E5E5E5"/>
            </w:tcBorders>
          </w:tcPr>
          <w:p>
            <w:pPr>
              <w:ind w:left="1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right w:val="single" w:sz="8" w:color="E5E5E5"/>
            </w:tcBorders>
          </w:tcPr>
          <w:p>
            <w:pPr>
              <w:ind w:left="6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tcBorders>
              <w:right w:val="single" w:sz="8" w:color="E5E5E5"/>
            </w:tcBorders>
          </w:tcPr>
          <w:p>
            <w:pPr>
              <w:ind w:left="1160"/>
              <w:spacing w:after="0"/>
              <w:rPr>
                <w:sz w:val="20"/>
                <w:szCs w:val="20"/>
                <w:color w:val="auto"/>
              </w:rPr>
            </w:pPr>
            <w:r>
              <w:rPr>
                <w:rFonts w:ascii="Arial" w:cs="Arial" w:eastAsia="Arial" w:hAnsi="Arial"/>
                <w:sz w:val="18"/>
                <w:szCs w:val="18"/>
                <w:color w:val="auto"/>
              </w:rPr>
              <w:t>—</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2380" w:type="dxa"/>
            <w:vAlign w:val="bottom"/>
            <w:tcBorders>
              <w:right w:val="single" w:sz="8" w:color="E5E5E5"/>
            </w:tcBorders>
          </w:tcPr>
          <w:p>
            <w:pPr>
              <w:jc w:val="right"/>
              <w:ind w:right="110"/>
              <w:spacing w:after="0"/>
              <w:rPr>
                <w:sz w:val="20"/>
                <w:szCs w:val="20"/>
                <w:color w:val="auto"/>
              </w:rPr>
            </w:pPr>
            <w:r>
              <w:rPr>
                <w:rFonts w:ascii="Arial" w:cs="Arial" w:eastAsia="Arial" w:hAnsi="Arial"/>
                <w:sz w:val="18"/>
                <w:szCs w:val="18"/>
                <w:color w:val="auto"/>
              </w:rPr>
              <w:t>1,853,104</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440" w:type="dxa"/>
            <w:vAlign w:val="bottom"/>
            <w:tcBorders>
              <w:right w:val="single" w:sz="8" w:color="E5E5E5"/>
            </w:tcBorders>
          </w:tcPr>
          <w:p>
            <w:pPr>
              <w:jc w:val="right"/>
              <w:ind w:right="110"/>
              <w:spacing w:after="0"/>
              <w:rPr>
                <w:sz w:val="20"/>
                <w:szCs w:val="20"/>
                <w:color w:val="auto"/>
              </w:rPr>
            </w:pPr>
            <w:r>
              <w:rPr>
                <w:rFonts w:ascii="Arial" w:cs="Arial" w:eastAsia="Arial" w:hAnsi="Arial"/>
                <w:sz w:val="18"/>
                <w:szCs w:val="18"/>
                <w:color w:val="auto"/>
              </w:rPr>
              <w:t>1,853,104</w:t>
            </w:r>
          </w:p>
        </w:tc>
        <w:tc>
          <w:tcPr>
            <w:tcW w:w="0" w:type="dxa"/>
            <w:vAlign w:val="bottom"/>
          </w:tcPr>
          <w:p>
            <w:pPr>
              <w:spacing w:after="0"/>
              <w:rPr>
                <w:sz w:val="1"/>
                <w:szCs w:val="1"/>
                <w:color w:val="auto"/>
              </w:rPr>
            </w:pPr>
          </w:p>
        </w:tc>
      </w:tr>
      <w:tr>
        <w:trPr>
          <w:trHeight w:val="257"/>
        </w:trPr>
        <w:tc>
          <w:tcPr>
            <w:tcW w:w="2220" w:type="dxa"/>
            <w:vAlign w:val="bottom"/>
            <w:tcBorders>
              <w:left w:val="single" w:sz="8" w:color="E5E5E5"/>
              <w:right w:val="single" w:sz="8" w:color="E5E5E5"/>
            </w:tcBorders>
            <w:shd w:val="clear" w:color="auto" w:fill="DBDBDB"/>
          </w:tcPr>
          <w:p>
            <w:pPr>
              <w:ind w:left="40"/>
              <w:spacing w:after="0"/>
              <w:rPr>
                <w:sz w:val="20"/>
                <w:szCs w:val="20"/>
                <w:color w:val="auto"/>
              </w:rPr>
            </w:pPr>
            <w:r>
              <w:rPr>
                <w:rFonts w:ascii="Arial" w:cs="Arial" w:eastAsia="Arial" w:hAnsi="Arial"/>
                <w:sz w:val="18"/>
                <w:szCs w:val="18"/>
                <w:color w:val="auto"/>
              </w:rPr>
              <w:t>Dean Calloway</w:t>
            </w:r>
          </w:p>
        </w:tc>
        <w:tc>
          <w:tcPr>
            <w:tcW w:w="20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tcBorders>
              <w:right w:val="single" w:sz="8" w:color="E5E5E5"/>
            </w:tcBorders>
            <w:shd w:val="clear" w:color="auto" w:fill="DBDBDB"/>
          </w:tcPr>
          <w:p>
            <w:pPr>
              <w:ind w:left="1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right w:val="single" w:sz="8" w:color="E5E5E5"/>
            </w:tcBorders>
            <w:shd w:val="clear" w:color="auto" w:fill="DBDBDB"/>
          </w:tcPr>
          <w:p>
            <w:pPr>
              <w:ind w:left="620"/>
              <w:spacing w:after="0"/>
              <w:rPr>
                <w:sz w:val="20"/>
                <w:szCs w:val="20"/>
                <w:color w:val="auto"/>
              </w:rPr>
            </w:pPr>
            <w:r>
              <w:rPr>
                <w:rFonts w:ascii="Arial" w:cs="Arial" w:eastAsia="Arial" w:hAnsi="Arial"/>
                <w:sz w:val="18"/>
                <w:szCs w:val="18"/>
                <w:color w:val="auto"/>
              </w:rPr>
              <w:t>—</w:t>
            </w:r>
          </w:p>
        </w:tc>
        <w:tc>
          <w:tcPr>
            <w:tcW w:w="20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tcBorders>
              <w:right w:val="single" w:sz="8" w:color="E5E5E5"/>
            </w:tcBorders>
            <w:shd w:val="clear" w:color="auto" w:fill="DBDBDB"/>
          </w:tcPr>
          <w:p>
            <w:pPr>
              <w:ind w:left="1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DBDBDB"/>
          </w:tcPr>
          <w:p>
            <w:pPr>
              <w:ind w:left="20"/>
              <w:spacing w:after="0"/>
              <w:rPr>
                <w:sz w:val="20"/>
                <w:szCs w:val="20"/>
                <w:color w:val="auto"/>
              </w:rPr>
            </w:pPr>
            <w:r>
              <w:rPr>
                <w:rFonts w:ascii="Arial" w:cs="Arial" w:eastAsia="Arial" w:hAnsi="Arial"/>
                <w:sz w:val="18"/>
                <w:szCs w:val="18"/>
                <w:color w:val="auto"/>
                <w:w w:val="79"/>
              </w:rPr>
              <w:t>$</w:t>
            </w:r>
          </w:p>
        </w:tc>
        <w:tc>
          <w:tcPr>
            <w:tcW w:w="2380" w:type="dxa"/>
            <w:vAlign w:val="bottom"/>
            <w:tcBorders>
              <w:right w:val="single" w:sz="8" w:color="E5E5E5"/>
            </w:tcBorders>
            <w:shd w:val="clear" w:color="auto" w:fill="DBDBDB"/>
          </w:tcPr>
          <w:p>
            <w:pPr>
              <w:jc w:val="right"/>
              <w:ind w:right="110"/>
              <w:spacing w:after="0"/>
              <w:rPr>
                <w:sz w:val="20"/>
                <w:szCs w:val="20"/>
                <w:color w:val="auto"/>
              </w:rPr>
            </w:pPr>
            <w:r>
              <w:rPr>
                <w:rFonts w:ascii="Arial" w:cs="Arial" w:eastAsia="Arial" w:hAnsi="Arial"/>
                <w:sz w:val="18"/>
                <w:szCs w:val="18"/>
                <w:color w:val="auto"/>
              </w:rPr>
              <w:t>826,545</w:t>
            </w:r>
          </w:p>
        </w:tc>
        <w:tc>
          <w:tcPr>
            <w:tcW w:w="400" w:type="dxa"/>
            <w:vAlign w:val="bottom"/>
            <w:shd w:val="clear" w:color="auto" w:fill="DBDBDB"/>
          </w:tcPr>
          <w:p>
            <w:pPr>
              <w:jc w:val="right"/>
              <w:ind w:right="210"/>
              <w:spacing w:after="0"/>
              <w:rPr>
                <w:sz w:val="20"/>
                <w:szCs w:val="20"/>
                <w:color w:val="auto"/>
              </w:rPr>
            </w:pPr>
            <w:r>
              <w:rPr>
                <w:rFonts w:ascii="Arial" w:cs="Arial" w:eastAsia="Arial" w:hAnsi="Arial"/>
                <w:sz w:val="18"/>
                <w:szCs w:val="18"/>
                <w:color w:val="auto"/>
                <w:w w:val="79"/>
              </w:rPr>
              <w:t>$</w:t>
            </w:r>
          </w:p>
        </w:tc>
        <w:tc>
          <w:tcPr>
            <w:tcW w:w="1440" w:type="dxa"/>
            <w:vAlign w:val="bottom"/>
            <w:tcBorders>
              <w:right w:val="single" w:sz="8" w:color="E5E5E5"/>
            </w:tcBorders>
            <w:shd w:val="clear" w:color="auto" w:fill="DBDBDB"/>
          </w:tcPr>
          <w:p>
            <w:pPr>
              <w:jc w:val="right"/>
              <w:ind w:right="110"/>
              <w:spacing w:after="0"/>
              <w:rPr>
                <w:sz w:val="20"/>
                <w:szCs w:val="20"/>
                <w:color w:val="auto"/>
              </w:rPr>
            </w:pPr>
            <w:r>
              <w:rPr>
                <w:rFonts w:ascii="Arial" w:cs="Arial" w:eastAsia="Arial" w:hAnsi="Arial"/>
                <w:sz w:val="18"/>
                <w:szCs w:val="18"/>
                <w:color w:val="auto"/>
              </w:rPr>
              <w:t>826,545</w:t>
            </w:r>
          </w:p>
        </w:tc>
        <w:tc>
          <w:tcPr>
            <w:tcW w:w="0" w:type="dxa"/>
            <w:vAlign w:val="bottom"/>
          </w:tcPr>
          <w:p>
            <w:pPr>
              <w:spacing w:after="0"/>
              <w:rPr>
                <w:sz w:val="1"/>
                <w:szCs w:val="1"/>
                <w:color w:val="auto"/>
              </w:rPr>
            </w:pPr>
          </w:p>
        </w:tc>
      </w:tr>
      <w:tr>
        <w:trPr>
          <w:trHeight w:val="229"/>
        </w:trPr>
        <w:tc>
          <w:tcPr>
            <w:tcW w:w="2220" w:type="dxa"/>
            <w:vAlign w:val="bottom"/>
            <w:tcBorders>
              <w:left w:val="single" w:sz="8" w:color="E5E5E5"/>
              <w:right w:val="single" w:sz="8" w:color="E5E5E5"/>
            </w:tcBorders>
          </w:tcPr>
          <w:p>
            <w:pPr>
              <w:ind w:left="40"/>
              <w:spacing w:after="0" w:line="230" w:lineRule="exact"/>
              <w:rPr>
                <w:sz w:val="20"/>
                <w:szCs w:val="20"/>
                <w:color w:val="auto"/>
              </w:rPr>
            </w:pPr>
            <w:r>
              <w:rPr>
                <w:rFonts w:ascii="Arial" w:cs="Arial" w:eastAsia="Arial" w:hAnsi="Arial"/>
                <w:sz w:val="18"/>
                <w:szCs w:val="18"/>
                <w:color w:val="auto"/>
              </w:rPr>
              <w:t>George A. Villasana</w:t>
            </w:r>
            <w:r>
              <w:rPr>
                <w:rFonts w:ascii="Arial" w:cs="Arial" w:eastAsia="Arial" w:hAnsi="Arial"/>
                <w:sz w:val="23"/>
                <w:szCs w:val="23"/>
                <w:color w:val="auto"/>
                <w:vertAlign w:val="superscript"/>
              </w:rPr>
              <w:t>(1)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tcBorders>
              <w:right w:val="single" w:sz="8" w:color="E5E5E5"/>
            </w:tcBorders>
          </w:tcPr>
          <w:p>
            <w:pPr>
              <w:ind w:left="1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right w:val="single" w:sz="8" w:color="E5E5E5"/>
            </w:tcBorders>
          </w:tcPr>
          <w:p>
            <w:pPr>
              <w:ind w:left="6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tcBorders>
              <w:right w:val="single" w:sz="8" w:color="E5E5E5"/>
            </w:tcBorders>
          </w:tcPr>
          <w:p>
            <w:pPr>
              <w:ind w:left="1160"/>
              <w:spacing w:after="0"/>
              <w:rPr>
                <w:sz w:val="20"/>
                <w:szCs w:val="20"/>
                <w:color w:val="auto"/>
              </w:rPr>
            </w:pPr>
            <w:r>
              <w:rPr>
                <w:rFonts w:ascii="Arial" w:cs="Arial" w:eastAsia="Arial" w:hAnsi="Arial"/>
                <w:sz w:val="18"/>
                <w:szCs w:val="18"/>
                <w:color w:val="auto"/>
              </w:rPr>
              <w:t>—</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2380" w:type="dxa"/>
            <w:vAlign w:val="bottom"/>
            <w:tcBorders>
              <w:right w:val="single" w:sz="8" w:color="E5E5E5"/>
            </w:tcBorders>
          </w:tcPr>
          <w:p>
            <w:pPr>
              <w:jc w:val="right"/>
              <w:ind w:right="110"/>
              <w:spacing w:after="0"/>
              <w:rPr>
                <w:sz w:val="20"/>
                <w:szCs w:val="20"/>
                <w:color w:val="auto"/>
              </w:rPr>
            </w:pPr>
            <w:r>
              <w:rPr>
                <w:rFonts w:ascii="Arial" w:cs="Arial" w:eastAsia="Arial" w:hAnsi="Arial"/>
                <w:sz w:val="18"/>
                <w:szCs w:val="18"/>
                <w:color w:val="auto"/>
              </w:rPr>
              <w:t>2,033,918</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440" w:type="dxa"/>
            <w:vAlign w:val="bottom"/>
            <w:tcBorders>
              <w:right w:val="single" w:sz="8" w:color="E5E5E5"/>
            </w:tcBorders>
          </w:tcPr>
          <w:p>
            <w:pPr>
              <w:jc w:val="right"/>
              <w:ind w:right="110"/>
              <w:spacing w:after="0"/>
              <w:rPr>
                <w:sz w:val="20"/>
                <w:szCs w:val="20"/>
                <w:color w:val="auto"/>
              </w:rPr>
            </w:pPr>
            <w:r>
              <w:rPr>
                <w:rFonts w:ascii="Arial" w:cs="Arial" w:eastAsia="Arial" w:hAnsi="Arial"/>
                <w:sz w:val="18"/>
                <w:szCs w:val="18"/>
                <w:color w:val="auto"/>
              </w:rPr>
              <w:t>2,033,918</w:t>
            </w:r>
          </w:p>
        </w:tc>
        <w:tc>
          <w:tcPr>
            <w:tcW w:w="0" w:type="dxa"/>
            <w:vAlign w:val="bottom"/>
          </w:tcPr>
          <w:p>
            <w:pPr>
              <w:spacing w:after="0"/>
              <w:rPr>
                <w:sz w:val="1"/>
                <w:szCs w:val="1"/>
                <w:color w:val="auto"/>
              </w:rPr>
            </w:pPr>
          </w:p>
        </w:tc>
      </w:tr>
      <w:tr>
        <w:trPr>
          <w:trHeight w:val="257"/>
        </w:trPr>
        <w:tc>
          <w:tcPr>
            <w:tcW w:w="2220" w:type="dxa"/>
            <w:vAlign w:val="bottom"/>
            <w:tcBorders>
              <w:left w:val="single" w:sz="8" w:color="E5E5E5"/>
              <w:right w:val="single" w:sz="8" w:color="E5E5E5"/>
            </w:tcBorders>
            <w:shd w:val="clear" w:color="auto" w:fill="DBDBDB"/>
          </w:tcPr>
          <w:p>
            <w:pPr>
              <w:ind w:left="40"/>
              <w:spacing w:after="0" w:line="243" w:lineRule="exact"/>
              <w:rPr>
                <w:sz w:val="20"/>
                <w:szCs w:val="20"/>
                <w:color w:val="auto"/>
              </w:rPr>
            </w:pPr>
            <w:r>
              <w:rPr>
                <w:rFonts w:ascii="Arial" w:cs="Arial" w:eastAsia="Arial" w:hAnsi="Arial"/>
                <w:sz w:val="18"/>
                <w:szCs w:val="18"/>
                <w:color w:val="auto"/>
              </w:rPr>
              <w:t>Miran Maric</w:t>
            </w:r>
            <w:r>
              <w:rPr>
                <w:rFonts w:ascii="Arial" w:cs="Arial" w:eastAsia="Arial" w:hAnsi="Arial"/>
                <w:sz w:val="23"/>
                <w:szCs w:val="23"/>
                <w:color w:val="auto"/>
                <w:vertAlign w:val="superscript"/>
              </w:rPr>
              <w:t>(2)</w:t>
            </w:r>
          </w:p>
        </w:tc>
        <w:tc>
          <w:tcPr>
            <w:tcW w:w="20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tcBorders>
              <w:right w:val="single" w:sz="8" w:color="E5E5E5"/>
            </w:tcBorders>
            <w:shd w:val="clear" w:color="auto" w:fill="DBDBDB"/>
          </w:tcPr>
          <w:p>
            <w:pPr>
              <w:ind w:left="1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right w:val="single" w:sz="8" w:color="E5E5E5"/>
            </w:tcBorders>
            <w:shd w:val="clear" w:color="auto" w:fill="DBDBDB"/>
          </w:tcPr>
          <w:p>
            <w:pPr>
              <w:ind w:left="620"/>
              <w:spacing w:after="0"/>
              <w:rPr>
                <w:sz w:val="20"/>
                <w:szCs w:val="20"/>
                <w:color w:val="auto"/>
              </w:rPr>
            </w:pPr>
            <w:r>
              <w:rPr>
                <w:rFonts w:ascii="Arial" w:cs="Arial" w:eastAsia="Arial" w:hAnsi="Arial"/>
                <w:sz w:val="18"/>
                <w:szCs w:val="18"/>
                <w:color w:val="auto"/>
              </w:rPr>
              <w:t>—</w:t>
            </w:r>
          </w:p>
        </w:tc>
        <w:tc>
          <w:tcPr>
            <w:tcW w:w="20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tcBorders>
              <w:right w:val="single" w:sz="8" w:color="E5E5E5"/>
            </w:tcBorders>
            <w:shd w:val="clear" w:color="auto" w:fill="DBDBDB"/>
          </w:tcPr>
          <w:p>
            <w:pPr>
              <w:ind w:left="1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DBDBDB"/>
          </w:tcPr>
          <w:p>
            <w:pPr>
              <w:ind w:left="20"/>
              <w:spacing w:after="0"/>
              <w:rPr>
                <w:sz w:val="20"/>
                <w:szCs w:val="20"/>
                <w:color w:val="auto"/>
              </w:rPr>
            </w:pPr>
            <w:r>
              <w:rPr>
                <w:rFonts w:ascii="Arial" w:cs="Arial" w:eastAsia="Arial" w:hAnsi="Arial"/>
                <w:sz w:val="18"/>
                <w:szCs w:val="18"/>
                <w:color w:val="auto"/>
                <w:w w:val="79"/>
              </w:rPr>
              <w:t>$</w:t>
            </w:r>
          </w:p>
        </w:tc>
        <w:tc>
          <w:tcPr>
            <w:tcW w:w="2380" w:type="dxa"/>
            <w:vAlign w:val="bottom"/>
            <w:tcBorders>
              <w:right w:val="single" w:sz="8" w:color="E5E5E5"/>
            </w:tcBorders>
            <w:shd w:val="clear" w:color="auto" w:fill="DBDBDB"/>
          </w:tcPr>
          <w:p>
            <w:pPr>
              <w:jc w:val="right"/>
              <w:ind w:right="110"/>
              <w:spacing w:after="0"/>
              <w:rPr>
                <w:sz w:val="20"/>
                <w:szCs w:val="20"/>
                <w:color w:val="auto"/>
              </w:rPr>
            </w:pPr>
            <w:r>
              <w:rPr>
                <w:rFonts w:ascii="Arial" w:cs="Arial" w:eastAsia="Arial" w:hAnsi="Arial"/>
                <w:sz w:val="18"/>
                <w:szCs w:val="18"/>
                <w:color w:val="auto"/>
              </w:rPr>
              <w:t>—</w:t>
            </w:r>
          </w:p>
        </w:tc>
        <w:tc>
          <w:tcPr>
            <w:tcW w:w="400" w:type="dxa"/>
            <w:vAlign w:val="bottom"/>
            <w:shd w:val="clear" w:color="auto" w:fill="DBDBDB"/>
          </w:tcPr>
          <w:p>
            <w:pPr>
              <w:jc w:val="right"/>
              <w:ind w:right="210"/>
              <w:spacing w:after="0"/>
              <w:rPr>
                <w:sz w:val="20"/>
                <w:szCs w:val="20"/>
                <w:color w:val="auto"/>
              </w:rPr>
            </w:pPr>
            <w:r>
              <w:rPr>
                <w:rFonts w:ascii="Arial" w:cs="Arial" w:eastAsia="Arial" w:hAnsi="Arial"/>
                <w:sz w:val="18"/>
                <w:szCs w:val="18"/>
                <w:color w:val="auto"/>
                <w:w w:val="79"/>
              </w:rPr>
              <w:t>$</w:t>
            </w:r>
          </w:p>
        </w:tc>
        <w:tc>
          <w:tcPr>
            <w:tcW w:w="1440" w:type="dxa"/>
            <w:vAlign w:val="bottom"/>
            <w:tcBorders>
              <w:right w:val="single" w:sz="8" w:color="E5E5E5"/>
            </w:tcBorders>
            <w:shd w:val="clear" w:color="auto" w:fill="DBDBDB"/>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340" w:right="220" w:hanging="332"/>
        <w:spacing w:after="0" w:line="266" w:lineRule="auto"/>
        <w:tabs>
          <w:tab w:leader="none" w:pos="335" w:val="left"/>
        </w:tabs>
        <w:numPr>
          <w:ilvl w:val="0"/>
          <w:numId w:val="64"/>
        </w:numPr>
        <w:rPr>
          <w:rFonts w:ascii="Arial" w:cs="Arial" w:eastAsia="Arial" w:hAnsi="Arial"/>
          <w:sz w:val="16"/>
          <w:szCs w:val="16"/>
          <w:color w:val="auto"/>
        </w:rPr>
      </w:pPr>
      <w:r>
        <w:rPr>
          <w:rFonts w:ascii="Arial" w:cs="Arial" w:eastAsia="Arial" w:hAnsi="Arial"/>
          <w:sz w:val="16"/>
          <w:szCs w:val="16"/>
          <w:color w:val="auto"/>
        </w:rPr>
        <w:t>Reflects Mr. Villasana's Transition and Retirement Agreement. For a description of fiscal 2024 compensation amounts paid to Mr. Villasana in connection with his Transition and Retirement Agreement see "Potential Payments Upon Termination or Change in Control–Severance and Transition Agreements” above.</w:t>
      </w:r>
    </w:p>
    <w:p>
      <w:pPr>
        <w:spacing w:after="0" w:line="22" w:lineRule="exact"/>
        <w:rPr>
          <w:rFonts w:ascii="Arial" w:cs="Arial" w:eastAsia="Arial" w:hAnsi="Arial"/>
          <w:sz w:val="16"/>
          <w:szCs w:val="16"/>
          <w:color w:val="auto"/>
        </w:rPr>
      </w:pPr>
    </w:p>
    <w:p>
      <w:pPr>
        <w:ind w:left="320" w:hanging="312"/>
        <w:spacing w:after="0"/>
        <w:tabs>
          <w:tab w:leader="none" w:pos="320" w:val="left"/>
        </w:tabs>
        <w:numPr>
          <w:ilvl w:val="0"/>
          <w:numId w:val="64"/>
        </w:numPr>
        <w:rPr>
          <w:rFonts w:ascii="Arial" w:cs="Arial" w:eastAsia="Arial" w:hAnsi="Arial"/>
          <w:sz w:val="16"/>
          <w:szCs w:val="16"/>
          <w:color w:val="auto"/>
        </w:rPr>
      </w:pPr>
      <w:r>
        <w:rPr>
          <w:rFonts w:ascii="Arial" w:cs="Arial" w:eastAsia="Arial" w:hAnsi="Arial"/>
          <w:sz w:val="16"/>
          <w:szCs w:val="16"/>
          <w:color w:val="auto"/>
        </w:rPr>
        <w:t>Mr. Maric terminated prior to December 31, 2024 and would not have any potential payments as of December 31, 2024.</w:t>
      </w:r>
    </w:p>
    <w:p>
      <w:pPr>
        <w:spacing w:after="0" w:line="37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CEO PAY RATIO</w:t>
      </w:r>
    </w:p>
    <w:p>
      <w:pPr>
        <w:spacing w:after="0" w:line="10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For the 2024 fiscal year, the Pay Ratio (the "Pay Ratio") of the annual total compensation of Mr. Hult, our President &amp; Chief Executive Officer during 2024 (“CEO Compensation”), to the median of the annual total compensation of all of our employees other than our Chief Executive Officer (“Median Annual Compensation”) was 129.1 to 1. This ratio is a reasonable estimate calculated in a manner consistent with Item 402(u) of Regulation S-K using the data and assumptions summarized below. In this summary, we refer to the employee who received such Median Annual Compensation as the “Median Employee.” We did not use the same Median Employee in our calculation of the Pay Ratio for the 2024 fiscal year as we did in our calculation of the Pay Ratio for the 2023 fiscal year because we determined it was appropriate to identify a new Median Employee due to our highly variable pay practices. The date used to identify the Median Employee for the 2024 fiscal year was December 1, 2024 (the “Determination Date”), which is the same calender day that was used in 2023 fiscal year.</w:t>
      </w:r>
    </w:p>
    <w:p>
      <w:pPr>
        <w:spacing w:after="0" w:line="77"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CEO Compensation for purposes of this disclosure was $8,999,130, which represents the total compensation reported for Mr. Hult under "Summary Compensation Table” for the 2024 fiscal year. For purposes of this disclosure, Median Annual Compensation was $69,670, which represents the total of our Median Employee's applicable elements of compensation for the 2024 fiscal year as determined in accordance with Item 402(c)(2)(x) of Regulation S-K.</w:t>
      </w:r>
    </w:p>
    <w:p>
      <w:pPr>
        <w:spacing w:after="0" w:line="6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To identify the Median Employee for the 2024 fiscal year, we first determined our employee population as of the Determination Date. We had 14,397 employees, representing all full-time, part-time, seasonal and temporary employees of us and our consolidated subsidiaries as of the Determination Date. This number does not include any independent contractors or “leased” workers, as permitted by the applicable SEC rules. We then measured compensation for the period beginning on January 1, 2024 and ending on December 31, 2024 for these employees. This compensation measurement was calculated by totaling, for each employee, gross taxable earnings, including salary, wages, commissions, bonuses, the value of equity awards that vested during the measurement period and other compensation as shown in our payroll and human resources records for 2024. A portion of our employee workforce (full-time and part-time) worked for less than the full fiscal year due to commencing employment after the beginning of the fiscal year. In determining the Median Employee, we annualized the compensation for such individuals.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PAY VERSUS PERFORMANCE</w:t>
      </w:r>
    </w:p>
    <w:p>
      <w:pPr>
        <w:spacing w:after="0" w:line="8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Pay Versus Performance Table</w:t>
      </w:r>
    </w:p>
    <w:p>
      <w:pPr>
        <w:spacing w:after="0" w:line="86"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The following tables contain information about the relationship between executive "compensation actually paid" as calculated pursuant to Item 402(v) of Regulation S-K ("CAP") to our named executive officers and certain financial performance of the Company. For a more detailed discussion about our pay-for-performance philosophy and how we align executive compensation with our Company’s performance, please see “Compensation Discussion &amp; Analysis.”</w:t>
      </w:r>
    </w:p>
    <w:p>
      <w:pPr>
        <w:spacing w:after="0" w:line="114" w:lineRule="exact"/>
        <w:rPr>
          <w:sz w:val="20"/>
          <w:szCs w:val="20"/>
          <w:color w:val="auto"/>
        </w:rPr>
      </w:pPr>
    </w:p>
    <w:tbl>
      <w:tblPr>
        <w:tblLayout w:type="fixed"/>
        <w:tblInd w:w="10" w:type="dxa"/>
        <w:tblCellMar>
          <w:top w:w="0" w:type="dxa"/>
          <w:left w:w="0" w:type="dxa"/>
          <w:bottom w:w="0" w:type="dxa"/>
          <w:right w:w="0" w:type="dxa"/>
        </w:tblCellMar>
      </w:tblPr>
      <w:tr>
        <w:trPr>
          <w:trHeight w:val="418"/>
        </w:trPr>
        <w:tc>
          <w:tcPr>
            <w:tcW w:w="580" w:type="dxa"/>
            <w:vAlign w:val="bottom"/>
            <w:tcBorders>
              <w:left w:val="single" w:sz="8" w:color="E5E5E5"/>
              <w:right w:val="single" w:sz="8" w:color="E5E5E5"/>
            </w:tcBorders>
            <w:shd w:val="clear" w:color="auto" w:fill="D91E18"/>
          </w:tcPr>
          <w:p>
            <w:pPr>
              <w:spacing w:after="0"/>
              <w:rPr>
                <w:sz w:val="24"/>
                <w:szCs w:val="24"/>
                <w:color w:val="auto"/>
              </w:rPr>
            </w:pPr>
          </w:p>
        </w:tc>
        <w:tc>
          <w:tcPr>
            <w:tcW w:w="120" w:type="dxa"/>
            <w:vAlign w:val="bottom"/>
            <w:shd w:val="clear" w:color="auto" w:fill="D91E18"/>
          </w:tcPr>
          <w:p>
            <w:pPr>
              <w:spacing w:after="0"/>
              <w:rPr>
                <w:sz w:val="24"/>
                <w:szCs w:val="24"/>
                <w:color w:val="auto"/>
              </w:rPr>
            </w:pPr>
          </w:p>
        </w:tc>
        <w:tc>
          <w:tcPr>
            <w:tcW w:w="1340" w:type="dxa"/>
            <w:vAlign w:val="bottom"/>
            <w:tcBorders>
              <w:right w:val="single" w:sz="8" w:color="E5E5E5"/>
            </w:tcBorders>
            <w:vMerge w:val="restart"/>
            <w:shd w:val="clear" w:color="auto" w:fill="D91E18"/>
          </w:tcPr>
          <w:p>
            <w:pPr>
              <w:jc w:val="center"/>
              <w:ind w:right="83"/>
              <w:spacing w:after="0"/>
              <w:rPr>
                <w:sz w:val="20"/>
                <w:szCs w:val="20"/>
                <w:color w:val="auto"/>
              </w:rPr>
            </w:pPr>
            <w:r>
              <w:rPr>
                <w:rFonts w:ascii="Arial" w:cs="Arial" w:eastAsia="Arial" w:hAnsi="Arial"/>
                <w:sz w:val="16"/>
                <w:szCs w:val="16"/>
                <w:b w:val="1"/>
                <w:bCs w:val="1"/>
                <w:color w:val="FFFFFF"/>
              </w:rPr>
              <w:t>Summary</w:t>
            </w:r>
          </w:p>
        </w:tc>
        <w:tc>
          <w:tcPr>
            <w:tcW w:w="120" w:type="dxa"/>
            <w:vAlign w:val="bottom"/>
            <w:shd w:val="clear" w:color="auto" w:fill="D91E18"/>
          </w:tcPr>
          <w:p>
            <w:pPr>
              <w:spacing w:after="0"/>
              <w:rPr>
                <w:sz w:val="24"/>
                <w:szCs w:val="24"/>
                <w:color w:val="auto"/>
              </w:rPr>
            </w:pPr>
          </w:p>
        </w:tc>
        <w:tc>
          <w:tcPr>
            <w:tcW w:w="1320" w:type="dxa"/>
            <w:vAlign w:val="bottom"/>
            <w:tcBorders>
              <w:right w:val="single" w:sz="8" w:color="E5E5E5"/>
            </w:tcBorders>
            <w:shd w:val="clear" w:color="auto" w:fill="D91E18"/>
          </w:tcPr>
          <w:p>
            <w:pPr>
              <w:spacing w:after="0"/>
              <w:rPr>
                <w:sz w:val="24"/>
                <w:szCs w:val="24"/>
                <w:color w:val="auto"/>
              </w:rPr>
            </w:pPr>
          </w:p>
        </w:tc>
        <w:tc>
          <w:tcPr>
            <w:tcW w:w="100" w:type="dxa"/>
            <w:vAlign w:val="bottom"/>
            <w:shd w:val="clear" w:color="auto" w:fill="D91E18"/>
          </w:tcPr>
          <w:p>
            <w:pPr>
              <w:spacing w:after="0"/>
              <w:rPr>
                <w:sz w:val="24"/>
                <w:szCs w:val="24"/>
                <w:color w:val="auto"/>
              </w:rPr>
            </w:pPr>
          </w:p>
        </w:tc>
        <w:tc>
          <w:tcPr>
            <w:tcW w:w="1540" w:type="dxa"/>
            <w:vAlign w:val="bottom"/>
            <w:tcBorders>
              <w:right w:val="single" w:sz="8" w:color="E5E5E5"/>
            </w:tcBorders>
            <w:vMerge w:val="restart"/>
            <w:shd w:val="clear" w:color="auto" w:fill="D91E18"/>
          </w:tcPr>
          <w:p>
            <w:pPr>
              <w:jc w:val="center"/>
              <w:ind w:right="59"/>
              <w:spacing w:after="0"/>
              <w:rPr>
                <w:sz w:val="20"/>
                <w:szCs w:val="20"/>
                <w:color w:val="auto"/>
              </w:rPr>
            </w:pPr>
            <w:r>
              <w:rPr>
                <w:rFonts w:ascii="Arial" w:cs="Arial" w:eastAsia="Arial" w:hAnsi="Arial"/>
                <w:sz w:val="16"/>
                <w:szCs w:val="16"/>
                <w:b w:val="1"/>
                <w:bCs w:val="1"/>
                <w:color w:val="FFFFFF"/>
                <w:w w:val="99"/>
              </w:rPr>
              <w:t>Average Summary</w:t>
            </w:r>
          </w:p>
        </w:tc>
        <w:tc>
          <w:tcPr>
            <w:tcW w:w="100" w:type="dxa"/>
            <w:vAlign w:val="bottom"/>
            <w:shd w:val="clear" w:color="auto" w:fill="D91E18"/>
          </w:tcPr>
          <w:p>
            <w:pPr>
              <w:spacing w:after="0"/>
              <w:rPr>
                <w:sz w:val="24"/>
                <w:szCs w:val="24"/>
                <w:color w:val="auto"/>
              </w:rPr>
            </w:pPr>
          </w:p>
        </w:tc>
        <w:tc>
          <w:tcPr>
            <w:tcW w:w="1340" w:type="dxa"/>
            <w:vAlign w:val="bottom"/>
            <w:tcBorders>
              <w:right w:val="single" w:sz="8" w:color="E5E5E5"/>
            </w:tcBorders>
            <w:vMerge w:val="restart"/>
            <w:shd w:val="clear" w:color="auto" w:fill="D91E18"/>
          </w:tcPr>
          <w:p>
            <w:pPr>
              <w:jc w:val="center"/>
              <w:ind w:right="59"/>
              <w:spacing w:after="0"/>
              <w:rPr>
                <w:sz w:val="20"/>
                <w:szCs w:val="20"/>
                <w:color w:val="auto"/>
              </w:rPr>
            </w:pPr>
            <w:r>
              <w:rPr>
                <w:rFonts w:ascii="Arial" w:cs="Arial" w:eastAsia="Arial" w:hAnsi="Arial"/>
                <w:sz w:val="16"/>
                <w:szCs w:val="16"/>
                <w:b w:val="1"/>
                <w:bCs w:val="1"/>
                <w:color w:val="FFFFFF"/>
              </w:rPr>
              <w:t>Average</w:t>
            </w:r>
          </w:p>
        </w:tc>
        <w:tc>
          <w:tcPr>
            <w:tcW w:w="120" w:type="dxa"/>
            <w:vAlign w:val="bottom"/>
            <w:shd w:val="clear" w:color="auto" w:fill="D91E18"/>
          </w:tcPr>
          <w:p>
            <w:pPr>
              <w:spacing w:after="0"/>
              <w:rPr>
                <w:sz w:val="24"/>
                <w:szCs w:val="24"/>
                <w:color w:val="auto"/>
              </w:rPr>
            </w:pPr>
          </w:p>
        </w:tc>
        <w:tc>
          <w:tcPr>
            <w:tcW w:w="2220" w:type="dxa"/>
            <w:vAlign w:val="bottom"/>
            <w:tcBorders>
              <w:right w:val="single" w:sz="8" w:color="E5E5E5"/>
            </w:tcBorders>
            <w:gridSpan w:val="3"/>
            <w:shd w:val="clear" w:color="auto" w:fill="D91E18"/>
          </w:tcPr>
          <w:p>
            <w:pPr>
              <w:jc w:val="right"/>
              <w:ind w:right="124"/>
              <w:spacing w:after="0"/>
              <w:rPr>
                <w:sz w:val="20"/>
                <w:szCs w:val="20"/>
                <w:color w:val="auto"/>
              </w:rPr>
            </w:pPr>
            <w:r>
              <w:rPr>
                <w:rFonts w:ascii="Arial" w:cs="Arial" w:eastAsia="Arial" w:hAnsi="Arial"/>
                <w:sz w:val="16"/>
                <w:szCs w:val="16"/>
                <w:b w:val="1"/>
                <w:bCs w:val="1"/>
                <w:color w:val="FFFFFF"/>
              </w:rPr>
              <w:t>Value of Initial Fixed $100</w:t>
            </w:r>
          </w:p>
        </w:tc>
        <w:tc>
          <w:tcPr>
            <w:tcW w:w="120" w:type="dxa"/>
            <w:vAlign w:val="bottom"/>
            <w:shd w:val="clear" w:color="auto" w:fill="D91E18"/>
          </w:tcPr>
          <w:p>
            <w:pPr>
              <w:spacing w:after="0"/>
              <w:rPr>
                <w:sz w:val="24"/>
                <w:szCs w:val="24"/>
                <w:color w:val="auto"/>
              </w:rPr>
            </w:pPr>
          </w:p>
        </w:tc>
        <w:tc>
          <w:tcPr>
            <w:tcW w:w="980" w:type="dxa"/>
            <w:vAlign w:val="bottom"/>
            <w:tcBorders>
              <w:right w:val="single" w:sz="8" w:color="E5E5E5"/>
            </w:tcBorders>
            <w:shd w:val="clear" w:color="auto" w:fill="D91E18"/>
          </w:tcPr>
          <w:p>
            <w:pPr>
              <w:spacing w:after="0"/>
              <w:rPr>
                <w:sz w:val="24"/>
                <w:szCs w:val="24"/>
                <w:color w:val="auto"/>
              </w:rPr>
            </w:pPr>
          </w:p>
        </w:tc>
        <w:tc>
          <w:tcPr>
            <w:tcW w:w="120" w:type="dxa"/>
            <w:vAlign w:val="bottom"/>
            <w:shd w:val="clear" w:color="auto" w:fill="D91E18"/>
          </w:tcPr>
          <w:p>
            <w:pPr>
              <w:spacing w:after="0"/>
              <w:rPr>
                <w:sz w:val="24"/>
                <w:szCs w:val="24"/>
                <w:color w:val="auto"/>
              </w:rPr>
            </w:pPr>
          </w:p>
        </w:tc>
        <w:tc>
          <w:tcPr>
            <w:tcW w:w="1080" w:type="dxa"/>
            <w:vAlign w:val="bottom"/>
            <w:tcBorders>
              <w:right w:val="single" w:sz="8" w:color="E5E5E5"/>
            </w:tcBorders>
            <w:shd w:val="clear" w:color="auto" w:fill="D91E18"/>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580" w:type="dxa"/>
            <w:vAlign w:val="bottom"/>
            <w:tcBorders>
              <w:left w:val="single" w:sz="8" w:color="E5E5E5"/>
              <w:right w:val="single" w:sz="8" w:color="E5E5E5"/>
            </w:tcBorders>
            <w:shd w:val="clear" w:color="auto" w:fill="D91E18"/>
          </w:tcPr>
          <w:p>
            <w:pPr>
              <w:spacing w:after="0"/>
              <w:rPr>
                <w:sz w:val="8"/>
                <w:szCs w:val="8"/>
                <w:color w:val="auto"/>
              </w:rPr>
            </w:pPr>
          </w:p>
        </w:tc>
        <w:tc>
          <w:tcPr>
            <w:tcW w:w="120" w:type="dxa"/>
            <w:vAlign w:val="bottom"/>
            <w:shd w:val="clear" w:color="auto" w:fill="D91E18"/>
          </w:tcPr>
          <w:p>
            <w:pPr>
              <w:spacing w:after="0"/>
              <w:rPr>
                <w:sz w:val="8"/>
                <w:szCs w:val="8"/>
                <w:color w:val="auto"/>
              </w:rPr>
            </w:pPr>
          </w:p>
        </w:tc>
        <w:tc>
          <w:tcPr>
            <w:tcW w:w="1340" w:type="dxa"/>
            <w:vAlign w:val="bottom"/>
            <w:tcBorders>
              <w:right w:val="single" w:sz="8" w:color="E5E5E5"/>
            </w:tcBorders>
            <w:vMerge w:val="continue"/>
            <w:shd w:val="clear" w:color="auto" w:fill="D91E18"/>
          </w:tcPr>
          <w:p>
            <w:pPr>
              <w:spacing w:after="0"/>
              <w:rPr>
                <w:sz w:val="8"/>
                <w:szCs w:val="8"/>
                <w:color w:val="auto"/>
              </w:rPr>
            </w:pPr>
          </w:p>
        </w:tc>
        <w:tc>
          <w:tcPr>
            <w:tcW w:w="120" w:type="dxa"/>
            <w:vAlign w:val="bottom"/>
            <w:shd w:val="clear" w:color="auto" w:fill="D91E18"/>
          </w:tcPr>
          <w:p>
            <w:pPr>
              <w:spacing w:after="0"/>
              <w:rPr>
                <w:sz w:val="8"/>
                <w:szCs w:val="8"/>
                <w:color w:val="auto"/>
              </w:rPr>
            </w:pPr>
          </w:p>
        </w:tc>
        <w:tc>
          <w:tcPr>
            <w:tcW w:w="1320" w:type="dxa"/>
            <w:vAlign w:val="bottom"/>
            <w:tcBorders>
              <w:right w:val="single" w:sz="8" w:color="E5E5E5"/>
            </w:tcBorders>
            <w:shd w:val="clear" w:color="auto" w:fill="D91E18"/>
          </w:tcPr>
          <w:p>
            <w:pPr>
              <w:spacing w:after="0"/>
              <w:rPr>
                <w:sz w:val="8"/>
                <w:szCs w:val="8"/>
                <w:color w:val="auto"/>
              </w:rPr>
            </w:pPr>
          </w:p>
        </w:tc>
        <w:tc>
          <w:tcPr>
            <w:tcW w:w="100" w:type="dxa"/>
            <w:vAlign w:val="bottom"/>
            <w:shd w:val="clear" w:color="auto" w:fill="D91E18"/>
          </w:tcPr>
          <w:p>
            <w:pPr>
              <w:spacing w:after="0"/>
              <w:rPr>
                <w:sz w:val="8"/>
                <w:szCs w:val="8"/>
                <w:color w:val="auto"/>
              </w:rPr>
            </w:pPr>
          </w:p>
        </w:tc>
        <w:tc>
          <w:tcPr>
            <w:tcW w:w="1540" w:type="dxa"/>
            <w:vAlign w:val="bottom"/>
            <w:tcBorders>
              <w:right w:val="single" w:sz="8" w:color="E5E5E5"/>
            </w:tcBorders>
            <w:vMerge w:val="continue"/>
            <w:shd w:val="clear" w:color="auto" w:fill="D91E18"/>
          </w:tcPr>
          <w:p>
            <w:pPr>
              <w:spacing w:after="0"/>
              <w:rPr>
                <w:sz w:val="8"/>
                <w:szCs w:val="8"/>
                <w:color w:val="auto"/>
              </w:rPr>
            </w:pPr>
          </w:p>
        </w:tc>
        <w:tc>
          <w:tcPr>
            <w:tcW w:w="100" w:type="dxa"/>
            <w:vAlign w:val="bottom"/>
            <w:shd w:val="clear" w:color="auto" w:fill="D91E18"/>
          </w:tcPr>
          <w:p>
            <w:pPr>
              <w:spacing w:after="0"/>
              <w:rPr>
                <w:sz w:val="8"/>
                <w:szCs w:val="8"/>
                <w:color w:val="auto"/>
              </w:rPr>
            </w:pPr>
          </w:p>
        </w:tc>
        <w:tc>
          <w:tcPr>
            <w:tcW w:w="1340" w:type="dxa"/>
            <w:vAlign w:val="bottom"/>
            <w:tcBorders>
              <w:right w:val="single" w:sz="8" w:color="E5E5E5"/>
            </w:tcBorders>
            <w:vMerge w:val="continue"/>
            <w:shd w:val="clear" w:color="auto" w:fill="D91E18"/>
          </w:tcPr>
          <w:p>
            <w:pPr>
              <w:spacing w:after="0"/>
              <w:rPr>
                <w:sz w:val="8"/>
                <w:szCs w:val="8"/>
                <w:color w:val="auto"/>
              </w:rPr>
            </w:pPr>
          </w:p>
        </w:tc>
        <w:tc>
          <w:tcPr>
            <w:tcW w:w="120" w:type="dxa"/>
            <w:vAlign w:val="bottom"/>
            <w:shd w:val="clear" w:color="auto" w:fill="D91E18"/>
          </w:tcPr>
          <w:p>
            <w:pPr>
              <w:spacing w:after="0"/>
              <w:rPr>
                <w:sz w:val="8"/>
                <w:szCs w:val="8"/>
                <w:color w:val="auto"/>
              </w:rPr>
            </w:pPr>
          </w:p>
        </w:tc>
        <w:tc>
          <w:tcPr>
            <w:tcW w:w="2220" w:type="dxa"/>
            <w:vAlign w:val="bottom"/>
            <w:tcBorders>
              <w:right w:val="single" w:sz="8" w:color="E5E5E5"/>
            </w:tcBorders>
            <w:gridSpan w:val="3"/>
            <w:vMerge w:val="restart"/>
            <w:shd w:val="clear" w:color="auto" w:fill="D91E18"/>
          </w:tcPr>
          <w:p>
            <w:pPr>
              <w:jc w:val="right"/>
              <w:ind w:right="264"/>
              <w:spacing w:after="0"/>
              <w:rPr>
                <w:sz w:val="20"/>
                <w:szCs w:val="20"/>
                <w:color w:val="auto"/>
              </w:rPr>
            </w:pPr>
            <w:r>
              <w:rPr>
                <w:rFonts w:ascii="Arial" w:cs="Arial" w:eastAsia="Arial" w:hAnsi="Arial"/>
                <w:sz w:val="16"/>
                <w:szCs w:val="16"/>
                <w:b w:val="1"/>
                <w:bCs w:val="1"/>
                <w:color w:val="FFFFFF"/>
              </w:rPr>
              <w:t>Investment Based on:</w:t>
            </w:r>
          </w:p>
        </w:tc>
        <w:tc>
          <w:tcPr>
            <w:tcW w:w="120" w:type="dxa"/>
            <w:vAlign w:val="bottom"/>
            <w:shd w:val="clear" w:color="auto" w:fill="D91E18"/>
          </w:tcPr>
          <w:p>
            <w:pPr>
              <w:spacing w:after="0"/>
              <w:rPr>
                <w:sz w:val="8"/>
                <w:szCs w:val="8"/>
                <w:color w:val="auto"/>
              </w:rPr>
            </w:pPr>
          </w:p>
        </w:tc>
        <w:tc>
          <w:tcPr>
            <w:tcW w:w="980" w:type="dxa"/>
            <w:vAlign w:val="bottom"/>
            <w:tcBorders>
              <w:right w:val="single" w:sz="8" w:color="E5E5E5"/>
            </w:tcBorders>
            <w:shd w:val="clear" w:color="auto" w:fill="D91E18"/>
          </w:tcPr>
          <w:p>
            <w:pPr>
              <w:spacing w:after="0"/>
              <w:rPr>
                <w:sz w:val="8"/>
                <w:szCs w:val="8"/>
                <w:color w:val="auto"/>
              </w:rPr>
            </w:pPr>
          </w:p>
        </w:tc>
        <w:tc>
          <w:tcPr>
            <w:tcW w:w="120" w:type="dxa"/>
            <w:vAlign w:val="bottom"/>
            <w:shd w:val="clear" w:color="auto" w:fill="D91E18"/>
          </w:tcPr>
          <w:p>
            <w:pPr>
              <w:spacing w:after="0"/>
              <w:rPr>
                <w:sz w:val="8"/>
                <w:szCs w:val="8"/>
                <w:color w:val="auto"/>
              </w:rPr>
            </w:pPr>
          </w:p>
        </w:tc>
        <w:tc>
          <w:tcPr>
            <w:tcW w:w="1080" w:type="dxa"/>
            <w:vAlign w:val="bottom"/>
            <w:tcBorders>
              <w:right w:val="single" w:sz="8" w:color="E5E5E5"/>
            </w:tcBorders>
            <w:shd w:val="clear" w:color="auto" w:fill="D91E18"/>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580" w:type="dxa"/>
            <w:vAlign w:val="bottom"/>
            <w:tcBorders>
              <w:left w:val="single" w:sz="8" w:color="E5E5E5"/>
              <w:bottom w:val="single" w:sz="8" w:color="D91E18"/>
              <w:right w:val="single" w:sz="8" w:color="E5E5E5"/>
            </w:tcBorders>
            <w:shd w:val="clear" w:color="auto" w:fill="D91E18"/>
          </w:tcPr>
          <w:p>
            <w:pPr>
              <w:spacing w:after="0"/>
              <w:rPr>
                <w:sz w:val="12"/>
                <w:szCs w:val="12"/>
                <w:color w:val="auto"/>
              </w:rPr>
            </w:pPr>
          </w:p>
        </w:tc>
        <w:tc>
          <w:tcPr>
            <w:tcW w:w="120" w:type="dxa"/>
            <w:vAlign w:val="bottom"/>
            <w:tcBorders>
              <w:bottom w:val="single" w:sz="8" w:color="D91E18"/>
            </w:tcBorders>
            <w:shd w:val="clear" w:color="auto" w:fill="D91E18"/>
          </w:tcPr>
          <w:p>
            <w:pPr>
              <w:spacing w:after="0"/>
              <w:rPr>
                <w:sz w:val="12"/>
                <w:szCs w:val="12"/>
                <w:color w:val="auto"/>
              </w:rPr>
            </w:pPr>
          </w:p>
        </w:tc>
        <w:tc>
          <w:tcPr>
            <w:tcW w:w="1340" w:type="dxa"/>
            <w:vAlign w:val="bottom"/>
            <w:tcBorders>
              <w:bottom w:val="single" w:sz="8" w:color="D91E18"/>
              <w:right w:val="single" w:sz="8" w:color="E5E5E5"/>
            </w:tcBorders>
            <w:shd w:val="clear" w:color="auto" w:fill="D91E18"/>
          </w:tcPr>
          <w:p>
            <w:pPr>
              <w:jc w:val="center"/>
              <w:ind w:right="63"/>
              <w:spacing w:after="0" w:line="142" w:lineRule="exact"/>
              <w:rPr>
                <w:sz w:val="20"/>
                <w:szCs w:val="20"/>
                <w:color w:val="auto"/>
              </w:rPr>
            </w:pPr>
            <w:r>
              <w:rPr>
                <w:rFonts w:ascii="Arial" w:cs="Arial" w:eastAsia="Arial" w:hAnsi="Arial"/>
                <w:sz w:val="16"/>
                <w:szCs w:val="16"/>
                <w:b w:val="1"/>
                <w:bCs w:val="1"/>
                <w:color w:val="FFFFFF"/>
              </w:rPr>
              <w:t>Compensation</w:t>
            </w:r>
          </w:p>
        </w:tc>
        <w:tc>
          <w:tcPr>
            <w:tcW w:w="120" w:type="dxa"/>
            <w:vAlign w:val="bottom"/>
            <w:tcBorders>
              <w:bottom w:val="single" w:sz="8" w:color="D91E18"/>
            </w:tcBorders>
            <w:shd w:val="clear" w:color="auto" w:fill="D91E18"/>
          </w:tcPr>
          <w:p>
            <w:pPr>
              <w:spacing w:after="0"/>
              <w:rPr>
                <w:sz w:val="12"/>
                <w:szCs w:val="12"/>
                <w:color w:val="auto"/>
              </w:rPr>
            </w:pPr>
          </w:p>
        </w:tc>
        <w:tc>
          <w:tcPr>
            <w:tcW w:w="1320" w:type="dxa"/>
            <w:vAlign w:val="bottom"/>
            <w:tcBorders>
              <w:bottom w:val="single" w:sz="8" w:color="D91E18"/>
              <w:right w:val="single" w:sz="8" w:color="E5E5E5"/>
            </w:tcBorders>
            <w:shd w:val="clear" w:color="auto" w:fill="D91E18"/>
          </w:tcPr>
          <w:p>
            <w:pPr>
              <w:jc w:val="center"/>
              <w:ind w:right="84"/>
              <w:spacing w:after="0" w:line="142" w:lineRule="exact"/>
              <w:rPr>
                <w:sz w:val="20"/>
                <w:szCs w:val="20"/>
                <w:color w:val="auto"/>
              </w:rPr>
            </w:pPr>
            <w:r>
              <w:rPr>
                <w:rFonts w:ascii="Arial" w:cs="Arial" w:eastAsia="Arial" w:hAnsi="Arial"/>
                <w:sz w:val="16"/>
                <w:szCs w:val="16"/>
                <w:b w:val="1"/>
                <w:bCs w:val="1"/>
                <w:color w:val="FFFFFF"/>
              </w:rPr>
              <w:t>Compensation</w:t>
            </w:r>
          </w:p>
        </w:tc>
        <w:tc>
          <w:tcPr>
            <w:tcW w:w="1640" w:type="dxa"/>
            <w:vAlign w:val="bottom"/>
            <w:tcBorders>
              <w:bottom w:val="single" w:sz="8" w:color="D91E18"/>
              <w:right w:val="single" w:sz="8" w:color="E5E5E5"/>
            </w:tcBorders>
            <w:gridSpan w:val="2"/>
            <w:shd w:val="clear" w:color="auto" w:fill="D91E18"/>
          </w:tcPr>
          <w:p>
            <w:pPr>
              <w:ind w:left="20"/>
              <w:spacing w:after="0" w:line="142" w:lineRule="exact"/>
              <w:rPr>
                <w:sz w:val="20"/>
                <w:szCs w:val="20"/>
                <w:color w:val="auto"/>
              </w:rPr>
            </w:pPr>
            <w:r>
              <w:rPr>
                <w:rFonts w:ascii="Arial" w:cs="Arial" w:eastAsia="Arial" w:hAnsi="Arial"/>
                <w:sz w:val="16"/>
                <w:szCs w:val="16"/>
                <w:b w:val="1"/>
                <w:bCs w:val="1"/>
                <w:color w:val="FFFFFF"/>
              </w:rPr>
              <w:t>Compensation Table</w:t>
            </w:r>
          </w:p>
        </w:tc>
        <w:tc>
          <w:tcPr>
            <w:tcW w:w="100" w:type="dxa"/>
            <w:vAlign w:val="bottom"/>
            <w:tcBorders>
              <w:bottom w:val="single" w:sz="8" w:color="D91E18"/>
            </w:tcBorders>
            <w:shd w:val="clear" w:color="auto" w:fill="D91E18"/>
          </w:tcPr>
          <w:p>
            <w:pPr>
              <w:spacing w:after="0"/>
              <w:rPr>
                <w:sz w:val="12"/>
                <w:szCs w:val="12"/>
                <w:color w:val="auto"/>
              </w:rPr>
            </w:pPr>
          </w:p>
        </w:tc>
        <w:tc>
          <w:tcPr>
            <w:tcW w:w="1340" w:type="dxa"/>
            <w:vAlign w:val="bottom"/>
            <w:tcBorders>
              <w:bottom w:val="single" w:sz="8" w:color="D91E18"/>
              <w:right w:val="single" w:sz="8" w:color="E5E5E5"/>
            </w:tcBorders>
            <w:shd w:val="clear" w:color="auto" w:fill="D91E18"/>
          </w:tcPr>
          <w:p>
            <w:pPr>
              <w:jc w:val="center"/>
              <w:ind w:right="59"/>
              <w:spacing w:after="0" w:line="142" w:lineRule="exact"/>
              <w:rPr>
                <w:sz w:val="20"/>
                <w:szCs w:val="20"/>
                <w:color w:val="auto"/>
              </w:rPr>
            </w:pPr>
            <w:r>
              <w:rPr>
                <w:rFonts w:ascii="Arial" w:cs="Arial" w:eastAsia="Arial" w:hAnsi="Arial"/>
                <w:sz w:val="16"/>
                <w:szCs w:val="16"/>
                <w:b w:val="1"/>
                <w:bCs w:val="1"/>
                <w:color w:val="FFFFFF"/>
              </w:rPr>
              <w:t>Compensation</w:t>
            </w:r>
          </w:p>
        </w:tc>
        <w:tc>
          <w:tcPr>
            <w:tcW w:w="120" w:type="dxa"/>
            <w:vAlign w:val="bottom"/>
            <w:tcBorders>
              <w:bottom w:val="single" w:sz="8" w:color="E5E5E5"/>
            </w:tcBorders>
            <w:shd w:val="clear" w:color="auto" w:fill="D91E18"/>
          </w:tcPr>
          <w:p>
            <w:pPr>
              <w:spacing w:after="0"/>
              <w:rPr>
                <w:sz w:val="12"/>
                <w:szCs w:val="12"/>
                <w:color w:val="auto"/>
              </w:rPr>
            </w:pPr>
          </w:p>
        </w:tc>
        <w:tc>
          <w:tcPr>
            <w:tcW w:w="2220" w:type="dxa"/>
            <w:vAlign w:val="bottom"/>
            <w:tcBorders>
              <w:bottom w:val="single" w:sz="8" w:color="E5E5E5"/>
              <w:right w:val="single" w:sz="8" w:color="E5E5E5"/>
            </w:tcBorders>
            <w:gridSpan w:val="3"/>
            <w:vMerge w:val="continue"/>
            <w:shd w:val="clear" w:color="auto" w:fill="D91E18"/>
          </w:tcPr>
          <w:p>
            <w:pPr>
              <w:spacing w:after="0"/>
              <w:rPr>
                <w:sz w:val="12"/>
                <w:szCs w:val="12"/>
                <w:color w:val="auto"/>
              </w:rPr>
            </w:pPr>
          </w:p>
        </w:tc>
        <w:tc>
          <w:tcPr>
            <w:tcW w:w="120" w:type="dxa"/>
            <w:vAlign w:val="bottom"/>
            <w:tcBorders>
              <w:bottom w:val="single" w:sz="8" w:color="D91E18"/>
            </w:tcBorders>
            <w:shd w:val="clear" w:color="auto" w:fill="D91E18"/>
          </w:tcPr>
          <w:p>
            <w:pPr>
              <w:spacing w:after="0"/>
              <w:rPr>
                <w:sz w:val="12"/>
                <w:szCs w:val="12"/>
                <w:color w:val="auto"/>
              </w:rPr>
            </w:pPr>
          </w:p>
        </w:tc>
        <w:tc>
          <w:tcPr>
            <w:tcW w:w="980" w:type="dxa"/>
            <w:vAlign w:val="bottom"/>
            <w:tcBorders>
              <w:bottom w:val="single" w:sz="8" w:color="D91E18"/>
              <w:right w:val="single" w:sz="8" w:color="E5E5E5"/>
            </w:tcBorders>
            <w:shd w:val="clear" w:color="auto" w:fill="D91E18"/>
          </w:tcPr>
          <w:p>
            <w:pPr>
              <w:jc w:val="center"/>
              <w:ind w:right="79"/>
              <w:spacing w:after="0" w:line="142" w:lineRule="exact"/>
              <w:rPr>
                <w:sz w:val="20"/>
                <w:szCs w:val="20"/>
                <w:color w:val="auto"/>
              </w:rPr>
            </w:pPr>
            <w:r>
              <w:rPr>
                <w:rFonts w:ascii="Arial" w:cs="Arial" w:eastAsia="Arial" w:hAnsi="Arial"/>
                <w:sz w:val="16"/>
                <w:szCs w:val="16"/>
                <w:b w:val="1"/>
                <w:bCs w:val="1"/>
                <w:color w:val="FFFFFF"/>
              </w:rPr>
              <w:t>GAAP Net</w:t>
            </w:r>
          </w:p>
        </w:tc>
        <w:tc>
          <w:tcPr>
            <w:tcW w:w="120" w:type="dxa"/>
            <w:vAlign w:val="bottom"/>
            <w:tcBorders>
              <w:bottom w:val="single" w:sz="8" w:color="D91E18"/>
            </w:tcBorders>
            <w:shd w:val="clear" w:color="auto" w:fill="D91E18"/>
          </w:tcPr>
          <w:p>
            <w:pPr>
              <w:spacing w:after="0"/>
              <w:rPr>
                <w:sz w:val="12"/>
                <w:szCs w:val="12"/>
                <w:color w:val="auto"/>
              </w:rPr>
            </w:pPr>
          </w:p>
        </w:tc>
        <w:tc>
          <w:tcPr>
            <w:tcW w:w="1080" w:type="dxa"/>
            <w:vAlign w:val="bottom"/>
            <w:tcBorders>
              <w:bottom w:val="single" w:sz="8" w:color="D91E18"/>
              <w:right w:val="single" w:sz="8" w:color="E5E5E5"/>
            </w:tcBorders>
            <w:shd w:val="clear" w:color="auto" w:fill="D91E18"/>
          </w:tcPr>
          <w:p>
            <w:pPr>
              <w:jc w:val="center"/>
              <w:ind w:right="79"/>
              <w:spacing w:after="0" w:line="142" w:lineRule="exact"/>
              <w:rPr>
                <w:sz w:val="20"/>
                <w:szCs w:val="20"/>
                <w:color w:val="auto"/>
              </w:rPr>
            </w:pPr>
            <w:r>
              <w:rPr>
                <w:rFonts w:ascii="Arial" w:cs="Arial" w:eastAsia="Arial" w:hAnsi="Arial"/>
                <w:sz w:val="16"/>
                <w:szCs w:val="16"/>
                <w:b w:val="1"/>
                <w:bCs w:val="1"/>
                <w:color w:val="FFFFFF"/>
                <w:w w:val="99"/>
              </w:rPr>
              <w:t>Adjusted</w:t>
            </w:r>
          </w:p>
        </w:tc>
        <w:tc>
          <w:tcPr>
            <w:tcW w:w="0" w:type="dxa"/>
            <w:vAlign w:val="bottom"/>
          </w:tcPr>
          <w:p>
            <w:pPr>
              <w:spacing w:after="0"/>
              <w:rPr>
                <w:sz w:val="1"/>
                <w:szCs w:val="1"/>
                <w:color w:val="auto"/>
              </w:rPr>
            </w:pPr>
          </w:p>
        </w:tc>
      </w:tr>
      <w:tr>
        <w:trPr>
          <w:trHeight w:val="162"/>
        </w:trPr>
        <w:tc>
          <w:tcPr>
            <w:tcW w:w="580" w:type="dxa"/>
            <w:vAlign w:val="bottom"/>
            <w:tcBorders>
              <w:top w:val="single" w:sz="8" w:color="D91E18"/>
              <w:left w:val="single" w:sz="8" w:color="E5E5E5"/>
              <w:right w:val="single" w:sz="8" w:color="E5E5E5"/>
            </w:tcBorders>
            <w:vMerge w:val="restart"/>
            <w:shd w:val="clear" w:color="auto" w:fill="D91E18"/>
          </w:tcPr>
          <w:p>
            <w:pPr>
              <w:jc w:val="right"/>
              <w:ind w:right="39"/>
              <w:spacing w:after="0"/>
              <w:rPr>
                <w:sz w:val="20"/>
                <w:szCs w:val="20"/>
                <w:color w:val="auto"/>
              </w:rPr>
            </w:pPr>
            <w:r>
              <w:rPr>
                <w:rFonts w:ascii="Arial" w:cs="Arial" w:eastAsia="Arial" w:hAnsi="Arial"/>
                <w:sz w:val="16"/>
                <w:szCs w:val="16"/>
                <w:b w:val="1"/>
                <w:bCs w:val="1"/>
                <w:color w:val="FFFFFF"/>
              </w:rPr>
              <w:t>Year</w:t>
            </w:r>
          </w:p>
        </w:tc>
        <w:tc>
          <w:tcPr>
            <w:tcW w:w="120" w:type="dxa"/>
            <w:vAlign w:val="bottom"/>
            <w:tcBorders>
              <w:top w:val="single" w:sz="8" w:color="D91E18"/>
            </w:tcBorders>
            <w:shd w:val="clear" w:color="auto" w:fill="D91E18"/>
          </w:tcPr>
          <w:p>
            <w:pPr>
              <w:spacing w:after="0"/>
              <w:rPr>
                <w:sz w:val="14"/>
                <w:szCs w:val="14"/>
                <w:color w:val="auto"/>
              </w:rPr>
            </w:pPr>
          </w:p>
        </w:tc>
        <w:tc>
          <w:tcPr>
            <w:tcW w:w="1340" w:type="dxa"/>
            <w:vAlign w:val="bottom"/>
            <w:tcBorders>
              <w:top w:val="single" w:sz="8" w:color="D91E18"/>
              <w:right w:val="single" w:sz="8" w:color="E5E5E5"/>
            </w:tcBorders>
            <w:shd w:val="clear" w:color="auto" w:fill="D91E18"/>
          </w:tcPr>
          <w:p>
            <w:pPr>
              <w:jc w:val="center"/>
              <w:ind w:right="63"/>
              <w:spacing w:after="0" w:line="162" w:lineRule="exact"/>
              <w:rPr>
                <w:sz w:val="20"/>
                <w:szCs w:val="20"/>
                <w:color w:val="auto"/>
              </w:rPr>
            </w:pPr>
            <w:r>
              <w:rPr>
                <w:rFonts w:ascii="Arial" w:cs="Arial" w:eastAsia="Arial" w:hAnsi="Arial"/>
                <w:sz w:val="16"/>
                <w:szCs w:val="16"/>
                <w:b w:val="1"/>
                <w:bCs w:val="1"/>
                <w:color w:val="FFFFFF"/>
                <w:w w:val="97"/>
              </w:rPr>
              <w:t>Table Total for</w:t>
            </w:r>
          </w:p>
        </w:tc>
        <w:tc>
          <w:tcPr>
            <w:tcW w:w="1440" w:type="dxa"/>
            <w:vAlign w:val="bottom"/>
            <w:tcBorders>
              <w:top w:val="single" w:sz="8" w:color="D91E18"/>
              <w:right w:val="single" w:sz="8" w:color="E5E5E5"/>
            </w:tcBorders>
            <w:gridSpan w:val="2"/>
            <w:shd w:val="clear" w:color="auto" w:fill="D91E18"/>
          </w:tcPr>
          <w:p>
            <w:pPr>
              <w:jc w:val="center"/>
              <w:spacing w:after="0" w:line="162" w:lineRule="exact"/>
              <w:rPr>
                <w:sz w:val="20"/>
                <w:szCs w:val="20"/>
                <w:color w:val="auto"/>
              </w:rPr>
            </w:pPr>
            <w:r>
              <w:rPr>
                <w:rFonts w:ascii="Arial" w:cs="Arial" w:eastAsia="Arial" w:hAnsi="Arial"/>
                <w:sz w:val="16"/>
                <w:szCs w:val="16"/>
                <w:b w:val="1"/>
                <w:bCs w:val="1"/>
                <w:color w:val="FFFFFF"/>
                <w:w w:val="99"/>
              </w:rPr>
              <w:t>Actually Paid to</w:t>
            </w:r>
          </w:p>
        </w:tc>
        <w:tc>
          <w:tcPr>
            <w:tcW w:w="100" w:type="dxa"/>
            <w:vAlign w:val="bottom"/>
            <w:tcBorders>
              <w:top w:val="single" w:sz="8" w:color="D91E18"/>
            </w:tcBorders>
            <w:shd w:val="clear" w:color="auto" w:fill="D91E18"/>
          </w:tcPr>
          <w:p>
            <w:pPr>
              <w:spacing w:after="0"/>
              <w:rPr>
                <w:sz w:val="14"/>
                <w:szCs w:val="14"/>
                <w:color w:val="auto"/>
              </w:rPr>
            </w:pPr>
          </w:p>
        </w:tc>
        <w:tc>
          <w:tcPr>
            <w:tcW w:w="1540" w:type="dxa"/>
            <w:vAlign w:val="bottom"/>
            <w:tcBorders>
              <w:top w:val="single" w:sz="8" w:color="D91E18"/>
              <w:right w:val="single" w:sz="8" w:color="E5E5E5"/>
            </w:tcBorders>
            <w:shd w:val="clear" w:color="auto" w:fill="D91E18"/>
          </w:tcPr>
          <w:p>
            <w:pPr>
              <w:jc w:val="center"/>
              <w:ind w:right="59"/>
              <w:spacing w:after="0" w:line="162" w:lineRule="exact"/>
              <w:rPr>
                <w:sz w:val="20"/>
                <w:szCs w:val="20"/>
                <w:color w:val="auto"/>
              </w:rPr>
            </w:pPr>
            <w:r>
              <w:rPr>
                <w:rFonts w:ascii="Arial" w:cs="Arial" w:eastAsia="Arial" w:hAnsi="Arial"/>
                <w:sz w:val="16"/>
                <w:szCs w:val="16"/>
                <w:b w:val="1"/>
                <w:bCs w:val="1"/>
                <w:color w:val="FFFFFF"/>
              </w:rPr>
              <w:t>Total for Non-PEO</w:t>
            </w:r>
          </w:p>
        </w:tc>
        <w:tc>
          <w:tcPr>
            <w:tcW w:w="100" w:type="dxa"/>
            <w:vAlign w:val="bottom"/>
            <w:tcBorders>
              <w:top w:val="single" w:sz="8" w:color="D91E18"/>
            </w:tcBorders>
            <w:shd w:val="clear" w:color="auto" w:fill="D91E18"/>
          </w:tcPr>
          <w:p>
            <w:pPr>
              <w:spacing w:after="0"/>
              <w:rPr>
                <w:sz w:val="14"/>
                <w:szCs w:val="14"/>
                <w:color w:val="auto"/>
              </w:rPr>
            </w:pPr>
          </w:p>
        </w:tc>
        <w:tc>
          <w:tcPr>
            <w:tcW w:w="1340" w:type="dxa"/>
            <w:vAlign w:val="bottom"/>
            <w:tcBorders>
              <w:top w:val="single" w:sz="8" w:color="D91E18"/>
              <w:right w:val="single" w:sz="8" w:color="E5E5E5"/>
            </w:tcBorders>
            <w:shd w:val="clear" w:color="auto" w:fill="D91E18"/>
          </w:tcPr>
          <w:p>
            <w:pPr>
              <w:jc w:val="center"/>
              <w:ind w:right="39"/>
              <w:spacing w:after="0" w:line="162" w:lineRule="exact"/>
              <w:rPr>
                <w:sz w:val="20"/>
                <w:szCs w:val="20"/>
                <w:color w:val="auto"/>
              </w:rPr>
            </w:pPr>
            <w:r>
              <w:rPr>
                <w:rFonts w:ascii="Arial" w:cs="Arial" w:eastAsia="Arial" w:hAnsi="Arial"/>
                <w:sz w:val="16"/>
                <w:szCs w:val="16"/>
                <w:b w:val="1"/>
                <w:bCs w:val="1"/>
                <w:color w:val="FFFFFF"/>
              </w:rPr>
              <w:t>Actually Paid to</w:t>
            </w:r>
          </w:p>
        </w:tc>
        <w:tc>
          <w:tcPr>
            <w:tcW w:w="120" w:type="dxa"/>
            <w:vAlign w:val="bottom"/>
            <w:tcBorders>
              <w:top w:val="single" w:sz="8" w:color="D91E18"/>
            </w:tcBorders>
            <w:shd w:val="clear" w:color="auto" w:fill="D91E18"/>
          </w:tcPr>
          <w:p>
            <w:pPr>
              <w:spacing w:after="0"/>
              <w:rPr>
                <w:sz w:val="14"/>
                <w:szCs w:val="14"/>
                <w:color w:val="auto"/>
              </w:rPr>
            </w:pPr>
          </w:p>
        </w:tc>
        <w:tc>
          <w:tcPr>
            <w:tcW w:w="900" w:type="dxa"/>
            <w:vAlign w:val="bottom"/>
            <w:tcBorders>
              <w:top w:val="single" w:sz="8" w:color="D91E18"/>
              <w:right w:val="single" w:sz="8" w:color="E5E5E5"/>
            </w:tcBorders>
            <w:shd w:val="clear" w:color="auto" w:fill="D91E18"/>
          </w:tcPr>
          <w:p>
            <w:pPr>
              <w:jc w:val="right"/>
              <w:ind w:right="83"/>
              <w:spacing w:after="0" w:line="162" w:lineRule="exact"/>
              <w:rPr>
                <w:sz w:val="20"/>
                <w:szCs w:val="20"/>
                <w:color w:val="auto"/>
              </w:rPr>
            </w:pPr>
            <w:r>
              <w:rPr>
                <w:rFonts w:ascii="Arial" w:cs="Arial" w:eastAsia="Arial" w:hAnsi="Arial"/>
                <w:sz w:val="16"/>
                <w:szCs w:val="16"/>
                <w:b w:val="1"/>
                <w:bCs w:val="1"/>
                <w:color w:val="FFFFFF"/>
                <w:w w:val="98"/>
              </w:rPr>
              <w:t>Company</w:t>
            </w:r>
          </w:p>
        </w:tc>
        <w:tc>
          <w:tcPr>
            <w:tcW w:w="140" w:type="dxa"/>
            <w:vAlign w:val="bottom"/>
            <w:tcBorders>
              <w:top w:val="single" w:sz="8" w:color="D91E18"/>
            </w:tcBorders>
            <w:shd w:val="clear" w:color="auto" w:fill="D91E18"/>
          </w:tcPr>
          <w:p>
            <w:pPr>
              <w:spacing w:after="0"/>
              <w:rPr>
                <w:sz w:val="14"/>
                <w:szCs w:val="14"/>
                <w:color w:val="auto"/>
              </w:rPr>
            </w:pPr>
          </w:p>
        </w:tc>
        <w:tc>
          <w:tcPr>
            <w:tcW w:w="1180" w:type="dxa"/>
            <w:vAlign w:val="bottom"/>
            <w:tcBorders>
              <w:top w:val="single" w:sz="8" w:color="D91E18"/>
              <w:right w:val="single" w:sz="8" w:color="E5E5E5"/>
            </w:tcBorders>
            <w:shd w:val="clear" w:color="auto" w:fill="D91E18"/>
          </w:tcPr>
          <w:p>
            <w:pPr>
              <w:jc w:val="right"/>
              <w:ind w:right="164"/>
              <w:spacing w:after="0" w:line="162" w:lineRule="exact"/>
              <w:rPr>
                <w:sz w:val="20"/>
                <w:szCs w:val="20"/>
                <w:color w:val="auto"/>
              </w:rPr>
            </w:pPr>
            <w:r>
              <w:rPr>
                <w:rFonts w:ascii="Arial" w:cs="Arial" w:eastAsia="Arial" w:hAnsi="Arial"/>
                <w:sz w:val="16"/>
                <w:szCs w:val="16"/>
                <w:b w:val="1"/>
                <w:bCs w:val="1"/>
                <w:color w:val="FFFFFF"/>
              </w:rPr>
              <w:t>Peer Group</w:t>
            </w:r>
          </w:p>
        </w:tc>
        <w:tc>
          <w:tcPr>
            <w:tcW w:w="120" w:type="dxa"/>
            <w:vAlign w:val="bottom"/>
            <w:tcBorders>
              <w:top w:val="single" w:sz="8" w:color="D91E18"/>
            </w:tcBorders>
            <w:shd w:val="clear" w:color="auto" w:fill="D91E18"/>
          </w:tcPr>
          <w:p>
            <w:pPr>
              <w:spacing w:after="0"/>
              <w:rPr>
                <w:sz w:val="14"/>
                <w:szCs w:val="14"/>
                <w:color w:val="auto"/>
              </w:rPr>
            </w:pPr>
          </w:p>
        </w:tc>
        <w:tc>
          <w:tcPr>
            <w:tcW w:w="980" w:type="dxa"/>
            <w:vAlign w:val="bottom"/>
            <w:tcBorders>
              <w:top w:val="single" w:sz="8" w:color="D91E18"/>
              <w:right w:val="single" w:sz="8" w:color="E5E5E5"/>
            </w:tcBorders>
            <w:shd w:val="clear" w:color="auto" w:fill="D91E18"/>
          </w:tcPr>
          <w:p>
            <w:pPr>
              <w:jc w:val="center"/>
              <w:ind w:right="79"/>
              <w:spacing w:after="0" w:line="162" w:lineRule="exact"/>
              <w:rPr>
                <w:sz w:val="20"/>
                <w:szCs w:val="20"/>
                <w:color w:val="auto"/>
              </w:rPr>
            </w:pPr>
            <w:r>
              <w:rPr>
                <w:rFonts w:ascii="Arial" w:cs="Arial" w:eastAsia="Arial" w:hAnsi="Arial"/>
                <w:sz w:val="16"/>
                <w:szCs w:val="16"/>
                <w:b w:val="1"/>
                <w:bCs w:val="1"/>
                <w:color w:val="FFFFFF"/>
              </w:rPr>
              <w:t>Income (in</w:t>
            </w:r>
          </w:p>
        </w:tc>
        <w:tc>
          <w:tcPr>
            <w:tcW w:w="120" w:type="dxa"/>
            <w:vAlign w:val="bottom"/>
            <w:tcBorders>
              <w:top w:val="single" w:sz="8" w:color="D91E18"/>
            </w:tcBorders>
            <w:shd w:val="clear" w:color="auto" w:fill="D91E18"/>
          </w:tcPr>
          <w:p>
            <w:pPr>
              <w:spacing w:after="0"/>
              <w:rPr>
                <w:sz w:val="14"/>
                <w:szCs w:val="14"/>
                <w:color w:val="auto"/>
              </w:rPr>
            </w:pPr>
          </w:p>
        </w:tc>
        <w:tc>
          <w:tcPr>
            <w:tcW w:w="1080" w:type="dxa"/>
            <w:vAlign w:val="bottom"/>
            <w:tcBorders>
              <w:top w:val="single" w:sz="8" w:color="D91E18"/>
              <w:right w:val="single" w:sz="8" w:color="E5E5E5"/>
            </w:tcBorders>
            <w:shd w:val="clear" w:color="auto" w:fill="D91E18"/>
          </w:tcPr>
          <w:p>
            <w:pPr>
              <w:jc w:val="center"/>
              <w:ind w:right="79"/>
              <w:spacing w:after="0" w:line="162" w:lineRule="exact"/>
              <w:rPr>
                <w:sz w:val="20"/>
                <w:szCs w:val="20"/>
                <w:color w:val="auto"/>
              </w:rPr>
            </w:pPr>
            <w:r>
              <w:rPr>
                <w:rFonts w:ascii="Arial" w:cs="Arial" w:eastAsia="Arial" w:hAnsi="Arial"/>
                <w:sz w:val="16"/>
                <w:szCs w:val="16"/>
                <w:b w:val="1"/>
                <w:bCs w:val="1"/>
                <w:color w:val="FFFFFF"/>
              </w:rPr>
              <w:t>EBITDA (in</w:t>
            </w:r>
          </w:p>
        </w:tc>
        <w:tc>
          <w:tcPr>
            <w:tcW w:w="0" w:type="dxa"/>
            <w:vAlign w:val="bottom"/>
          </w:tcPr>
          <w:p>
            <w:pPr>
              <w:spacing w:after="0"/>
              <w:rPr>
                <w:sz w:val="1"/>
                <w:szCs w:val="1"/>
                <w:color w:val="auto"/>
              </w:rPr>
            </w:pPr>
          </w:p>
        </w:tc>
      </w:tr>
      <w:tr>
        <w:trPr>
          <w:trHeight w:val="223"/>
        </w:trPr>
        <w:tc>
          <w:tcPr>
            <w:tcW w:w="580" w:type="dxa"/>
            <w:vAlign w:val="bottom"/>
            <w:tcBorders>
              <w:left w:val="single" w:sz="8" w:color="E5E5E5"/>
              <w:right w:val="single" w:sz="8" w:color="E5E5E5"/>
            </w:tcBorders>
            <w:vMerge w:val="continue"/>
            <w:shd w:val="clear" w:color="auto" w:fill="D91E18"/>
          </w:tcPr>
          <w:p>
            <w:pPr>
              <w:spacing w:after="0"/>
              <w:rPr>
                <w:sz w:val="19"/>
                <w:szCs w:val="19"/>
                <w:color w:val="auto"/>
              </w:rPr>
            </w:pPr>
          </w:p>
        </w:tc>
        <w:tc>
          <w:tcPr>
            <w:tcW w:w="120" w:type="dxa"/>
            <w:vAlign w:val="bottom"/>
            <w:shd w:val="clear" w:color="auto" w:fill="D91E18"/>
          </w:tcPr>
          <w:p>
            <w:pPr>
              <w:spacing w:after="0"/>
              <w:rPr>
                <w:sz w:val="19"/>
                <w:szCs w:val="19"/>
                <w:color w:val="auto"/>
              </w:rPr>
            </w:pPr>
          </w:p>
        </w:tc>
        <w:tc>
          <w:tcPr>
            <w:tcW w:w="1340" w:type="dxa"/>
            <w:vAlign w:val="bottom"/>
            <w:tcBorders>
              <w:right w:val="single" w:sz="8" w:color="E5E5E5"/>
            </w:tcBorders>
            <w:shd w:val="clear" w:color="auto" w:fill="D91E18"/>
          </w:tcPr>
          <w:p>
            <w:pPr>
              <w:jc w:val="center"/>
              <w:ind w:right="63"/>
              <w:spacing w:after="0" w:line="216" w:lineRule="exact"/>
              <w:rPr>
                <w:sz w:val="20"/>
                <w:szCs w:val="20"/>
                <w:color w:val="auto"/>
              </w:rPr>
            </w:pPr>
            <w:r>
              <w:rPr>
                <w:rFonts w:ascii="Arial" w:cs="Arial" w:eastAsia="Arial" w:hAnsi="Arial"/>
                <w:sz w:val="25"/>
                <w:szCs w:val="25"/>
                <w:b w:val="1"/>
                <w:bCs w:val="1"/>
                <w:color w:val="FFFFFF"/>
                <w:vertAlign w:val="subscript"/>
              </w:rPr>
              <w:t>PEO</w:t>
            </w:r>
            <w:r>
              <w:rPr>
                <w:rFonts w:ascii="Arial" w:cs="Arial" w:eastAsia="Arial" w:hAnsi="Arial"/>
                <w:sz w:val="9"/>
                <w:szCs w:val="9"/>
                <w:b w:val="1"/>
                <w:bCs w:val="1"/>
                <w:color w:val="FFFFFF"/>
              </w:rPr>
              <w:t>(1)</w:t>
            </w:r>
          </w:p>
        </w:tc>
        <w:tc>
          <w:tcPr>
            <w:tcW w:w="120" w:type="dxa"/>
            <w:vAlign w:val="bottom"/>
            <w:shd w:val="clear" w:color="auto" w:fill="D91E18"/>
          </w:tcPr>
          <w:p>
            <w:pPr>
              <w:spacing w:after="0"/>
              <w:rPr>
                <w:sz w:val="19"/>
                <w:szCs w:val="19"/>
                <w:color w:val="auto"/>
              </w:rPr>
            </w:pPr>
          </w:p>
        </w:tc>
        <w:tc>
          <w:tcPr>
            <w:tcW w:w="1320" w:type="dxa"/>
            <w:vAlign w:val="bottom"/>
            <w:tcBorders>
              <w:right w:val="single" w:sz="8" w:color="E5E5E5"/>
            </w:tcBorders>
            <w:shd w:val="clear" w:color="auto" w:fill="D91E18"/>
          </w:tcPr>
          <w:p>
            <w:pPr>
              <w:jc w:val="center"/>
              <w:ind w:right="84"/>
              <w:spacing w:after="0" w:line="216" w:lineRule="exact"/>
              <w:rPr>
                <w:sz w:val="20"/>
                <w:szCs w:val="20"/>
                <w:color w:val="auto"/>
              </w:rPr>
            </w:pPr>
            <w:r>
              <w:rPr>
                <w:rFonts w:ascii="Arial" w:cs="Arial" w:eastAsia="Arial" w:hAnsi="Arial"/>
                <w:sz w:val="25"/>
                <w:szCs w:val="25"/>
                <w:b w:val="1"/>
                <w:bCs w:val="1"/>
                <w:color w:val="FFFFFF"/>
                <w:vertAlign w:val="subscript"/>
              </w:rPr>
              <w:t>PEO</w:t>
            </w:r>
            <w:r>
              <w:rPr>
                <w:rFonts w:ascii="Arial" w:cs="Arial" w:eastAsia="Arial" w:hAnsi="Arial"/>
                <w:sz w:val="9"/>
                <w:szCs w:val="9"/>
                <w:b w:val="1"/>
                <w:bCs w:val="1"/>
                <w:color w:val="FFFFFF"/>
              </w:rPr>
              <w:t>(2)</w:t>
            </w:r>
          </w:p>
        </w:tc>
        <w:tc>
          <w:tcPr>
            <w:tcW w:w="100" w:type="dxa"/>
            <w:vAlign w:val="bottom"/>
            <w:shd w:val="clear" w:color="auto" w:fill="D91E18"/>
          </w:tcPr>
          <w:p>
            <w:pPr>
              <w:spacing w:after="0"/>
              <w:rPr>
                <w:sz w:val="19"/>
                <w:szCs w:val="19"/>
                <w:color w:val="auto"/>
              </w:rPr>
            </w:pPr>
          </w:p>
        </w:tc>
        <w:tc>
          <w:tcPr>
            <w:tcW w:w="1540" w:type="dxa"/>
            <w:vAlign w:val="bottom"/>
            <w:tcBorders>
              <w:right w:val="single" w:sz="8" w:color="E5E5E5"/>
            </w:tcBorders>
            <w:shd w:val="clear" w:color="auto" w:fill="D91E18"/>
          </w:tcPr>
          <w:p>
            <w:pPr>
              <w:jc w:val="center"/>
              <w:ind w:right="59"/>
              <w:spacing w:after="0" w:line="216" w:lineRule="exact"/>
              <w:rPr>
                <w:sz w:val="20"/>
                <w:szCs w:val="20"/>
                <w:color w:val="auto"/>
              </w:rPr>
            </w:pPr>
            <w:r>
              <w:rPr>
                <w:rFonts w:ascii="Arial" w:cs="Arial" w:eastAsia="Arial" w:hAnsi="Arial"/>
                <w:sz w:val="16"/>
                <w:szCs w:val="16"/>
                <w:b w:val="1"/>
                <w:bCs w:val="1"/>
                <w:color w:val="FFFFFF"/>
                <w:w w:val="92"/>
              </w:rPr>
              <w:t>NEOs</w:t>
            </w:r>
            <w:r>
              <w:rPr>
                <w:rFonts w:ascii="Arial" w:cs="Arial" w:eastAsia="Arial" w:hAnsi="Arial"/>
                <w:sz w:val="21"/>
                <w:szCs w:val="21"/>
                <w:b w:val="1"/>
                <w:bCs w:val="1"/>
                <w:color w:val="FFFFFF"/>
                <w:w w:val="92"/>
                <w:vertAlign w:val="superscript"/>
              </w:rPr>
              <w:t>(3)</w:t>
            </w:r>
          </w:p>
        </w:tc>
        <w:tc>
          <w:tcPr>
            <w:tcW w:w="1440" w:type="dxa"/>
            <w:vAlign w:val="bottom"/>
            <w:tcBorders>
              <w:right w:val="single" w:sz="8" w:color="E5E5E5"/>
            </w:tcBorders>
            <w:gridSpan w:val="2"/>
            <w:shd w:val="clear" w:color="auto" w:fill="D91E18"/>
          </w:tcPr>
          <w:p>
            <w:pPr>
              <w:jc w:val="center"/>
              <w:spacing w:after="0" w:line="216" w:lineRule="exact"/>
              <w:rPr>
                <w:sz w:val="20"/>
                <w:szCs w:val="20"/>
                <w:color w:val="auto"/>
              </w:rPr>
            </w:pPr>
            <w:r>
              <w:rPr>
                <w:rFonts w:ascii="Arial" w:cs="Arial" w:eastAsia="Arial" w:hAnsi="Arial"/>
                <w:sz w:val="16"/>
                <w:szCs w:val="16"/>
                <w:b w:val="1"/>
                <w:bCs w:val="1"/>
                <w:color w:val="FFFFFF"/>
                <w:w w:val="97"/>
              </w:rPr>
              <w:t>Non-PEO NEOs</w:t>
            </w:r>
            <w:r>
              <w:rPr>
                <w:rFonts w:ascii="Arial" w:cs="Arial" w:eastAsia="Arial" w:hAnsi="Arial"/>
                <w:sz w:val="21"/>
                <w:szCs w:val="21"/>
                <w:b w:val="1"/>
                <w:bCs w:val="1"/>
                <w:color w:val="FFFFFF"/>
                <w:w w:val="97"/>
                <w:vertAlign w:val="superscript"/>
              </w:rPr>
              <w:t>(2)</w:t>
            </w:r>
          </w:p>
        </w:tc>
        <w:tc>
          <w:tcPr>
            <w:tcW w:w="120" w:type="dxa"/>
            <w:vAlign w:val="bottom"/>
            <w:shd w:val="clear" w:color="auto" w:fill="D91E18"/>
          </w:tcPr>
          <w:p>
            <w:pPr>
              <w:spacing w:after="0"/>
              <w:rPr>
                <w:sz w:val="19"/>
                <w:szCs w:val="19"/>
                <w:color w:val="auto"/>
              </w:rPr>
            </w:pPr>
          </w:p>
        </w:tc>
        <w:tc>
          <w:tcPr>
            <w:tcW w:w="900" w:type="dxa"/>
            <w:vAlign w:val="bottom"/>
            <w:tcBorders>
              <w:right w:val="single" w:sz="8" w:color="E5E5E5"/>
            </w:tcBorders>
            <w:shd w:val="clear" w:color="auto" w:fill="D91E18"/>
          </w:tcPr>
          <w:p>
            <w:pPr>
              <w:jc w:val="right"/>
              <w:ind w:right="223"/>
              <w:spacing w:after="0" w:line="216" w:lineRule="exact"/>
              <w:rPr>
                <w:sz w:val="20"/>
                <w:szCs w:val="20"/>
                <w:color w:val="auto"/>
              </w:rPr>
            </w:pPr>
            <w:r>
              <w:rPr>
                <w:rFonts w:ascii="Arial" w:cs="Arial" w:eastAsia="Arial" w:hAnsi="Arial"/>
                <w:sz w:val="25"/>
                <w:szCs w:val="25"/>
                <w:b w:val="1"/>
                <w:bCs w:val="1"/>
                <w:color w:val="FFFFFF"/>
                <w:vertAlign w:val="subscript"/>
              </w:rPr>
              <w:t>TSR</w:t>
            </w:r>
            <w:r>
              <w:rPr>
                <w:rFonts w:ascii="Arial" w:cs="Arial" w:eastAsia="Arial" w:hAnsi="Arial"/>
                <w:sz w:val="9"/>
                <w:szCs w:val="9"/>
                <w:b w:val="1"/>
                <w:bCs w:val="1"/>
                <w:color w:val="FFFFFF"/>
              </w:rPr>
              <w:t>(4)</w:t>
            </w:r>
          </w:p>
        </w:tc>
        <w:tc>
          <w:tcPr>
            <w:tcW w:w="140" w:type="dxa"/>
            <w:vAlign w:val="bottom"/>
            <w:shd w:val="clear" w:color="auto" w:fill="D91E18"/>
          </w:tcPr>
          <w:p>
            <w:pPr>
              <w:spacing w:after="0"/>
              <w:rPr>
                <w:sz w:val="19"/>
                <w:szCs w:val="19"/>
                <w:color w:val="auto"/>
              </w:rPr>
            </w:pPr>
          </w:p>
        </w:tc>
        <w:tc>
          <w:tcPr>
            <w:tcW w:w="1180" w:type="dxa"/>
            <w:vAlign w:val="bottom"/>
            <w:tcBorders>
              <w:right w:val="single" w:sz="8" w:color="E5E5E5"/>
            </w:tcBorders>
            <w:shd w:val="clear" w:color="auto" w:fill="D91E18"/>
          </w:tcPr>
          <w:p>
            <w:pPr>
              <w:jc w:val="right"/>
              <w:ind w:right="304"/>
              <w:spacing w:after="0" w:line="216" w:lineRule="exact"/>
              <w:rPr>
                <w:sz w:val="20"/>
                <w:szCs w:val="20"/>
                <w:color w:val="auto"/>
              </w:rPr>
            </w:pPr>
            <w:r>
              <w:rPr>
                <w:rFonts w:ascii="Arial" w:cs="Arial" w:eastAsia="Arial" w:hAnsi="Arial"/>
                <w:sz w:val="25"/>
                <w:szCs w:val="25"/>
                <w:b w:val="1"/>
                <w:bCs w:val="1"/>
                <w:color w:val="FFFFFF"/>
                <w:vertAlign w:val="subscript"/>
              </w:rPr>
              <w:t>TSR</w:t>
            </w:r>
            <w:r>
              <w:rPr>
                <w:rFonts w:ascii="Arial" w:cs="Arial" w:eastAsia="Arial" w:hAnsi="Arial"/>
                <w:sz w:val="9"/>
                <w:szCs w:val="9"/>
                <w:b w:val="1"/>
                <w:bCs w:val="1"/>
                <w:color w:val="FFFFFF"/>
              </w:rPr>
              <w:t>(4)(5)</w:t>
            </w:r>
          </w:p>
        </w:tc>
        <w:tc>
          <w:tcPr>
            <w:tcW w:w="120" w:type="dxa"/>
            <w:vAlign w:val="bottom"/>
            <w:shd w:val="clear" w:color="auto" w:fill="D91E18"/>
          </w:tcPr>
          <w:p>
            <w:pPr>
              <w:spacing w:after="0"/>
              <w:rPr>
                <w:sz w:val="19"/>
                <w:szCs w:val="19"/>
                <w:color w:val="auto"/>
              </w:rPr>
            </w:pPr>
          </w:p>
        </w:tc>
        <w:tc>
          <w:tcPr>
            <w:tcW w:w="980" w:type="dxa"/>
            <w:vAlign w:val="bottom"/>
            <w:tcBorders>
              <w:right w:val="single" w:sz="8" w:color="E5E5E5"/>
            </w:tcBorders>
            <w:shd w:val="clear" w:color="auto" w:fill="D91E18"/>
          </w:tcPr>
          <w:p>
            <w:pPr>
              <w:jc w:val="center"/>
              <w:ind w:right="79"/>
              <w:spacing w:after="0"/>
              <w:rPr>
                <w:sz w:val="20"/>
                <w:szCs w:val="20"/>
                <w:color w:val="auto"/>
              </w:rPr>
            </w:pPr>
            <w:r>
              <w:rPr>
                <w:rFonts w:ascii="Arial" w:cs="Arial" w:eastAsia="Arial" w:hAnsi="Arial"/>
                <w:sz w:val="16"/>
                <w:szCs w:val="16"/>
                <w:b w:val="1"/>
                <w:bCs w:val="1"/>
                <w:color w:val="FFFFFF"/>
              </w:rPr>
              <w:t>Millions)</w:t>
            </w:r>
          </w:p>
        </w:tc>
        <w:tc>
          <w:tcPr>
            <w:tcW w:w="120" w:type="dxa"/>
            <w:vAlign w:val="bottom"/>
            <w:shd w:val="clear" w:color="auto" w:fill="D91E18"/>
          </w:tcPr>
          <w:p>
            <w:pPr>
              <w:spacing w:after="0"/>
              <w:rPr>
                <w:sz w:val="19"/>
                <w:szCs w:val="19"/>
                <w:color w:val="auto"/>
              </w:rPr>
            </w:pPr>
          </w:p>
        </w:tc>
        <w:tc>
          <w:tcPr>
            <w:tcW w:w="1080" w:type="dxa"/>
            <w:vAlign w:val="bottom"/>
            <w:tcBorders>
              <w:right w:val="single" w:sz="8" w:color="E5E5E5"/>
            </w:tcBorders>
            <w:shd w:val="clear" w:color="auto" w:fill="D91E18"/>
          </w:tcPr>
          <w:p>
            <w:pPr>
              <w:jc w:val="center"/>
              <w:ind w:right="79"/>
              <w:spacing w:after="0" w:line="216" w:lineRule="exact"/>
              <w:rPr>
                <w:sz w:val="20"/>
                <w:szCs w:val="20"/>
                <w:color w:val="auto"/>
              </w:rPr>
            </w:pPr>
            <w:r>
              <w:rPr>
                <w:rFonts w:ascii="Arial" w:cs="Arial" w:eastAsia="Arial" w:hAnsi="Arial"/>
                <w:sz w:val="16"/>
                <w:szCs w:val="16"/>
                <w:b w:val="1"/>
                <w:bCs w:val="1"/>
                <w:color w:val="FFFFFF"/>
                <w:w w:val="97"/>
              </w:rPr>
              <w:t>Millions)</w:t>
            </w:r>
            <w:r>
              <w:rPr>
                <w:rFonts w:ascii="Arial" w:cs="Arial" w:eastAsia="Arial" w:hAnsi="Arial"/>
                <w:sz w:val="21"/>
                <w:szCs w:val="21"/>
                <w:b w:val="1"/>
                <w:bCs w:val="1"/>
                <w:color w:val="FFFFFF"/>
                <w:w w:val="97"/>
                <w:vertAlign w:val="superscript"/>
              </w:rPr>
              <w:t>(6)</w:t>
            </w:r>
          </w:p>
        </w:tc>
        <w:tc>
          <w:tcPr>
            <w:tcW w:w="0" w:type="dxa"/>
            <w:vAlign w:val="bottom"/>
          </w:tcPr>
          <w:p>
            <w:pPr>
              <w:spacing w:after="0"/>
              <w:rPr>
                <w:sz w:val="1"/>
                <w:szCs w:val="1"/>
                <w:color w:val="auto"/>
              </w:rPr>
            </w:pPr>
          </w:p>
        </w:tc>
      </w:tr>
      <w:tr>
        <w:trPr>
          <w:trHeight w:val="297"/>
        </w:trPr>
        <w:tc>
          <w:tcPr>
            <w:tcW w:w="580" w:type="dxa"/>
            <w:vAlign w:val="bottom"/>
            <w:tcBorders>
              <w:left w:val="single" w:sz="8" w:color="E5E5E5"/>
              <w:bottom w:val="single" w:sz="8" w:color="DBDBDB"/>
              <w:right w:val="single" w:sz="8" w:color="E5E5E5"/>
            </w:tcBorders>
            <w:shd w:val="clear" w:color="auto" w:fill="DBDBDB"/>
          </w:tcPr>
          <w:p>
            <w:pPr>
              <w:jc w:val="right"/>
              <w:spacing w:after="0"/>
              <w:rPr>
                <w:sz w:val="20"/>
                <w:szCs w:val="20"/>
                <w:color w:val="auto"/>
              </w:rPr>
            </w:pPr>
            <w:r>
              <w:rPr>
                <w:rFonts w:ascii="Arial" w:cs="Arial" w:eastAsia="Arial" w:hAnsi="Arial"/>
                <w:sz w:val="16"/>
                <w:szCs w:val="16"/>
                <w:color w:val="auto"/>
              </w:rPr>
              <w:t>2024</w:t>
            </w:r>
          </w:p>
        </w:tc>
        <w:tc>
          <w:tcPr>
            <w:tcW w:w="1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DBDBDB"/>
              <w:right w:val="single" w:sz="8" w:color="E5E5E5"/>
            </w:tcBorders>
            <w:shd w:val="clear" w:color="auto" w:fill="DBDBDB"/>
          </w:tcPr>
          <w:p>
            <w:pPr>
              <w:jc w:val="right"/>
              <w:ind w:right="23"/>
              <w:spacing w:after="0"/>
              <w:rPr>
                <w:sz w:val="20"/>
                <w:szCs w:val="20"/>
                <w:color w:val="auto"/>
              </w:rPr>
            </w:pPr>
            <w:r>
              <w:rPr>
                <w:rFonts w:ascii="Arial" w:cs="Arial" w:eastAsia="Arial" w:hAnsi="Arial"/>
                <w:sz w:val="16"/>
                <w:szCs w:val="16"/>
                <w:color w:val="auto"/>
              </w:rPr>
              <w:t>8,999,130</w:t>
            </w:r>
          </w:p>
        </w:tc>
        <w:tc>
          <w:tcPr>
            <w:tcW w:w="1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DBDBDB"/>
              <w:right w:val="single" w:sz="8" w:color="E5E5E5"/>
            </w:tcBorders>
            <w:shd w:val="clear" w:color="auto" w:fill="DBDBDB"/>
          </w:tcPr>
          <w:p>
            <w:pPr>
              <w:jc w:val="right"/>
              <w:ind w:right="24"/>
              <w:spacing w:after="0"/>
              <w:rPr>
                <w:sz w:val="20"/>
                <w:szCs w:val="20"/>
                <w:color w:val="auto"/>
              </w:rPr>
            </w:pPr>
            <w:r>
              <w:rPr>
                <w:rFonts w:ascii="Arial" w:cs="Arial" w:eastAsia="Arial" w:hAnsi="Arial"/>
                <w:sz w:val="16"/>
                <w:szCs w:val="16"/>
                <w:color w:val="auto"/>
              </w:rPr>
              <w:t>8,672,323</w:t>
            </w:r>
          </w:p>
        </w:tc>
        <w:tc>
          <w:tcPr>
            <w:tcW w:w="10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DBDBDB"/>
              <w:right w:val="single" w:sz="8" w:color="E5E5E5"/>
            </w:tcBorders>
            <w:shd w:val="clear" w:color="auto" w:fill="DBDBDB"/>
          </w:tcPr>
          <w:p>
            <w:pPr>
              <w:jc w:val="right"/>
              <w:ind w:right="19"/>
              <w:spacing w:after="0"/>
              <w:rPr>
                <w:sz w:val="20"/>
                <w:szCs w:val="20"/>
                <w:color w:val="auto"/>
              </w:rPr>
            </w:pPr>
            <w:r>
              <w:rPr>
                <w:rFonts w:ascii="Arial" w:cs="Arial" w:eastAsia="Arial" w:hAnsi="Arial"/>
                <w:sz w:val="16"/>
                <w:szCs w:val="16"/>
                <w:color w:val="auto"/>
              </w:rPr>
              <w:t>1,969,062</w:t>
            </w:r>
          </w:p>
        </w:tc>
        <w:tc>
          <w:tcPr>
            <w:tcW w:w="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DBDBDB"/>
              <w:right w:val="single" w:sz="8" w:color="E5E5E5"/>
            </w:tcBorders>
            <w:shd w:val="clear" w:color="auto" w:fill="DBDBDB"/>
          </w:tcPr>
          <w:p>
            <w:pPr>
              <w:jc w:val="right"/>
              <w:ind w:right="19"/>
              <w:spacing w:after="0"/>
              <w:rPr>
                <w:sz w:val="20"/>
                <w:szCs w:val="20"/>
                <w:color w:val="auto"/>
              </w:rPr>
            </w:pPr>
            <w:r>
              <w:rPr>
                <w:rFonts w:ascii="Arial" w:cs="Arial" w:eastAsia="Arial" w:hAnsi="Arial"/>
                <w:sz w:val="16"/>
                <w:szCs w:val="16"/>
                <w:color w:val="auto"/>
              </w:rPr>
              <w:t>1,702,991</w:t>
            </w:r>
          </w:p>
        </w:tc>
        <w:tc>
          <w:tcPr>
            <w:tcW w:w="1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DBDBDB"/>
              <w:right w:val="single" w:sz="8" w:color="E5E5E5"/>
            </w:tcBorders>
            <w:shd w:val="clear" w:color="auto" w:fill="DBDBDB"/>
          </w:tcPr>
          <w:p>
            <w:pPr>
              <w:jc w:val="right"/>
              <w:ind w:right="23"/>
              <w:spacing w:after="0"/>
              <w:rPr>
                <w:sz w:val="20"/>
                <w:szCs w:val="20"/>
                <w:color w:val="auto"/>
              </w:rPr>
            </w:pPr>
            <w:r>
              <w:rPr>
                <w:rFonts w:ascii="Arial" w:cs="Arial" w:eastAsia="Arial" w:hAnsi="Arial"/>
                <w:sz w:val="16"/>
                <w:szCs w:val="16"/>
                <w:color w:val="auto"/>
              </w:rPr>
              <w:t>217</w:t>
            </w:r>
          </w:p>
        </w:tc>
        <w:tc>
          <w:tcPr>
            <w:tcW w:w="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DBDBDB"/>
              <w:right w:val="single" w:sz="8" w:color="E5E5E5"/>
            </w:tcBorders>
            <w:shd w:val="clear" w:color="auto" w:fill="DBDBDB"/>
          </w:tcPr>
          <w:p>
            <w:pPr>
              <w:jc w:val="right"/>
              <w:ind w:right="24"/>
              <w:spacing w:after="0"/>
              <w:rPr>
                <w:sz w:val="20"/>
                <w:szCs w:val="20"/>
                <w:color w:val="auto"/>
              </w:rPr>
            </w:pPr>
            <w:r>
              <w:rPr>
                <w:rFonts w:ascii="Arial" w:cs="Arial" w:eastAsia="Arial" w:hAnsi="Arial"/>
                <w:sz w:val="16"/>
                <w:szCs w:val="16"/>
                <w:color w:val="auto"/>
              </w:rPr>
              <w:t>322</w:t>
            </w:r>
          </w:p>
        </w:tc>
        <w:tc>
          <w:tcPr>
            <w:tcW w:w="1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DBDBDB"/>
              <w:right w:val="single" w:sz="8" w:color="E5E5E5"/>
            </w:tcBorders>
            <w:shd w:val="clear" w:color="auto" w:fill="DBDBDB"/>
          </w:tcPr>
          <w:p>
            <w:pPr>
              <w:jc w:val="right"/>
              <w:ind w:right="19"/>
              <w:spacing w:after="0"/>
              <w:rPr>
                <w:sz w:val="20"/>
                <w:szCs w:val="20"/>
                <w:color w:val="auto"/>
              </w:rPr>
            </w:pPr>
            <w:r>
              <w:rPr>
                <w:rFonts w:ascii="Arial" w:cs="Arial" w:eastAsia="Arial" w:hAnsi="Arial"/>
                <w:sz w:val="16"/>
                <w:szCs w:val="16"/>
                <w:color w:val="auto"/>
              </w:rPr>
              <w:t>430</w:t>
            </w:r>
          </w:p>
        </w:tc>
        <w:tc>
          <w:tcPr>
            <w:tcW w:w="1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DBDBDB"/>
              <w:right w:val="single" w:sz="8" w:color="E5E5E5"/>
            </w:tcBorders>
            <w:shd w:val="clear" w:color="auto" w:fill="DBDBDB"/>
          </w:tcPr>
          <w:p>
            <w:pPr>
              <w:jc w:val="right"/>
              <w:ind w:right="19"/>
              <w:spacing w:after="0"/>
              <w:rPr>
                <w:sz w:val="20"/>
                <w:szCs w:val="20"/>
                <w:color w:val="auto"/>
              </w:rPr>
            </w:pPr>
            <w:r>
              <w:rPr>
                <w:rFonts w:ascii="Arial" w:cs="Arial" w:eastAsia="Arial" w:hAnsi="Arial"/>
                <w:sz w:val="16"/>
                <w:szCs w:val="16"/>
                <w:color w:val="auto"/>
              </w:rPr>
              <w:t>982</w:t>
            </w:r>
          </w:p>
        </w:tc>
        <w:tc>
          <w:tcPr>
            <w:tcW w:w="0" w:type="dxa"/>
            <w:vAlign w:val="bottom"/>
          </w:tcPr>
          <w:p>
            <w:pPr>
              <w:spacing w:after="0"/>
              <w:rPr>
                <w:sz w:val="1"/>
                <w:szCs w:val="1"/>
                <w:color w:val="auto"/>
              </w:rPr>
            </w:pPr>
          </w:p>
        </w:tc>
      </w:tr>
      <w:tr>
        <w:trPr>
          <w:trHeight w:val="215"/>
        </w:trPr>
        <w:tc>
          <w:tcPr>
            <w:tcW w:w="580" w:type="dxa"/>
            <w:vAlign w:val="bottom"/>
            <w:tcBorders>
              <w:left w:val="single" w:sz="8" w:color="E5E5E5"/>
              <w:right w:val="single" w:sz="8" w:color="E5E5E5"/>
            </w:tcBorders>
          </w:tcPr>
          <w:p>
            <w:pPr>
              <w:jc w:val="right"/>
              <w:spacing w:after="0"/>
              <w:rPr>
                <w:sz w:val="20"/>
                <w:szCs w:val="20"/>
                <w:color w:val="auto"/>
              </w:rPr>
            </w:pPr>
            <w:r>
              <w:rPr>
                <w:rFonts w:ascii="Arial" w:cs="Arial" w:eastAsia="Arial" w:hAnsi="Arial"/>
                <w:sz w:val="16"/>
                <w:szCs w:val="16"/>
                <w:color w:val="auto"/>
              </w:rPr>
              <w:t>2023</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right w:val="single" w:sz="8" w:color="E5E5E5"/>
            </w:tcBorders>
          </w:tcPr>
          <w:p>
            <w:pPr>
              <w:jc w:val="right"/>
              <w:ind w:right="23"/>
              <w:spacing w:after="0"/>
              <w:rPr>
                <w:sz w:val="20"/>
                <w:szCs w:val="20"/>
                <w:color w:val="auto"/>
              </w:rPr>
            </w:pPr>
            <w:r>
              <w:rPr>
                <w:rFonts w:ascii="Arial" w:cs="Arial" w:eastAsia="Arial" w:hAnsi="Arial"/>
                <w:sz w:val="16"/>
                <w:szCs w:val="16"/>
                <w:color w:val="auto"/>
              </w:rPr>
              <w:t>8,138,627</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right w:val="single" w:sz="8" w:color="E5E5E5"/>
            </w:tcBorders>
          </w:tcPr>
          <w:p>
            <w:pPr>
              <w:jc w:val="right"/>
              <w:ind w:right="24"/>
              <w:spacing w:after="0"/>
              <w:rPr>
                <w:sz w:val="20"/>
                <w:szCs w:val="20"/>
                <w:color w:val="auto"/>
              </w:rPr>
            </w:pPr>
            <w:r>
              <w:rPr>
                <w:rFonts w:ascii="Arial" w:cs="Arial" w:eastAsia="Arial" w:hAnsi="Arial"/>
                <w:sz w:val="16"/>
                <w:szCs w:val="16"/>
                <w:color w:val="auto"/>
              </w:rPr>
              <w:t>10,546,295</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1540" w:type="dxa"/>
            <w:vAlign w:val="bottom"/>
            <w:tcBorders>
              <w:right w:val="single" w:sz="8" w:color="E5E5E5"/>
            </w:tcBorders>
          </w:tcPr>
          <w:p>
            <w:pPr>
              <w:jc w:val="right"/>
              <w:ind w:right="19"/>
              <w:spacing w:after="0"/>
              <w:rPr>
                <w:sz w:val="20"/>
                <w:szCs w:val="20"/>
                <w:color w:val="auto"/>
              </w:rPr>
            </w:pPr>
            <w:r>
              <w:rPr>
                <w:rFonts w:ascii="Arial" w:cs="Arial" w:eastAsia="Arial" w:hAnsi="Arial"/>
                <w:sz w:val="16"/>
                <w:szCs w:val="16"/>
                <w:color w:val="auto"/>
              </w:rPr>
              <w:t>2,043,948</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right w:val="single" w:sz="8" w:color="E5E5E5"/>
            </w:tcBorders>
          </w:tcPr>
          <w:p>
            <w:pPr>
              <w:jc w:val="right"/>
              <w:ind w:right="19"/>
              <w:spacing w:after="0"/>
              <w:rPr>
                <w:sz w:val="20"/>
                <w:szCs w:val="20"/>
                <w:color w:val="auto"/>
              </w:rPr>
            </w:pPr>
            <w:r>
              <w:rPr>
                <w:rFonts w:ascii="Arial" w:cs="Arial" w:eastAsia="Arial" w:hAnsi="Arial"/>
                <w:sz w:val="16"/>
                <w:szCs w:val="16"/>
                <w:color w:val="auto"/>
              </w:rPr>
              <w:t>2,565,627</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right w:val="single" w:sz="8" w:color="E5E5E5"/>
            </w:tcBorders>
          </w:tcPr>
          <w:p>
            <w:pPr>
              <w:jc w:val="right"/>
              <w:ind w:right="23"/>
              <w:spacing w:after="0"/>
              <w:rPr>
                <w:sz w:val="20"/>
                <w:szCs w:val="20"/>
                <w:color w:val="auto"/>
              </w:rPr>
            </w:pPr>
            <w:r>
              <w:rPr>
                <w:rFonts w:ascii="Arial" w:cs="Arial" w:eastAsia="Arial" w:hAnsi="Arial"/>
                <w:sz w:val="16"/>
                <w:szCs w:val="16"/>
                <w:color w:val="auto"/>
              </w:rPr>
              <w:t>201</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right w:val="single" w:sz="8" w:color="E5E5E5"/>
            </w:tcBorders>
          </w:tcPr>
          <w:p>
            <w:pPr>
              <w:jc w:val="right"/>
              <w:ind w:right="24"/>
              <w:spacing w:after="0"/>
              <w:rPr>
                <w:sz w:val="20"/>
                <w:szCs w:val="20"/>
                <w:color w:val="auto"/>
              </w:rPr>
            </w:pPr>
            <w:r>
              <w:rPr>
                <w:rFonts w:ascii="Arial" w:cs="Arial" w:eastAsia="Arial" w:hAnsi="Arial"/>
                <w:sz w:val="16"/>
                <w:szCs w:val="16"/>
                <w:color w:val="auto"/>
              </w:rPr>
              <w:t>291</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right w:val="single" w:sz="8" w:color="E5E5E5"/>
            </w:tcBorders>
          </w:tcPr>
          <w:p>
            <w:pPr>
              <w:jc w:val="right"/>
              <w:ind w:right="19"/>
              <w:spacing w:after="0"/>
              <w:rPr>
                <w:sz w:val="20"/>
                <w:szCs w:val="20"/>
                <w:color w:val="auto"/>
              </w:rPr>
            </w:pPr>
            <w:r>
              <w:rPr>
                <w:rFonts w:ascii="Arial" w:cs="Arial" w:eastAsia="Arial" w:hAnsi="Arial"/>
                <w:sz w:val="16"/>
                <w:szCs w:val="16"/>
                <w:color w:val="auto"/>
              </w:rPr>
              <w:t>603</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right w:val="single" w:sz="8" w:color="E5E5E5"/>
            </w:tcBorders>
          </w:tcPr>
          <w:p>
            <w:pPr>
              <w:jc w:val="right"/>
              <w:ind w:right="19"/>
              <w:spacing w:after="0"/>
              <w:rPr>
                <w:sz w:val="20"/>
                <w:szCs w:val="20"/>
                <w:color w:val="auto"/>
              </w:rPr>
            </w:pPr>
            <w:r>
              <w:rPr>
                <w:rFonts w:ascii="Arial" w:cs="Arial" w:eastAsia="Arial" w:hAnsi="Arial"/>
                <w:sz w:val="16"/>
                <w:szCs w:val="16"/>
                <w:color w:val="auto"/>
              </w:rPr>
              <w:t>1,135</w:t>
            </w:r>
          </w:p>
        </w:tc>
        <w:tc>
          <w:tcPr>
            <w:tcW w:w="0" w:type="dxa"/>
            <w:vAlign w:val="bottom"/>
          </w:tcPr>
          <w:p>
            <w:pPr>
              <w:spacing w:after="0"/>
              <w:rPr>
                <w:sz w:val="1"/>
                <w:szCs w:val="1"/>
                <w:color w:val="auto"/>
              </w:rPr>
            </w:pPr>
          </w:p>
        </w:tc>
      </w:tr>
      <w:tr>
        <w:trPr>
          <w:trHeight w:val="244"/>
        </w:trPr>
        <w:tc>
          <w:tcPr>
            <w:tcW w:w="580" w:type="dxa"/>
            <w:vAlign w:val="bottom"/>
            <w:tcBorders>
              <w:left w:val="single" w:sz="8" w:color="E5E5E5"/>
              <w:right w:val="single" w:sz="8" w:color="E5E5E5"/>
            </w:tcBorders>
            <w:shd w:val="clear" w:color="auto" w:fill="DBDBDB"/>
          </w:tcPr>
          <w:p>
            <w:pPr>
              <w:jc w:val="right"/>
              <w:spacing w:after="0"/>
              <w:rPr>
                <w:sz w:val="20"/>
                <w:szCs w:val="20"/>
                <w:color w:val="auto"/>
              </w:rPr>
            </w:pPr>
            <w:r>
              <w:rPr>
                <w:rFonts w:ascii="Arial" w:cs="Arial" w:eastAsia="Arial" w:hAnsi="Arial"/>
                <w:sz w:val="16"/>
                <w:szCs w:val="16"/>
                <w:color w:val="auto"/>
              </w:rPr>
              <w:t>2022</w:t>
            </w:r>
          </w:p>
        </w:tc>
        <w:tc>
          <w:tcPr>
            <w:tcW w:w="12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right w:val="single" w:sz="8" w:color="E5E5E5"/>
            </w:tcBorders>
            <w:shd w:val="clear" w:color="auto" w:fill="DBDBDB"/>
          </w:tcPr>
          <w:p>
            <w:pPr>
              <w:jc w:val="right"/>
              <w:ind w:right="23"/>
              <w:spacing w:after="0"/>
              <w:rPr>
                <w:sz w:val="20"/>
                <w:szCs w:val="20"/>
                <w:color w:val="auto"/>
              </w:rPr>
            </w:pPr>
            <w:r>
              <w:rPr>
                <w:rFonts w:ascii="Arial" w:cs="Arial" w:eastAsia="Arial" w:hAnsi="Arial"/>
                <w:sz w:val="16"/>
                <w:szCs w:val="16"/>
                <w:color w:val="auto"/>
              </w:rPr>
              <w:t>8,582,645</w:t>
            </w:r>
          </w:p>
        </w:tc>
        <w:tc>
          <w:tcPr>
            <w:tcW w:w="12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right w:val="single" w:sz="8" w:color="E5E5E5"/>
            </w:tcBorders>
            <w:shd w:val="clear" w:color="auto" w:fill="DBDBDB"/>
          </w:tcPr>
          <w:p>
            <w:pPr>
              <w:jc w:val="right"/>
              <w:ind w:right="24"/>
              <w:spacing w:after="0"/>
              <w:rPr>
                <w:sz w:val="20"/>
                <w:szCs w:val="20"/>
                <w:color w:val="auto"/>
              </w:rPr>
            </w:pPr>
            <w:r>
              <w:rPr>
                <w:rFonts w:ascii="Arial" w:cs="Arial" w:eastAsia="Arial" w:hAnsi="Arial"/>
                <w:sz w:val="16"/>
                <w:szCs w:val="16"/>
                <w:color w:val="auto"/>
              </w:rPr>
              <w:t>9,596,256</w:t>
            </w:r>
          </w:p>
        </w:tc>
        <w:tc>
          <w:tcPr>
            <w:tcW w:w="100" w:type="dxa"/>
            <w:vAlign w:val="bottom"/>
            <w:shd w:val="clear" w:color="auto" w:fill="DBDBDB"/>
          </w:tcPr>
          <w:p>
            <w:pPr>
              <w:spacing w:after="0"/>
              <w:rPr>
                <w:sz w:val="20"/>
                <w:szCs w:val="20"/>
                <w:color w:val="auto"/>
              </w:rPr>
            </w:pPr>
            <w:r>
              <w:rPr>
                <w:rFonts w:ascii="Arial" w:cs="Arial" w:eastAsia="Arial" w:hAnsi="Arial"/>
                <w:sz w:val="16"/>
                <w:szCs w:val="16"/>
                <w:color w:val="auto"/>
                <w:w w:val="89"/>
              </w:rPr>
              <w:t>$</w:t>
            </w:r>
          </w:p>
        </w:tc>
        <w:tc>
          <w:tcPr>
            <w:tcW w:w="1540" w:type="dxa"/>
            <w:vAlign w:val="bottom"/>
            <w:tcBorders>
              <w:right w:val="single" w:sz="8" w:color="E5E5E5"/>
            </w:tcBorders>
            <w:shd w:val="clear" w:color="auto" w:fill="DBDBDB"/>
          </w:tcPr>
          <w:p>
            <w:pPr>
              <w:jc w:val="right"/>
              <w:ind w:right="19"/>
              <w:spacing w:after="0"/>
              <w:rPr>
                <w:sz w:val="20"/>
                <w:szCs w:val="20"/>
                <w:color w:val="auto"/>
              </w:rPr>
            </w:pPr>
            <w:r>
              <w:rPr>
                <w:rFonts w:ascii="Arial" w:cs="Arial" w:eastAsia="Arial" w:hAnsi="Arial"/>
                <w:sz w:val="16"/>
                <w:szCs w:val="16"/>
                <w:color w:val="auto"/>
              </w:rPr>
              <w:t>2,407,078</w:t>
            </w:r>
          </w:p>
        </w:tc>
        <w:tc>
          <w:tcPr>
            <w:tcW w:w="10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right w:val="single" w:sz="8" w:color="E5E5E5"/>
            </w:tcBorders>
            <w:shd w:val="clear" w:color="auto" w:fill="DBDBDB"/>
          </w:tcPr>
          <w:p>
            <w:pPr>
              <w:jc w:val="right"/>
              <w:ind w:right="19"/>
              <w:spacing w:after="0"/>
              <w:rPr>
                <w:sz w:val="20"/>
                <w:szCs w:val="20"/>
                <w:color w:val="auto"/>
              </w:rPr>
            </w:pPr>
            <w:r>
              <w:rPr>
                <w:rFonts w:ascii="Arial" w:cs="Arial" w:eastAsia="Arial" w:hAnsi="Arial"/>
                <w:sz w:val="16"/>
                <w:szCs w:val="16"/>
                <w:color w:val="auto"/>
              </w:rPr>
              <w:t>2,603,319</w:t>
            </w:r>
          </w:p>
        </w:tc>
        <w:tc>
          <w:tcPr>
            <w:tcW w:w="12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right w:val="single" w:sz="8" w:color="E5E5E5"/>
            </w:tcBorders>
            <w:shd w:val="clear" w:color="auto" w:fill="DBDBDB"/>
          </w:tcPr>
          <w:p>
            <w:pPr>
              <w:jc w:val="right"/>
              <w:ind w:right="23"/>
              <w:spacing w:after="0"/>
              <w:rPr>
                <w:sz w:val="20"/>
                <w:szCs w:val="20"/>
                <w:color w:val="auto"/>
              </w:rPr>
            </w:pPr>
            <w:r>
              <w:rPr>
                <w:rFonts w:ascii="Arial" w:cs="Arial" w:eastAsia="Arial" w:hAnsi="Arial"/>
                <w:sz w:val="16"/>
                <w:szCs w:val="16"/>
                <w:color w:val="auto"/>
              </w:rPr>
              <w:t>160</w:t>
            </w: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right w:val="single" w:sz="8" w:color="E5E5E5"/>
            </w:tcBorders>
            <w:shd w:val="clear" w:color="auto" w:fill="DBDBDB"/>
          </w:tcPr>
          <w:p>
            <w:pPr>
              <w:jc w:val="right"/>
              <w:ind w:right="24"/>
              <w:spacing w:after="0"/>
              <w:rPr>
                <w:sz w:val="20"/>
                <w:szCs w:val="20"/>
                <w:color w:val="auto"/>
              </w:rPr>
            </w:pPr>
            <w:r>
              <w:rPr>
                <w:rFonts w:ascii="Arial" w:cs="Arial" w:eastAsia="Arial" w:hAnsi="Arial"/>
                <w:sz w:val="16"/>
                <w:szCs w:val="16"/>
                <w:color w:val="auto"/>
              </w:rPr>
              <w:t>199</w:t>
            </w:r>
          </w:p>
        </w:tc>
        <w:tc>
          <w:tcPr>
            <w:tcW w:w="12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right w:val="single" w:sz="8" w:color="E5E5E5"/>
            </w:tcBorders>
            <w:shd w:val="clear" w:color="auto" w:fill="DBDBDB"/>
          </w:tcPr>
          <w:p>
            <w:pPr>
              <w:jc w:val="right"/>
              <w:ind w:right="19"/>
              <w:spacing w:after="0"/>
              <w:rPr>
                <w:sz w:val="20"/>
                <w:szCs w:val="20"/>
                <w:color w:val="auto"/>
              </w:rPr>
            </w:pPr>
            <w:r>
              <w:rPr>
                <w:rFonts w:ascii="Arial" w:cs="Arial" w:eastAsia="Arial" w:hAnsi="Arial"/>
                <w:sz w:val="16"/>
                <w:szCs w:val="16"/>
                <w:color w:val="auto"/>
              </w:rPr>
              <w:t>997</w:t>
            </w:r>
          </w:p>
        </w:tc>
        <w:tc>
          <w:tcPr>
            <w:tcW w:w="12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right w:val="single" w:sz="8" w:color="E5E5E5"/>
            </w:tcBorders>
            <w:shd w:val="clear" w:color="auto" w:fill="DBDBDB"/>
          </w:tcPr>
          <w:p>
            <w:pPr>
              <w:jc w:val="right"/>
              <w:ind w:right="19"/>
              <w:spacing w:after="0"/>
              <w:rPr>
                <w:sz w:val="20"/>
                <w:szCs w:val="20"/>
                <w:color w:val="auto"/>
              </w:rPr>
            </w:pPr>
            <w:r>
              <w:rPr>
                <w:rFonts w:ascii="Arial" w:cs="Arial" w:eastAsia="Arial" w:hAnsi="Arial"/>
                <w:sz w:val="16"/>
                <w:szCs w:val="16"/>
                <w:color w:val="auto"/>
              </w:rPr>
              <w:t>1,336</w:t>
            </w:r>
          </w:p>
        </w:tc>
        <w:tc>
          <w:tcPr>
            <w:tcW w:w="0" w:type="dxa"/>
            <w:vAlign w:val="bottom"/>
          </w:tcPr>
          <w:p>
            <w:pPr>
              <w:spacing w:after="0"/>
              <w:rPr>
                <w:sz w:val="1"/>
                <w:szCs w:val="1"/>
                <w:color w:val="auto"/>
              </w:rPr>
            </w:pPr>
          </w:p>
        </w:tc>
      </w:tr>
      <w:tr>
        <w:trPr>
          <w:trHeight w:val="215"/>
        </w:trPr>
        <w:tc>
          <w:tcPr>
            <w:tcW w:w="580" w:type="dxa"/>
            <w:vAlign w:val="bottom"/>
            <w:tcBorders>
              <w:left w:val="single" w:sz="8" w:color="E5E5E5"/>
              <w:right w:val="single" w:sz="8" w:color="E5E5E5"/>
            </w:tcBorders>
          </w:tcPr>
          <w:p>
            <w:pPr>
              <w:jc w:val="right"/>
              <w:spacing w:after="0"/>
              <w:rPr>
                <w:sz w:val="20"/>
                <w:szCs w:val="20"/>
                <w:color w:val="auto"/>
              </w:rPr>
            </w:pPr>
            <w:r>
              <w:rPr>
                <w:rFonts w:ascii="Arial" w:cs="Arial" w:eastAsia="Arial" w:hAnsi="Arial"/>
                <w:sz w:val="16"/>
                <w:szCs w:val="16"/>
                <w:color w:val="auto"/>
              </w:rPr>
              <w:t>2021</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right w:val="single" w:sz="8" w:color="E5E5E5"/>
            </w:tcBorders>
          </w:tcPr>
          <w:p>
            <w:pPr>
              <w:jc w:val="right"/>
              <w:ind w:right="23"/>
              <w:spacing w:after="0"/>
              <w:rPr>
                <w:sz w:val="20"/>
                <w:szCs w:val="20"/>
                <w:color w:val="auto"/>
              </w:rPr>
            </w:pPr>
            <w:r>
              <w:rPr>
                <w:rFonts w:ascii="Arial" w:cs="Arial" w:eastAsia="Arial" w:hAnsi="Arial"/>
                <w:sz w:val="16"/>
                <w:szCs w:val="16"/>
                <w:color w:val="auto"/>
              </w:rPr>
              <w:t>7,452,895</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right w:val="single" w:sz="8" w:color="E5E5E5"/>
            </w:tcBorders>
          </w:tcPr>
          <w:p>
            <w:pPr>
              <w:jc w:val="right"/>
              <w:ind w:right="24"/>
              <w:spacing w:after="0"/>
              <w:rPr>
                <w:sz w:val="20"/>
                <w:szCs w:val="20"/>
                <w:color w:val="auto"/>
              </w:rPr>
            </w:pPr>
            <w:r>
              <w:rPr>
                <w:rFonts w:ascii="Arial" w:cs="Arial" w:eastAsia="Arial" w:hAnsi="Arial"/>
                <w:sz w:val="16"/>
                <w:szCs w:val="16"/>
                <w:color w:val="auto"/>
              </w:rPr>
              <w:t>9,655,142</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1540" w:type="dxa"/>
            <w:vAlign w:val="bottom"/>
            <w:tcBorders>
              <w:right w:val="single" w:sz="8" w:color="E5E5E5"/>
            </w:tcBorders>
          </w:tcPr>
          <w:p>
            <w:pPr>
              <w:jc w:val="right"/>
              <w:ind w:right="19"/>
              <w:spacing w:after="0"/>
              <w:rPr>
                <w:sz w:val="20"/>
                <w:szCs w:val="20"/>
                <w:color w:val="auto"/>
              </w:rPr>
            </w:pPr>
            <w:r>
              <w:rPr>
                <w:rFonts w:ascii="Arial" w:cs="Arial" w:eastAsia="Arial" w:hAnsi="Arial"/>
                <w:sz w:val="16"/>
                <w:szCs w:val="16"/>
                <w:color w:val="auto"/>
              </w:rPr>
              <w:t>1,675,553</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right w:val="single" w:sz="8" w:color="E5E5E5"/>
            </w:tcBorders>
          </w:tcPr>
          <w:p>
            <w:pPr>
              <w:jc w:val="right"/>
              <w:ind w:right="19"/>
              <w:spacing w:after="0"/>
              <w:rPr>
                <w:sz w:val="20"/>
                <w:szCs w:val="20"/>
                <w:color w:val="auto"/>
              </w:rPr>
            </w:pPr>
            <w:r>
              <w:rPr>
                <w:rFonts w:ascii="Arial" w:cs="Arial" w:eastAsia="Arial" w:hAnsi="Arial"/>
                <w:sz w:val="16"/>
                <w:szCs w:val="16"/>
                <w:color w:val="auto"/>
              </w:rPr>
              <w:t>2,032,412</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right w:val="single" w:sz="8" w:color="E5E5E5"/>
            </w:tcBorders>
          </w:tcPr>
          <w:p>
            <w:pPr>
              <w:jc w:val="right"/>
              <w:ind w:right="23"/>
              <w:spacing w:after="0"/>
              <w:rPr>
                <w:sz w:val="20"/>
                <w:szCs w:val="20"/>
                <w:color w:val="auto"/>
              </w:rPr>
            </w:pPr>
            <w:r>
              <w:rPr>
                <w:rFonts w:ascii="Arial" w:cs="Arial" w:eastAsia="Arial" w:hAnsi="Arial"/>
                <w:sz w:val="16"/>
                <w:szCs w:val="16"/>
                <w:color w:val="auto"/>
              </w:rPr>
              <w:t>155</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right w:val="single" w:sz="8" w:color="E5E5E5"/>
            </w:tcBorders>
          </w:tcPr>
          <w:p>
            <w:pPr>
              <w:jc w:val="right"/>
              <w:ind w:right="24"/>
              <w:spacing w:after="0"/>
              <w:rPr>
                <w:sz w:val="20"/>
                <w:szCs w:val="20"/>
                <w:color w:val="auto"/>
              </w:rPr>
            </w:pPr>
            <w:r>
              <w:rPr>
                <w:rFonts w:ascii="Arial" w:cs="Arial" w:eastAsia="Arial" w:hAnsi="Arial"/>
                <w:sz w:val="16"/>
                <w:szCs w:val="16"/>
                <w:color w:val="auto"/>
              </w:rPr>
              <w:t>215</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right w:val="single" w:sz="8" w:color="E5E5E5"/>
            </w:tcBorders>
          </w:tcPr>
          <w:p>
            <w:pPr>
              <w:jc w:val="right"/>
              <w:ind w:right="19"/>
              <w:spacing w:after="0"/>
              <w:rPr>
                <w:sz w:val="20"/>
                <w:szCs w:val="20"/>
                <w:color w:val="auto"/>
              </w:rPr>
            </w:pPr>
            <w:r>
              <w:rPr>
                <w:rFonts w:ascii="Arial" w:cs="Arial" w:eastAsia="Arial" w:hAnsi="Arial"/>
                <w:sz w:val="16"/>
                <w:szCs w:val="16"/>
                <w:color w:val="auto"/>
              </w:rPr>
              <w:t>532</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right w:val="single" w:sz="8" w:color="E5E5E5"/>
            </w:tcBorders>
          </w:tcPr>
          <w:p>
            <w:pPr>
              <w:jc w:val="right"/>
              <w:ind w:right="19"/>
              <w:spacing w:after="0"/>
              <w:rPr>
                <w:sz w:val="20"/>
                <w:szCs w:val="20"/>
                <w:color w:val="auto"/>
              </w:rPr>
            </w:pPr>
            <w:r>
              <w:rPr>
                <w:rFonts w:ascii="Arial" w:cs="Arial" w:eastAsia="Arial" w:hAnsi="Arial"/>
                <w:sz w:val="16"/>
                <w:szCs w:val="16"/>
                <w:color w:val="auto"/>
              </w:rPr>
              <w:t>828</w:t>
            </w:r>
          </w:p>
        </w:tc>
        <w:tc>
          <w:tcPr>
            <w:tcW w:w="0" w:type="dxa"/>
            <w:vAlign w:val="bottom"/>
          </w:tcPr>
          <w:p>
            <w:pPr>
              <w:spacing w:after="0"/>
              <w:rPr>
                <w:sz w:val="1"/>
                <w:szCs w:val="1"/>
                <w:color w:val="auto"/>
              </w:rPr>
            </w:pPr>
          </w:p>
        </w:tc>
      </w:tr>
      <w:tr>
        <w:trPr>
          <w:trHeight w:val="244"/>
        </w:trPr>
        <w:tc>
          <w:tcPr>
            <w:tcW w:w="580" w:type="dxa"/>
            <w:vAlign w:val="bottom"/>
            <w:tcBorders>
              <w:left w:val="single" w:sz="8" w:color="E5E5E5"/>
              <w:right w:val="single" w:sz="8" w:color="E5E5E5"/>
            </w:tcBorders>
            <w:shd w:val="clear" w:color="auto" w:fill="DBDBDB"/>
          </w:tcPr>
          <w:p>
            <w:pPr>
              <w:jc w:val="right"/>
              <w:spacing w:after="0"/>
              <w:rPr>
                <w:sz w:val="20"/>
                <w:szCs w:val="20"/>
                <w:color w:val="auto"/>
              </w:rPr>
            </w:pPr>
            <w:r>
              <w:rPr>
                <w:rFonts w:ascii="Arial" w:cs="Arial" w:eastAsia="Arial" w:hAnsi="Arial"/>
                <w:sz w:val="16"/>
                <w:szCs w:val="16"/>
                <w:color w:val="auto"/>
              </w:rPr>
              <w:t>2020</w:t>
            </w:r>
          </w:p>
        </w:tc>
        <w:tc>
          <w:tcPr>
            <w:tcW w:w="12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right w:val="single" w:sz="8" w:color="E5E5E5"/>
            </w:tcBorders>
            <w:shd w:val="clear" w:color="auto" w:fill="DBDBDB"/>
          </w:tcPr>
          <w:p>
            <w:pPr>
              <w:jc w:val="right"/>
              <w:ind w:right="23"/>
              <w:spacing w:after="0"/>
              <w:rPr>
                <w:sz w:val="20"/>
                <w:szCs w:val="20"/>
                <w:color w:val="auto"/>
              </w:rPr>
            </w:pPr>
            <w:r>
              <w:rPr>
                <w:rFonts w:ascii="Arial" w:cs="Arial" w:eastAsia="Arial" w:hAnsi="Arial"/>
                <w:sz w:val="16"/>
                <w:szCs w:val="16"/>
                <w:color w:val="auto"/>
              </w:rPr>
              <w:t>6,454,000</w:t>
            </w:r>
          </w:p>
        </w:tc>
        <w:tc>
          <w:tcPr>
            <w:tcW w:w="12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right w:val="single" w:sz="8" w:color="E5E5E5"/>
            </w:tcBorders>
            <w:shd w:val="clear" w:color="auto" w:fill="DBDBDB"/>
          </w:tcPr>
          <w:p>
            <w:pPr>
              <w:jc w:val="right"/>
              <w:ind w:right="24"/>
              <w:spacing w:after="0"/>
              <w:rPr>
                <w:sz w:val="20"/>
                <w:szCs w:val="20"/>
                <w:color w:val="auto"/>
              </w:rPr>
            </w:pPr>
            <w:r>
              <w:rPr>
                <w:rFonts w:ascii="Arial" w:cs="Arial" w:eastAsia="Arial" w:hAnsi="Arial"/>
                <w:sz w:val="16"/>
                <w:szCs w:val="16"/>
                <w:color w:val="auto"/>
              </w:rPr>
              <w:t>8,185,020</w:t>
            </w:r>
          </w:p>
        </w:tc>
        <w:tc>
          <w:tcPr>
            <w:tcW w:w="100" w:type="dxa"/>
            <w:vAlign w:val="bottom"/>
            <w:shd w:val="clear" w:color="auto" w:fill="DBDBDB"/>
          </w:tcPr>
          <w:p>
            <w:pPr>
              <w:spacing w:after="0"/>
              <w:rPr>
                <w:sz w:val="20"/>
                <w:szCs w:val="20"/>
                <w:color w:val="auto"/>
              </w:rPr>
            </w:pPr>
            <w:r>
              <w:rPr>
                <w:rFonts w:ascii="Arial" w:cs="Arial" w:eastAsia="Arial" w:hAnsi="Arial"/>
                <w:sz w:val="16"/>
                <w:szCs w:val="16"/>
                <w:color w:val="auto"/>
                <w:w w:val="89"/>
              </w:rPr>
              <w:t>$</w:t>
            </w:r>
          </w:p>
        </w:tc>
        <w:tc>
          <w:tcPr>
            <w:tcW w:w="1540" w:type="dxa"/>
            <w:vAlign w:val="bottom"/>
            <w:tcBorders>
              <w:right w:val="single" w:sz="8" w:color="E5E5E5"/>
            </w:tcBorders>
            <w:shd w:val="clear" w:color="auto" w:fill="DBDBDB"/>
          </w:tcPr>
          <w:p>
            <w:pPr>
              <w:jc w:val="right"/>
              <w:ind w:right="19"/>
              <w:spacing w:after="0"/>
              <w:rPr>
                <w:sz w:val="20"/>
                <w:szCs w:val="20"/>
                <w:color w:val="auto"/>
              </w:rPr>
            </w:pPr>
            <w:r>
              <w:rPr>
                <w:rFonts w:ascii="Arial" w:cs="Arial" w:eastAsia="Arial" w:hAnsi="Arial"/>
                <w:sz w:val="16"/>
                <w:szCs w:val="16"/>
                <w:color w:val="auto"/>
              </w:rPr>
              <w:t>1,775,906</w:t>
            </w:r>
          </w:p>
        </w:tc>
        <w:tc>
          <w:tcPr>
            <w:tcW w:w="10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right w:val="single" w:sz="8" w:color="E5E5E5"/>
            </w:tcBorders>
            <w:shd w:val="clear" w:color="auto" w:fill="DBDBDB"/>
          </w:tcPr>
          <w:p>
            <w:pPr>
              <w:jc w:val="right"/>
              <w:ind w:right="19"/>
              <w:spacing w:after="0"/>
              <w:rPr>
                <w:sz w:val="20"/>
                <w:szCs w:val="20"/>
                <w:color w:val="auto"/>
              </w:rPr>
            </w:pPr>
            <w:r>
              <w:rPr>
                <w:rFonts w:ascii="Arial" w:cs="Arial" w:eastAsia="Arial" w:hAnsi="Arial"/>
                <w:sz w:val="16"/>
                <w:szCs w:val="16"/>
                <w:color w:val="auto"/>
              </w:rPr>
              <w:t>2,245,508</w:t>
            </w:r>
          </w:p>
        </w:tc>
        <w:tc>
          <w:tcPr>
            <w:tcW w:w="12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right w:val="single" w:sz="8" w:color="E5E5E5"/>
            </w:tcBorders>
            <w:shd w:val="clear" w:color="auto" w:fill="DBDBDB"/>
          </w:tcPr>
          <w:p>
            <w:pPr>
              <w:jc w:val="right"/>
              <w:ind w:right="23"/>
              <w:spacing w:after="0"/>
              <w:rPr>
                <w:sz w:val="20"/>
                <w:szCs w:val="20"/>
                <w:color w:val="auto"/>
              </w:rPr>
            </w:pPr>
            <w:r>
              <w:rPr>
                <w:rFonts w:ascii="Arial" w:cs="Arial" w:eastAsia="Arial" w:hAnsi="Arial"/>
                <w:sz w:val="16"/>
                <w:szCs w:val="16"/>
                <w:color w:val="auto"/>
              </w:rPr>
              <w:t>130</w:t>
            </w: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right w:val="single" w:sz="8" w:color="E5E5E5"/>
            </w:tcBorders>
            <w:shd w:val="clear" w:color="auto" w:fill="DBDBDB"/>
          </w:tcPr>
          <w:p>
            <w:pPr>
              <w:jc w:val="right"/>
              <w:ind w:right="24"/>
              <w:spacing w:after="0"/>
              <w:rPr>
                <w:sz w:val="20"/>
                <w:szCs w:val="20"/>
                <w:color w:val="auto"/>
              </w:rPr>
            </w:pPr>
            <w:r>
              <w:rPr>
                <w:rFonts w:ascii="Arial" w:cs="Arial" w:eastAsia="Arial" w:hAnsi="Arial"/>
                <w:sz w:val="16"/>
                <w:szCs w:val="16"/>
                <w:color w:val="auto"/>
              </w:rPr>
              <w:t>147</w:t>
            </w:r>
          </w:p>
        </w:tc>
        <w:tc>
          <w:tcPr>
            <w:tcW w:w="12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right w:val="single" w:sz="8" w:color="E5E5E5"/>
            </w:tcBorders>
            <w:shd w:val="clear" w:color="auto" w:fill="DBDBDB"/>
          </w:tcPr>
          <w:p>
            <w:pPr>
              <w:jc w:val="right"/>
              <w:ind w:right="19"/>
              <w:spacing w:after="0"/>
              <w:rPr>
                <w:sz w:val="20"/>
                <w:szCs w:val="20"/>
                <w:color w:val="auto"/>
              </w:rPr>
            </w:pPr>
            <w:r>
              <w:rPr>
                <w:rFonts w:ascii="Arial" w:cs="Arial" w:eastAsia="Arial" w:hAnsi="Arial"/>
                <w:sz w:val="16"/>
                <w:szCs w:val="16"/>
                <w:color w:val="auto"/>
              </w:rPr>
              <w:t>254</w:t>
            </w:r>
          </w:p>
        </w:tc>
        <w:tc>
          <w:tcPr>
            <w:tcW w:w="12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right w:val="single" w:sz="8" w:color="E5E5E5"/>
            </w:tcBorders>
            <w:shd w:val="clear" w:color="auto" w:fill="DBDBDB"/>
          </w:tcPr>
          <w:p>
            <w:pPr>
              <w:jc w:val="right"/>
              <w:ind w:right="19"/>
              <w:spacing w:after="0"/>
              <w:rPr>
                <w:sz w:val="20"/>
                <w:szCs w:val="20"/>
                <w:color w:val="auto"/>
              </w:rPr>
            </w:pPr>
            <w:r>
              <w:rPr>
                <w:rFonts w:ascii="Arial" w:cs="Arial" w:eastAsia="Arial" w:hAnsi="Arial"/>
                <w:sz w:val="16"/>
                <w:szCs w:val="16"/>
                <w:color w:val="auto"/>
              </w:rPr>
              <w:t>427</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320" w:hanging="312"/>
        <w:spacing w:after="0"/>
        <w:tabs>
          <w:tab w:leader="none" w:pos="320" w:val="left"/>
        </w:tabs>
        <w:numPr>
          <w:ilvl w:val="0"/>
          <w:numId w:val="65"/>
        </w:numPr>
        <w:rPr>
          <w:rFonts w:ascii="Arial" w:cs="Arial" w:eastAsia="Arial" w:hAnsi="Arial"/>
          <w:sz w:val="16"/>
          <w:szCs w:val="16"/>
          <w:color w:val="auto"/>
        </w:rPr>
      </w:pPr>
      <w:r>
        <w:rPr>
          <w:rFonts w:ascii="Arial" w:cs="Arial" w:eastAsia="Arial" w:hAnsi="Arial"/>
          <w:sz w:val="16"/>
          <w:szCs w:val="16"/>
          <w:color w:val="auto"/>
        </w:rPr>
        <w:t>Mr. Hult was our Principal Executive Officer ("PEO") for the full year for each of 2024, 2023, 2022, 2021 and 2020.</w:t>
      </w:r>
    </w:p>
    <w:p>
      <w:pPr>
        <w:spacing w:after="0" w:line="59" w:lineRule="exact"/>
        <w:rPr>
          <w:rFonts w:ascii="Arial" w:cs="Arial" w:eastAsia="Arial" w:hAnsi="Arial"/>
          <w:sz w:val="16"/>
          <w:szCs w:val="16"/>
          <w:color w:val="auto"/>
        </w:rPr>
      </w:pPr>
    </w:p>
    <w:p>
      <w:pPr>
        <w:ind w:left="340" w:right="40" w:hanging="332"/>
        <w:spacing w:after="0" w:line="271" w:lineRule="auto"/>
        <w:tabs>
          <w:tab w:leader="none" w:pos="335" w:val="left"/>
        </w:tabs>
        <w:numPr>
          <w:ilvl w:val="0"/>
          <w:numId w:val="65"/>
        </w:numPr>
        <w:rPr>
          <w:rFonts w:ascii="Arial" w:cs="Arial" w:eastAsia="Arial" w:hAnsi="Arial"/>
          <w:sz w:val="16"/>
          <w:szCs w:val="16"/>
          <w:color w:val="auto"/>
        </w:rPr>
      </w:pPr>
      <w:r>
        <w:rPr>
          <w:rFonts w:ascii="Arial" w:cs="Arial" w:eastAsia="Arial" w:hAnsi="Arial"/>
          <w:sz w:val="16"/>
          <w:szCs w:val="16"/>
          <w:color w:val="auto"/>
        </w:rPr>
        <w:t>For each of 2024, 2023, 2022, 2021, and 2020 (each, a “Covered Year”), in determining both the compensation actually paid to our PEO and the average compensation actually paid to our non-PEO named executive officers for purposes of this column, we deducted from or added back to the total amounts of compensation reported as the Summary Compensation Table total (or average Summary Compensation Table total) certain amounts in accordance with SEC rules as itemized below for 2024:</w:t>
      </w:r>
    </w:p>
    <w:p>
      <w:pPr>
        <w:spacing w:after="0" w:line="47" w:lineRule="exact"/>
        <w:rPr>
          <w:sz w:val="20"/>
          <w:szCs w:val="20"/>
          <w:color w:val="auto"/>
        </w:rPr>
      </w:pPr>
    </w:p>
    <w:tbl>
      <w:tblPr>
        <w:tblLayout w:type="fixed"/>
        <w:tblInd w:w="990" w:type="dxa"/>
        <w:tblCellMar>
          <w:top w:w="0" w:type="dxa"/>
          <w:left w:w="0" w:type="dxa"/>
          <w:bottom w:w="0" w:type="dxa"/>
          <w:right w:w="0" w:type="dxa"/>
        </w:tblCellMar>
      </w:tblPr>
      <w:tr>
        <w:trPr>
          <w:trHeight w:val="236"/>
        </w:trPr>
        <w:tc>
          <w:tcPr>
            <w:tcW w:w="7940" w:type="dxa"/>
            <w:vAlign w:val="bottom"/>
            <w:tcBorders>
              <w:left w:val="single" w:sz="8" w:color="E5E5E5"/>
              <w:right w:val="single" w:sz="8" w:color="E5E5E5"/>
            </w:tcBorders>
            <w:shd w:val="clear" w:color="auto" w:fill="999999"/>
          </w:tcPr>
          <w:p>
            <w:pPr>
              <w:ind w:left="40"/>
              <w:spacing w:after="0"/>
              <w:rPr>
                <w:sz w:val="20"/>
                <w:szCs w:val="20"/>
                <w:color w:val="auto"/>
              </w:rPr>
            </w:pPr>
            <w:r>
              <w:rPr>
                <w:rFonts w:ascii="Arial" w:cs="Arial" w:eastAsia="Arial" w:hAnsi="Arial"/>
                <w:sz w:val="16"/>
                <w:szCs w:val="16"/>
                <w:b w:val="1"/>
                <w:bCs w:val="1"/>
                <w:color w:val="FFFFFF"/>
              </w:rPr>
              <w:t>Item Added (Deducted)</w:t>
            </w:r>
          </w:p>
        </w:tc>
        <w:tc>
          <w:tcPr>
            <w:tcW w:w="260" w:type="dxa"/>
            <w:vAlign w:val="bottom"/>
            <w:shd w:val="clear" w:color="auto" w:fill="999999"/>
          </w:tcPr>
          <w:p>
            <w:pPr>
              <w:spacing w:after="0"/>
              <w:rPr>
                <w:sz w:val="20"/>
                <w:szCs w:val="20"/>
                <w:color w:val="auto"/>
              </w:rPr>
            </w:pPr>
          </w:p>
        </w:tc>
        <w:tc>
          <w:tcPr>
            <w:tcW w:w="1060" w:type="dxa"/>
            <w:vAlign w:val="bottom"/>
            <w:tcBorders>
              <w:right w:val="single" w:sz="8" w:color="E5E5E5"/>
            </w:tcBorders>
            <w:shd w:val="clear" w:color="auto" w:fill="999999"/>
          </w:tcPr>
          <w:p>
            <w:pPr>
              <w:jc w:val="right"/>
              <w:spacing w:after="0"/>
              <w:rPr>
                <w:sz w:val="20"/>
                <w:szCs w:val="20"/>
                <w:color w:val="auto"/>
              </w:rPr>
            </w:pPr>
            <w:r>
              <w:rPr>
                <w:rFonts w:ascii="Arial" w:cs="Arial" w:eastAsia="Arial" w:hAnsi="Arial"/>
                <w:sz w:val="16"/>
                <w:szCs w:val="16"/>
                <w:b w:val="1"/>
                <w:bCs w:val="1"/>
                <w:color w:val="FFFFFF"/>
              </w:rPr>
              <w:t>2024</w:t>
            </w:r>
          </w:p>
        </w:tc>
        <w:tc>
          <w:tcPr>
            <w:tcW w:w="0" w:type="dxa"/>
            <w:vAlign w:val="bottom"/>
          </w:tcPr>
          <w:p>
            <w:pPr>
              <w:spacing w:after="0"/>
              <w:rPr>
                <w:sz w:val="1"/>
                <w:szCs w:val="1"/>
                <w:color w:val="auto"/>
              </w:rPr>
            </w:pPr>
          </w:p>
        </w:tc>
      </w:tr>
      <w:tr>
        <w:trPr>
          <w:trHeight w:val="236"/>
        </w:trPr>
        <w:tc>
          <w:tcPr>
            <w:tcW w:w="7940" w:type="dxa"/>
            <w:vAlign w:val="bottom"/>
            <w:tcBorders>
              <w:left w:val="single" w:sz="8" w:color="E5E5E5"/>
              <w:right w:val="single" w:sz="8" w:color="E5E5E5"/>
            </w:tcBorders>
            <w:shd w:val="clear" w:color="auto" w:fill="DBDBDB"/>
          </w:tcPr>
          <w:p>
            <w:pPr>
              <w:ind w:left="40"/>
              <w:spacing w:after="0"/>
              <w:rPr>
                <w:sz w:val="20"/>
                <w:szCs w:val="20"/>
                <w:color w:val="auto"/>
              </w:rPr>
            </w:pPr>
            <w:r>
              <w:rPr>
                <w:rFonts w:ascii="Arial" w:cs="Arial" w:eastAsia="Arial" w:hAnsi="Arial"/>
                <w:sz w:val="16"/>
                <w:szCs w:val="16"/>
                <w:b w:val="1"/>
                <w:bCs w:val="1"/>
                <w:color w:val="auto"/>
              </w:rPr>
              <w:t>For PEO (Mr. Hult):</w:t>
            </w:r>
          </w:p>
        </w:tc>
        <w:tc>
          <w:tcPr>
            <w:tcW w:w="260" w:type="dxa"/>
            <w:vAlign w:val="bottom"/>
            <w:shd w:val="clear" w:color="auto" w:fill="DBDBDB"/>
          </w:tcPr>
          <w:p>
            <w:pPr>
              <w:spacing w:after="0"/>
              <w:rPr>
                <w:sz w:val="20"/>
                <w:szCs w:val="20"/>
                <w:color w:val="auto"/>
              </w:rPr>
            </w:pPr>
          </w:p>
        </w:tc>
        <w:tc>
          <w:tcPr>
            <w:tcW w:w="1060" w:type="dxa"/>
            <w:vAlign w:val="bottom"/>
            <w:tcBorders>
              <w:right w:val="single" w:sz="8" w:color="E5E5E5"/>
            </w:tcBorders>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7940" w:type="dxa"/>
            <w:vAlign w:val="bottom"/>
            <w:tcBorders>
              <w:left w:val="single" w:sz="8" w:color="E5E5E5"/>
              <w:right w:val="single" w:sz="8" w:color="E5E5E5"/>
            </w:tcBorders>
          </w:tcPr>
          <w:p>
            <w:pPr>
              <w:ind w:left="80"/>
              <w:spacing w:after="0"/>
              <w:rPr>
                <w:sz w:val="20"/>
                <w:szCs w:val="20"/>
                <w:color w:val="auto"/>
              </w:rPr>
            </w:pPr>
            <w:r>
              <w:rPr>
                <w:rFonts w:ascii="Arial" w:cs="Arial" w:eastAsia="Arial" w:hAnsi="Arial"/>
                <w:sz w:val="16"/>
                <w:szCs w:val="16"/>
                <w:color w:val="auto"/>
              </w:rPr>
              <w:t>- SCT “Stock Awards” column value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Borders>
              <w:right w:val="single" w:sz="8" w:color="E5E5E5"/>
            </w:tcBorders>
          </w:tcPr>
          <w:p>
            <w:pPr>
              <w:jc w:val="right"/>
              <w:spacing w:after="0"/>
              <w:rPr>
                <w:sz w:val="20"/>
                <w:szCs w:val="20"/>
                <w:color w:val="auto"/>
              </w:rPr>
            </w:pPr>
            <w:r>
              <w:rPr>
                <w:rFonts w:ascii="Arial" w:cs="Arial" w:eastAsia="Arial" w:hAnsi="Arial"/>
                <w:sz w:val="16"/>
                <w:szCs w:val="16"/>
                <w:color w:val="auto"/>
              </w:rPr>
              <w:t>(6,000,045)</w:t>
            </w:r>
          </w:p>
        </w:tc>
        <w:tc>
          <w:tcPr>
            <w:tcW w:w="0" w:type="dxa"/>
            <w:vAlign w:val="bottom"/>
          </w:tcPr>
          <w:p>
            <w:pPr>
              <w:spacing w:after="0"/>
              <w:rPr>
                <w:sz w:val="1"/>
                <w:szCs w:val="1"/>
                <w:color w:val="auto"/>
              </w:rPr>
            </w:pPr>
          </w:p>
        </w:tc>
      </w:tr>
      <w:tr>
        <w:trPr>
          <w:trHeight w:val="43"/>
        </w:trPr>
        <w:tc>
          <w:tcPr>
            <w:tcW w:w="7940" w:type="dxa"/>
            <w:vAlign w:val="bottom"/>
            <w:tcBorders>
              <w:left w:val="single" w:sz="8" w:color="E5E5E5"/>
              <w:bottom w:val="single" w:sz="8" w:color="E5E5E5"/>
              <w:right w:val="single" w:sz="8" w:color="E5E5E5"/>
            </w:tcBorders>
          </w:tcPr>
          <w:p>
            <w:pPr>
              <w:spacing w:after="0"/>
              <w:rPr>
                <w:sz w:val="3"/>
                <w:szCs w:val="3"/>
                <w:color w:val="auto"/>
              </w:rPr>
            </w:pPr>
          </w:p>
        </w:tc>
        <w:tc>
          <w:tcPr>
            <w:tcW w:w="260" w:type="dxa"/>
            <w:vAlign w:val="bottom"/>
            <w:tcBorders>
              <w:bottom w:val="single" w:sz="8" w:color="E5E5E5"/>
            </w:tcBorders>
          </w:tcPr>
          <w:p>
            <w:pPr>
              <w:spacing w:after="0"/>
              <w:rPr>
                <w:sz w:val="3"/>
                <w:szCs w:val="3"/>
                <w:color w:val="auto"/>
              </w:rPr>
            </w:pPr>
          </w:p>
        </w:tc>
        <w:tc>
          <w:tcPr>
            <w:tcW w:w="1060" w:type="dxa"/>
            <w:vAlign w:val="bottom"/>
            <w:tcBorders>
              <w:bottom w:val="single" w:sz="8" w:color="E5E5E5"/>
              <w:right w:val="single" w:sz="8" w:color="E5E5E5"/>
            </w:tcBorders>
          </w:tcPr>
          <w:p>
            <w:pPr>
              <w:spacing w:after="0"/>
              <w:rPr>
                <w:sz w:val="3"/>
                <w:szCs w:val="3"/>
                <w:color w:val="auto"/>
              </w:rPr>
            </w:pPr>
          </w:p>
        </w:tc>
        <w:tc>
          <w:tcPr>
            <w:tcW w:w="0" w:type="dxa"/>
            <w:vAlign w:val="bottom"/>
          </w:tcPr>
          <w:p>
            <w:pPr>
              <w:spacing w:after="0"/>
              <w:rPr>
                <w:sz w:val="1"/>
                <w:szCs w:val="1"/>
                <w:color w:val="auto"/>
              </w:rPr>
            </w:pPr>
          </w:p>
        </w:tc>
      </w:tr>
      <w:tr>
        <w:trPr>
          <w:trHeight w:val="290"/>
        </w:trPr>
        <w:tc>
          <w:tcPr>
            <w:tcW w:w="7940" w:type="dxa"/>
            <w:vAlign w:val="bottom"/>
            <w:tcBorders>
              <w:left w:val="single" w:sz="8" w:color="E5E5E5"/>
              <w:right w:val="single" w:sz="8" w:color="E5E5E5"/>
            </w:tcBorders>
          </w:tcPr>
          <w:p>
            <w:pPr>
              <w:ind w:left="80"/>
              <w:spacing w:after="0"/>
              <w:rPr>
                <w:sz w:val="20"/>
                <w:szCs w:val="20"/>
                <w:color w:val="auto"/>
              </w:rPr>
            </w:pPr>
            <w:r>
              <w:rPr>
                <w:rFonts w:ascii="Arial" w:cs="Arial" w:eastAsia="Arial" w:hAnsi="Arial"/>
                <w:sz w:val="16"/>
                <w:szCs w:val="16"/>
                <w:color w:val="auto"/>
              </w:rPr>
              <w:t>+ Covered year-end fair value of equity awards granted in Covered Year that were outstanding and unvested</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Borders>
              <w:right w:val="single" w:sz="8" w:color="E5E5E5"/>
            </w:tcBorders>
          </w:tcPr>
          <w:p>
            <w:pPr>
              <w:jc w:val="right"/>
              <w:ind w:right="19"/>
              <w:spacing w:after="0"/>
              <w:rPr>
                <w:sz w:val="20"/>
                <w:szCs w:val="20"/>
                <w:color w:val="auto"/>
              </w:rPr>
            </w:pPr>
            <w:r>
              <w:rPr>
                <w:rFonts w:ascii="Arial" w:cs="Arial" w:eastAsia="Arial" w:hAnsi="Arial"/>
                <w:sz w:val="16"/>
                <w:szCs w:val="16"/>
                <w:color w:val="auto"/>
              </w:rPr>
              <w:t>5,512,893</w:t>
            </w:r>
          </w:p>
        </w:tc>
        <w:tc>
          <w:tcPr>
            <w:tcW w:w="0" w:type="dxa"/>
            <w:vAlign w:val="bottom"/>
          </w:tcPr>
          <w:p>
            <w:pPr>
              <w:spacing w:after="0"/>
              <w:rPr>
                <w:sz w:val="1"/>
                <w:szCs w:val="1"/>
                <w:color w:val="auto"/>
              </w:rPr>
            </w:pPr>
          </w:p>
        </w:tc>
      </w:tr>
      <w:tr>
        <w:trPr>
          <w:trHeight w:val="203"/>
        </w:trPr>
        <w:tc>
          <w:tcPr>
            <w:tcW w:w="7940" w:type="dxa"/>
            <w:vAlign w:val="bottom"/>
            <w:tcBorders>
              <w:left w:val="single" w:sz="8" w:color="E5E5E5"/>
              <w:bottom w:val="single" w:sz="8" w:color="E5E5E5"/>
              <w:right w:val="single" w:sz="8" w:color="E5E5E5"/>
            </w:tcBorders>
          </w:tcPr>
          <w:p>
            <w:pPr>
              <w:ind w:left="40"/>
              <w:spacing w:after="0"/>
              <w:rPr>
                <w:sz w:val="20"/>
                <w:szCs w:val="20"/>
                <w:color w:val="auto"/>
              </w:rPr>
            </w:pPr>
            <w:r>
              <w:rPr>
                <w:rFonts w:ascii="Arial" w:cs="Arial" w:eastAsia="Arial" w:hAnsi="Arial"/>
                <w:sz w:val="16"/>
                <w:szCs w:val="16"/>
                <w:color w:val="auto"/>
              </w:rPr>
              <w:t>at Covered Year-end</w:t>
            </w:r>
          </w:p>
        </w:tc>
        <w:tc>
          <w:tcPr>
            <w:tcW w:w="260" w:type="dxa"/>
            <w:vAlign w:val="bottom"/>
            <w:tcBorders>
              <w:bottom w:val="single" w:sz="8" w:color="E5E5E5"/>
            </w:tcBorders>
          </w:tcPr>
          <w:p>
            <w:pPr>
              <w:spacing w:after="0"/>
              <w:rPr>
                <w:sz w:val="17"/>
                <w:szCs w:val="17"/>
                <w:color w:val="auto"/>
              </w:rPr>
            </w:pPr>
          </w:p>
        </w:tc>
        <w:tc>
          <w:tcPr>
            <w:tcW w:w="1060" w:type="dxa"/>
            <w:vAlign w:val="bottom"/>
            <w:tcBorders>
              <w:bottom w:val="single" w:sz="8" w:color="E5E5E5"/>
              <w:right w:val="single" w:sz="8" w:color="E5E5E5"/>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7940" w:type="dxa"/>
            <w:vAlign w:val="bottom"/>
            <w:tcBorders>
              <w:left w:val="single" w:sz="8" w:color="E5E5E5"/>
              <w:right w:val="single" w:sz="8" w:color="E5E5E5"/>
            </w:tcBorders>
          </w:tcPr>
          <w:p>
            <w:pPr>
              <w:ind w:left="80"/>
              <w:spacing w:after="0"/>
              <w:rPr>
                <w:sz w:val="20"/>
                <w:szCs w:val="20"/>
                <w:color w:val="auto"/>
              </w:rPr>
            </w:pPr>
            <w:r>
              <w:rPr>
                <w:rFonts w:ascii="Arial" w:cs="Arial" w:eastAsia="Arial" w:hAnsi="Arial"/>
                <w:sz w:val="16"/>
                <w:szCs w:val="16"/>
                <w:color w:val="auto"/>
              </w:rPr>
              <w:t>+/- change in fair value (from prior year-end to Covered Year-end) of equity awards granted in prior years</w:t>
            </w:r>
          </w:p>
        </w:tc>
        <w:tc>
          <w:tcPr>
            <w:tcW w:w="260" w:type="dxa"/>
            <w:vAlign w:val="bottom"/>
            <w:vMerge w:val="restart"/>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Borders>
              <w:right w:val="single" w:sz="8" w:color="E5E5E5"/>
            </w:tcBorders>
            <w:vMerge w:val="restart"/>
          </w:tcPr>
          <w:p>
            <w:pPr>
              <w:jc w:val="right"/>
              <w:ind w:right="19"/>
              <w:spacing w:after="0"/>
              <w:rPr>
                <w:sz w:val="20"/>
                <w:szCs w:val="20"/>
                <w:color w:val="auto"/>
              </w:rPr>
            </w:pPr>
            <w:r>
              <w:rPr>
                <w:rFonts w:ascii="Arial" w:cs="Arial" w:eastAsia="Arial" w:hAnsi="Arial"/>
                <w:sz w:val="16"/>
                <w:szCs w:val="16"/>
                <w:color w:val="auto"/>
              </w:rPr>
              <w:t>410,341</w:t>
            </w:r>
          </w:p>
        </w:tc>
        <w:tc>
          <w:tcPr>
            <w:tcW w:w="0" w:type="dxa"/>
            <w:vAlign w:val="bottom"/>
          </w:tcPr>
          <w:p>
            <w:pPr>
              <w:spacing w:after="0"/>
              <w:rPr>
                <w:sz w:val="1"/>
                <w:szCs w:val="1"/>
                <w:color w:val="auto"/>
              </w:rPr>
            </w:pPr>
          </w:p>
        </w:tc>
      </w:tr>
      <w:tr>
        <w:trPr>
          <w:trHeight w:val="147"/>
        </w:trPr>
        <w:tc>
          <w:tcPr>
            <w:tcW w:w="7940" w:type="dxa"/>
            <w:vAlign w:val="bottom"/>
            <w:tcBorders>
              <w:left w:val="single" w:sz="8" w:color="E5E5E5"/>
              <w:right w:val="single" w:sz="8" w:color="E5E5E5"/>
            </w:tcBorders>
            <w:vMerge w:val="restart"/>
          </w:tcPr>
          <w:p>
            <w:pPr>
              <w:ind w:left="40"/>
              <w:spacing w:after="0"/>
              <w:rPr>
                <w:sz w:val="20"/>
                <w:szCs w:val="20"/>
                <w:color w:val="auto"/>
              </w:rPr>
            </w:pPr>
            <w:r>
              <w:rPr>
                <w:rFonts w:ascii="Arial" w:cs="Arial" w:eastAsia="Arial" w:hAnsi="Arial"/>
                <w:sz w:val="16"/>
                <w:szCs w:val="16"/>
                <w:color w:val="auto"/>
              </w:rPr>
              <w:t>that were outstanding and unvested at Covered Year-end</w:t>
            </w:r>
          </w:p>
        </w:tc>
        <w:tc>
          <w:tcPr>
            <w:tcW w:w="260" w:type="dxa"/>
            <w:vAlign w:val="bottom"/>
            <w:vMerge w:val="continue"/>
          </w:tcPr>
          <w:p>
            <w:pPr>
              <w:spacing w:after="0"/>
              <w:rPr>
                <w:sz w:val="12"/>
                <w:szCs w:val="12"/>
                <w:color w:val="auto"/>
              </w:rPr>
            </w:pPr>
          </w:p>
        </w:tc>
        <w:tc>
          <w:tcPr>
            <w:tcW w:w="1060" w:type="dxa"/>
            <w:vAlign w:val="bottom"/>
            <w:tcBorders>
              <w:right w:val="single" w:sz="8" w:color="E5E5E5"/>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7940" w:type="dxa"/>
            <w:vAlign w:val="bottom"/>
            <w:tcBorders>
              <w:left w:val="single" w:sz="8" w:color="E5E5E5"/>
              <w:right w:val="single" w:sz="8" w:color="E5E5E5"/>
            </w:tcBorders>
            <w:vMerge w:val="continue"/>
          </w:tcPr>
          <w:p>
            <w:pPr>
              <w:spacing w:after="0"/>
              <w:rPr>
                <w:sz w:val="5"/>
                <w:szCs w:val="5"/>
                <w:color w:val="auto"/>
              </w:rPr>
            </w:pPr>
          </w:p>
        </w:tc>
        <w:tc>
          <w:tcPr>
            <w:tcW w:w="260" w:type="dxa"/>
            <w:vAlign w:val="bottom"/>
          </w:tcPr>
          <w:p>
            <w:pPr>
              <w:spacing w:after="0"/>
              <w:rPr>
                <w:sz w:val="5"/>
                <w:szCs w:val="5"/>
                <w:color w:val="auto"/>
              </w:rPr>
            </w:pPr>
          </w:p>
        </w:tc>
        <w:tc>
          <w:tcPr>
            <w:tcW w:w="1060" w:type="dxa"/>
            <w:vAlign w:val="bottom"/>
            <w:tcBorders>
              <w:right w:val="single" w:sz="8" w:color="E5E5E5"/>
            </w:tcBorders>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7940" w:type="dxa"/>
            <w:vAlign w:val="bottom"/>
            <w:tcBorders>
              <w:left w:val="single" w:sz="8" w:color="E5E5E5"/>
              <w:bottom w:val="single" w:sz="8" w:color="E5E5E5"/>
              <w:right w:val="single" w:sz="8" w:color="E5E5E5"/>
            </w:tcBorders>
          </w:tcPr>
          <w:p>
            <w:pPr>
              <w:spacing w:after="0"/>
              <w:rPr>
                <w:sz w:val="7"/>
                <w:szCs w:val="7"/>
                <w:color w:val="auto"/>
              </w:rPr>
            </w:pPr>
          </w:p>
        </w:tc>
        <w:tc>
          <w:tcPr>
            <w:tcW w:w="260" w:type="dxa"/>
            <w:vAlign w:val="bottom"/>
            <w:tcBorders>
              <w:bottom w:val="single" w:sz="8" w:color="E5E5E5"/>
            </w:tcBorders>
          </w:tcPr>
          <w:p>
            <w:pPr>
              <w:spacing w:after="0"/>
              <w:rPr>
                <w:sz w:val="7"/>
                <w:szCs w:val="7"/>
                <w:color w:val="auto"/>
              </w:rPr>
            </w:pPr>
          </w:p>
        </w:tc>
        <w:tc>
          <w:tcPr>
            <w:tcW w:w="1060" w:type="dxa"/>
            <w:vAlign w:val="bottom"/>
            <w:tcBorders>
              <w:bottom w:val="single" w:sz="8" w:color="E5E5E5"/>
              <w:right w:val="single" w:sz="8" w:color="E5E5E5"/>
            </w:tcBorders>
          </w:tcPr>
          <w:p>
            <w:pPr>
              <w:spacing w:after="0"/>
              <w:rPr>
                <w:sz w:val="7"/>
                <w:szCs w:val="7"/>
                <w:color w:val="auto"/>
              </w:rPr>
            </w:pPr>
          </w:p>
        </w:tc>
        <w:tc>
          <w:tcPr>
            <w:tcW w:w="0" w:type="dxa"/>
            <w:vAlign w:val="bottom"/>
          </w:tcPr>
          <w:p>
            <w:pPr>
              <w:spacing w:after="0"/>
              <w:rPr>
                <w:sz w:val="1"/>
                <w:szCs w:val="1"/>
                <w:color w:val="auto"/>
              </w:rPr>
            </w:pPr>
          </w:p>
        </w:tc>
      </w:tr>
      <w:tr>
        <w:trPr>
          <w:trHeight w:val="195"/>
        </w:trPr>
        <w:tc>
          <w:tcPr>
            <w:tcW w:w="7940" w:type="dxa"/>
            <w:vAlign w:val="bottom"/>
            <w:tcBorders>
              <w:left w:val="single" w:sz="8" w:color="E5E5E5"/>
              <w:right w:val="single" w:sz="8" w:color="E5E5E5"/>
            </w:tcBorders>
          </w:tcPr>
          <w:p>
            <w:pPr>
              <w:ind w:left="80"/>
              <w:spacing w:after="0"/>
              <w:rPr>
                <w:sz w:val="20"/>
                <w:szCs w:val="20"/>
                <w:color w:val="auto"/>
              </w:rPr>
            </w:pPr>
            <w:r>
              <w:rPr>
                <w:rFonts w:ascii="Arial" w:cs="Arial" w:eastAsia="Arial" w:hAnsi="Arial"/>
                <w:sz w:val="16"/>
                <w:szCs w:val="16"/>
                <w:color w:val="auto"/>
              </w:rPr>
              <w:t>+/- change in fair value (from prior year-end to vesting date) for prior-year equity awards that vested in</w:t>
            </w:r>
          </w:p>
        </w:tc>
        <w:tc>
          <w:tcPr>
            <w:tcW w:w="260" w:type="dxa"/>
            <w:vAlign w:val="bottom"/>
            <w:vMerge w:val="restart"/>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Borders>
              <w:right w:val="single" w:sz="8" w:color="E5E5E5"/>
            </w:tcBorders>
            <w:vMerge w:val="restart"/>
          </w:tcPr>
          <w:p>
            <w:pPr>
              <w:jc w:val="right"/>
              <w:spacing w:after="0"/>
              <w:rPr>
                <w:sz w:val="20"/>
                <w:szCs w:val="20"/>
                <w:color w:val="auto"/>
              </w:rPr>
            </w:pPr>
            <w:r>
              <w:rPr>
                <w:rFonts w:ascii="Arial" w:cs="Arial" w:eastAsia="Arial" w:hAnsi="Arial"/>
                <w:sz w:val="16"/>
                <w:szCs w:val="16"/>
                <w:color w:val="auto"/>
              </w:rPr>
              <w:t>(249,996)</w:t>
            </w:r>
          </w:p>
        </w:tc>
        <w:tc>
          <w:tcPr>
            <w:tcW w:w="0" w:type="dxa"/>
            <w:vAlign w:val="bottom"/>
          </w:tcPr>
          <w:p>
            <w:pPr>
              <w:spacing w:after="0"/>
              <w:rPr>
                <w:sz w:val="1"/>
                <w:szCs w:val="1"/>
                <w:color w:val="auto"/>
              </w:rPr>
            </w:pPr>
          </w:p>
        </w:tc>
      </w:tr>
      <w:tr>
        <w:trPr>
          <w:trHeight w:val="147"/>
        </w:trPr>
        <w:tc>
          <w:tcPr>
            <w:tcW w:w="7940" w:type="dxa"/>
            <w:vAlign w:val="bottom"/>
            <w:tcBorders>
              <w:left w:val="single" w:sz="8" w:color="E5E5E5"/>
              <w:right w:val="single" w:sz="8" w:color="E5E5E5"/>
            </w:tcBorders>
            <w:vMerge w:val="restart"/>
          </w:tcPr>
          <w:p>
            <w:pPr>
              <w:ind w:left="40"/>
              <w:spacing w:after="0"/>
              <w:rPr>
                <w:sz w:val="20"/>
                <w:szCs w:val="20"/>
                <w:color w:val="auto"/>
              </w:rPr>
            </w:pPr>
            <w:r>
              <w:rPr>
                <w:rFonts w:ascii="Arial" w:cs="Arial" w:eastAsia="Arial" w:hAnsi="Arial"/>
                <w:sz w:val="16"/>
                <w:szCs w:val="16"/>
                <w:color w:val="auto"/>
              </w:rPr>
              <w:t>Covered Year</w:t>
            </w:r>
          </w:p>
        </w:tc>
        <w:tc>
          <w:tcPr>
            <w:tcW w:w="260" w:type="dxa"/>
            <w:vAlign w:val="bottom"/>
            <w:vMerge w:val="continue"/>
          </w:tcPr>
          <w:p>
            <w:pPr>
              <w:spacing w:after="0"/>
              <w:rPr>
                <w:sz w:val="12"/>
                <w:szCs w:val="12"/>
                <w:color w:val="auto"/>
              </w:rPr>
            </w:pPr>
          </w:p>
        </w:tc>
        <w:tc>
          <w:tcPr>
            <w:tcW w:w="1060" w:type="dxa"/>
            <w:vAlign w:val="bottom"/>
            <w:tcBorders>
              <w:right w:val="single" w:sz="8" w:color="E5E5E5"/>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7940" w:type="dxa"/>
            <w:vAlign w:val="bottom"/>
            <w:tcBorders>
              <w:left w:val="single" w:sz="8" w:color="E5E5E5"/>
              <w:right w:val="single" w:sz="8" w:color="E5E5E5"/>
            </w:tcBorders>
            <w:vMerge w:val="continue"/>
          </w:tcPr>
          <w:p>
            <w:pPr>
              <w:spacing w:after="0"/>
              <w:rPr>
                <w:sz w:val="5"/>
                <w:szCs w:val="5"/>
                <w:color w:val="auto"/>
              </w:rPr>
            </w:pPr>
          </w:p>
        </w:tc>
        <w:tc>
          <w:tcPr>
            <w:tcW w:w="260" w:type="dxa"/>
            <w:vAlign w:val="bottom"/>
          </w:tcPr>
          <w:p>
            <w:pPr>
              <w:spacing w:after="0"/>
              <w:rPr>
                <w:sz w:val="5"/>
                <w:szCs w:val="5"/>
                <w:color w:val="auto"/>
              </w:rPr>
            </w:pPr>
          </w:p>
        </w:tc>
        <w:tc>
          <w:tcPr>
            <w:tcW w:w="1060" w:type="dxa"/>
            <w:vAlign w:val="bottom"/>
            <w:tcBorders>
              <w:right w:val="single" w:sz="8" w:color="E5E5E5"/>
            </w:tcBorders>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7940" w:type="dxa"/>
            <w:vAlign w:val="bottom"/>
            <w:tcBorders>
              <w:left w:val="single" w:sz="8" w:color="E5E5E5"/>
              <w:bottom w:val="single" w:sz="8" w:color="E5E5E5"/>
              <w:right w:val="single" w:sz="8" w:color="E5E5E5"/>
            </w:tcBorders>
          </w:tcPr>
          <w:p>
            <w:pPr>
              <w:spacing w:after="0"/>
              <w:rPr>
                <w:sz w:val="7"/>
                <w:szCs w:val="7"/>
                <w:color w:val="auto"/>
              </w:rPr>
            </w:pPr>
          </w:p>
        </w:tc>
        <w:tc>
          <w:tcPr>
            <w:tcW w:w="260" w:type="dxa"/>
            <w:vAlign w:val="bottom"/>
            <w:tcBorders>
              <w:bottom w:val="single" w:sz="8" w:color="E5E5E5"/>
            </w:tcBorders>
          </w:tcPr>
          <w:p>
            <w:pPr>
              <w:spacing w:after="0"/>
              <w:rPr>
                <w:sz w:val="7"/>
                <w:szCs w:val="7"/>
                <w:color w:val="auto"/>
              </w:rPr>
            </w:pPr>
          </w:p>
        </w:tc>
        <w:tc>
          <w:tcPr>
            <w:tcW w:w="1060" w:type="dxa"/>
            <w:vAlign w:val="bottom"/>
            <w:tcBorders>
              <w:bottom w:val="single" w:sz="8" w:color="E5E5E5"/>
              <w:right w:val="single" w:sz="8" w:color="E5E5E5"/>
            </w:tcBorders>
          </w:tcPr>
          <w:p>
            <w:pPr>
              <w:spacing w:after="0"/>
              <w:rPr>
                <w:sz w:val="7"/>
                <w:szCs w:val="7"/>
                <w:color w:val="auto"/>
              </w:rPr>
            </w:pPr>
          </w:p>
        </w:tc>
        <w:tc>
          <w:tcPr>
            <w:tcW w:w="0" w:type="dxa"/>
            <w:vAlign w:val="bottom"/>
          </w:tcPr>
          <w:p>
            <w:pPr>
              <w:spacing w:after="0"/>
              <w:rPr>
                <w:sz w:val="1"/>
                <w:szCs w:val="1"/>
                <w:color w:val="auto"/>
              </w:rPr>
            </w:pPr>
          </w:p>
        </w:tc>
      </w:tr>
      <w:tr>
        <w:trPr>
          <w:trHeight w:val="195"/>
        </w:trPr>
        <w:tc>
          <w:tcPr>
            <w:tcW w:w="7940" w:type="dxa"/>
            <w:vAlign w:val="bottom"/>
            <w:tcBorders>
              <w:left w:val="single" w:sz="8" w:color="E5E5E5"/>
              <w:right w:val="single" w:sz="8" w:color="E5E5E5"/>
            </w:tcBorders>
          </w:tcPr>
          <w:p>
            <w:pPr>
              <w:ind w:left="80"/>
              <w:spacing w:after="0"/>
              <w:rPr>
                <w:sz w:val="20"/>
                <w:szCs w:val="20"/>
                <w:color w:val="auto"/>
              </w:rPr>
            </w:pPr>
            <w:r>
              <w:rPr>
                <w:rFonts w:ascii="Arial" w:cs="Arial" w:eastAsia="Arial" w:hAnsi="Arial"/>
                <w:sz w:val="16"/>
                <w:szCs w:val="16"/>
                <w:color w:val="auto"/>
              </w:rPr>
              <w:t>- fair value (from prior year-end) for prior-year awards that failed to meet applicable vesting conditions in</w:t>
            </w:r>
          </w:p>
        </w:tc>
        <w:tc>
          <w:tcPr>
            <w:tcW w:w="260" w:type="dxa"/>
            <w:vAlign w:val="bottom"/>
            <w:vMerge w:val="restart"/>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Borders>
              <w:right w:val="single" w:sz="8" w:color="E5E5E5"/>
            </w:tcBorders>
            <w:vMerge w:val="restart"/>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47"/>
        </w:trPr>
        <w:tc>
          <w:tcPr>
            <w:tcW w:w="7940" w:type="dxa"/>
            <w:vAlign w:val="bottom"/>
            <w:tcBorders>
              <w:left w:val="single" w:sz="8" w:color="E5E5E5"/>
              <w:right w:val="single" w:sz="8" w:color="E5E5E5"/>
            </w:tcBorders>
            <w:vMerge w:val="restart"/>
          </w:tcPr>
          <w:p>
            <w:pPr>
              <w:ind w:left="40"/>
              <w:spacing w:after="0"/>
              <w:rPr>
                <w:sz w:val="20"/>
                <w:szCs w:val="20"/>
                <w:color w:val="auto"/>
              </w:rPr>
            </w:pPr>
            <w:r>
              <w:rPr>
                <w:rFonts w:ascii="Arial" w:cs="Arial" w:eastAsia="Arial" w:hAnsi="Arial"/>
                <w:sz w:val="16"/>
                <w:szCs w:val="16"/>
                <w:color w:val="auto"/>
              </w:rPr>
              <w:t>Covered Year</w:t>
            </w:r>
          </w:p>
        </w:tc>
        <w:tc>
          <w:tcPr>
            <w:tcW w:w="260" w:type="dxa"/>
            <w:vAlign w:val="bottom"/>
            <w:vMerge w:val="continue"/>
          </w:tcPr>
          <w:p>
            <w:pPr>
              <w:spacing w:after="0"/>
              <w:rPr>
                <w:sz w:val="12"/>
                <w:szCs w:val="12"/>
                <w:color w:val="auto"/>
              </w:rPr>
            </w:pPr>
          </w:p>
        </w:tc>
        <w:tc>
          <w:tcPr>
            <w:tcW w:w="1060" w:type="dxa"/>
            <w:vAlign w:val="bottom"/>
            <w:tcBorders>
              <w:right w:val="single" w:sz="8" w:color="E5E5E5"/>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7940" w:type="dxa"/>
            <w:vAlign w:val="bottom"/>
            <w:tcBorders>
              <w:left w:val="single" w:sz="8" w:color="E5E5E5"/>
              <w:right w:val="single" w:sz="8" w:color="E5E5E5"/>
            </w:tcBorders>
            <w:vMerge w:val="continue"/>
          </w:tcPr>
          <w:p>
            <w:pPr>
              <w:spacing w:after="0"/>
              <w:rPr>
                <w:sz w:val="5"/>
                <w:szCs w:val="5"/>
                <w:color w:val="auto"/>
              </w:rPr>
            </w:pPr>
          </w:p>
        </w:tc>
        <w:tc>
          <w:tcPr>
            <w:tcW w:w="260" w:type="dxa"/>
            <w:vAlign w:val="bottom"/>
          </w:tcPr>
          <w:p>
            <w:pPr>
              <w:spacing w:after="0"/>
              <w:rPr>
                <w:sz w:val="5"/>
                <w:szCs w:val="5"/>
                <w:color w:val="auto"/>
              </w:rPr>
            </w:pPr>
          </w:p>
        </w:tc>
        <w:tc>
          <w:tcPr>
            <w:tcW w:w="1060" w:type="dxa"/>
            <w:vAlign w:val="bottom"/>
            <w:tcBorders>
              <w:right w:val="single" w:sz="8" w:color="E5E5E5"/>
            </w:tcBorders>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7940" w:type="dxa"/>
            <w:vAlign w:val="bottom"/>
            <w:tcBorders>
              <w:left w:val="single" w:sz="8" w:color="E5E5E5"/>
              <w:right w:val="single" w:sz="8" w:color="E5E5E5"/>
            </w:tcBorders>
          </w:tcPr>
          <w:p>
            <w:pPr>
              <w:spacing w:after="0"/>
              <w:rPr>
                <w:sz w:val="7"/>
                <w:szCs w:val="7"/>
                <w:color w:val="auto"/>
              </w:rPr>
            </w:pPr>
          </w:p>
        </w:tc>
        <w:tc>
          <w:tcPr>
            <w:tcW w:w="260" w:type="dxa"/>
            <w:vAlign w:val="bottom"/>
          </w:tcPr>
          <w:p>
            <w:pPr>
              <w:spacing w:after="0"/>
              <w:rPr>
                <w:sz w:val="7"/>
                <w:szCs w:val="7"/>
                <w:color w:val="auto"/>
              </w:rPr>
            </w:pPr>
          </w:p>
        </w:tc>
        <w:tc>
          <w:tcPr>
            <w:tcW w:w="1060" w:type="dxa"/>
            <w:vAlign w:val="bottom"/>
            <w:tcBorders>
              <w:right w:val="single" w:sz="8" w:color="E5E5E5"/>
            </w:tcBorders>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7940" w:type="dxa"/>
            <w:vAlign w:val="bottom"/>
            <w:tcBorders>
              <w:left w:val="single" w:sz="8" w:color="E5E5E5"/>
              <w:right w:val="single" w:sz="8" w:color="E5E5E5"/>
            </w:tcBorders>
            <w:shd w:val="clear" w:color="auto" w:fill="DBDBDB"/>
          </w:tcPr>
          <w:p>
            <w:pPr>
              <w:ind w:left="40"/>
              <w:spacing w:after="0"/>
              <w:rPr>
                <w:sz w:val="20"/>
                <w:szCs w:val="20"/>
                <w:color w:val="auto"/>
              </w:rPr>
            </w:pPr>
            <w:r>
              <w:rPr>
                <w:rFonts w:ascii="Arial" w:cs="Arial" w:eastAsia="Arial" w:hAnsi="Arial"/>
                <w:sz w:val="16"/>
                <w:szCs w:val="16"/>
                <w:b w:val="1"/>
                <w:bCs w:val="1"/>
                <w:color w:val="auto"/>
              </w:rPr>
              <w:t>For Non-PEO Named Executive Officers (Average):</w:t>
            </w:r>
          </w:p>
        </w:tc>
        <w:tc>
          <w:tcPr>
            <w:tcW w:w="260" w:type="dxa"/>
            <w:vAlign w:val="bottom"/>
            <w:shd w:val="clear" w:color="auto" w:fill="DBDBDB"/>
          </w:tcPr>
          <w:p>
            <w:pPr>
              <w:spacing w:after="0"/>
              <w:rPr>
                <w:sz w:val="21"/>
                <w:szCs w:val="21"/>
                <w:color w:val="auto"/>
              </w:rPr>
            </w:pPr>
          </w:p>
        </w:tc>
        <w:tc>
          <w:tcPr>
            <w:tcW w:w="1060" w:type="dxa"/>
            <w:vAlign w:val="bottom"/>
            <w:tcBorders>
              <w:right w:val="single" w:sz="8" w:color="E5E5E5"/>
            </w:tcBorders>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7940" w:type="dxa"/>
            <w:vAlign w:val="bottom"/>
            <w:tcBorders>
              <w:left w:val="single" w:sz="8" w:color="E5E5E5"/>
              <w:right w:val="single" w:sz="8" w:color="E5E5E5"/>
            </w:tcBorders>
          </w:tcPr>
          <w:p>
            <w:pPr>
              <w:ind w:left="80"/>
              <w:spacing w:after="0"/>
              <w:rPr>
                <w:sz w:val="20"/>
                <w:szCs w:val="20"/>
                <w:color w:val="auto"/>
              </w:rPr>
            </w:pPr>
            <w:r>
              <w:rPr>
                <w:rFonts w:ascii="Arial" w:cs="Arial" w:eastAsia="Arial" w:hAnsi="Arial"/>
                <w:sz w:val="16"/>
                <w:szCs w:val="16"/>
                <w:color w:val="auto"/>
              </w:rPr>
              <w:t>- SCT “Stock Awards” column value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Borders>
              <w:right w:val="single" w:sz="8" w:color="E5E5E5"/>
            </w:tcBorders>
          </w:tcPr>
          <w:p>
            <w:pPr>
              <w:jc w:val="right"/>
              <w:spacing w:after="0"/>
              <w:rPr>
                <w:sz w:val="20"/>
                <w:szCs w:val="20"/>
                <w:color w:val="auto"/>
              </w:rPr>
            </w:pPr>
            <w:r>
              <w:rPr>
                <w:rFonts w:ascii="Arial" w:cs="Arial" w:eastAsia="Arial" w:hAnsi="Arial"/>
                <w:sz w:val="16"/>
                <w:szCs w:val="16"/>
                <w:color w:val="auto"/>
              </w:rPr>
              <w:t>(875,034)</w:t>
            </w:r>
          </w:p>
        </w:tc>
        <w:tc>
          <w:tcPr>
            <w:tcW w:w="0" w:type="dxa"/>
            <w:vAlign w:val="bottom"/>
          </w:tcPr>
          <w:p>
            <w:pPr>
              <w:spacing w:after="0"/>
              <w:rPr>
                <w:sz w:val="1"/>
                <w:szCs w:val="1"/>
                <w:color w:val="auto"/>
              </w:rPr>
            </w:pPr>
          </w:p>
        </w:tc>
      </w:tr>
      <w:tr>
        <w:trPr>
          <w:trHeight w:val="43"/>
        </w:trPr>
        <w:tc>
          <w:tcPr>
            <w:tcW w:w="7940" w:type="dxa"/>
            <w:vAlign w:val="bottom"/>
            <w:tcBorders>
              <w:left w:val="single" w:sz="8" w:color="E5E5E5"/>
              <w:bottom w:val="single" w:sz="8" w:color="E5E5E5"/>
              <w:right w:val="single" w:sz="8" w:color="E5E5E5"/>
            </w:tcBorders>
          </w:tcPr>
          <w:p>
            <w:pPr>
              <w:spacing w:after="0"/>
              <w:rPr>
                <w:sz w:val="3"/>
                <w:szCs w:val="3"/>
                <w:color w:val="auto"/>
              </w:rPr>
            </w:pPr>
          </w:p>
        </w:tc>
        <w:tc>
          <w:tcPr>
            <w:tcW w:w="260" w:type="dxa"/>
            <w:vAlign w:val="bottom"/>
            <w:tcBorders>
              <w:bottom w:val="single" w:sz="8" w:color="E5E5E5"/>
            </w:tcBorders>
          </w:tcPr>
          <w:p>
            <w:pPr>
              <w:spacing w:after="0"/>
              <w:rPr>
                <w:sz w:val="3"/>
                <w:szCs w:val="3"/>
                <w:color w:val="auto"/>
              </w:rPr>
            </w:pPr>
          </w:p>
        </w:tc>
        <w:tc>
          <w:tcPr>
            <w:tcW w:w="1060" w:type="dxa"/>
            <w:vAlign w:val="bottom"/>
            <w:tcBorders>
              <w:bottom w:val="single" w:sz="8" w:color="E5E5E5"/>
              <w:right w:val="single" w:sz="8" w:color="E5E5E5"/>
            </w:tcBorders>
          </w:tcPr>
          <w:p>
            <w:pPr>
              <w:spacing w:after="0"/>
              <w:rPr>
                <w:sz w:val="3"/>
                <w:szCs w:val="3"/>
                <w:color w:val="auto"/>
              </w:rPr>
            </w:pPr>
          </w:p>
        </w:tc>
        <w:tc>
          <w:tcPr>
            <w:tcW w:w="0" w:type="dxa"/>
            <w:vAlign w:val="bottom"/>
          </w:tcPr>
          <w:p>
            <w:pPr>
              <w:spacing w:after="0"/>
              <w:rPr>
                <w:sz w:val="1"/>
                <w:szCs w:val="1"/>
                <w:color w:val="auto"/>
              </w:rPr>
            </w:pPr>
          </w:p>
        </w:tc>
      </w:tr>
      <w:tr>
        <w:trPr>
          <w:trHeight w:val="290"/>
        </w:trPr>
        <w:tc>
          <w:tcPr>
            <w:tcW w:w="7940" w:type="dxa"/>
            <w:vAlign w:val="bottom"/>
            <w:tcBorders>
              <w:left w:val="single" w:sz="8" w:color="E5E5E5"/>
              <w:right w:val="single" w:sz="8" w:color="E5E5E5"/>
            </w:tcBorders>
          </w:tcPr>
          <w:p>
            <w:pPr>
              <w:ind w:left="80"/>
              <w:spacing w:after="0"/>
              <w:rPr>
                <w:sz w:val="20"/>
                <w:szCs w:val="20"/>
                <w:color w:val="auto"/>
              </w:rPr>
            </w:pPr>
            <w:r>
              <w:rPr>
                <w:rFonts w:ascii="Arial" w:cs="Arial" w:eastAsia="Arial" w:hAnsi="Arial"/>
                <w:sz w:val="16"/>
                <w:szCs w:val="16"/>
                <w:color w:val="auto"/>
              </w:rPr>
              <w:t>+Covered year-end fair value of equity awards granted in Covered Year that were outstanding and unvested</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Borders>
              <w:right w:val="single" w:sz="8" w:color="E5E5E5"/>
            </w:tcBorders>
          </w:tcPr>
          <w:p>
            <w:pPr>
              <w:jc w:val="right"/>
              <w:ind w:right="19"/>
              <w:spacing w:after="0"/>
              <w:rPr>
                <w:sz w:val="20"/>
                <w:szCs w:val="20"/>
                <w:color w:val="auto"/>
              </w:rPr>
            </w:pPr>
            <w:r>
              <w:rPr>
                <w:rFonts w:ascii="Arial" w:cs="Arial" w:eastAsia="Arial" w:hAnsi="Arial"/>
                <w:sz w:val="16"/>
                <w:szCs w:val="16"/>
                <w:color w:val="auto"/>
              </w:rPr>
              <w:t>690,367</w:t>
            </w:r>
          </w:p>
        </w:tc>
        <w:tc>
          <w:tcPr>
            <w:tcW w:w="0" w:type="dxa"/>
            <w:vAlign w:val="bottom"/>
          </w:tcPr>
          <w:p>
            <w:pPr>
              <w:spacing w:after="0"/>
              <w:rPr>
                <w:sz w:val="1"/>
                <w:szCs w:val="1"/>
                <w:color w:val="auto"/>
              </w:rPr>
            </w:pPr>
          </w:p>
        </w:tc>
      </w:tr>
      <w:tr>
        <w:trPr>
          <w:trHeight w:val="203"/>
        </w:trPr>
        <w:tc>
          <w:tcPr>
            <w:tcW w:w="7940" w:type="dxa"/>
            <w:vAlign w:val="bottom"/>
            <w:tcBorders>
              <w:left w:val="single" w:sz="8" w:color="E5E5E5"/>
              <w:bottom w:val="single" w:sz="8" w:color="E5E5E5"/>
              <w:right w:val="single" w:sz="8" w:color="E5E5E5"/>
            </w:tcBorders>
          </w:tcPr>
          <w:p>
            <w:pPr>
              <w:ind w:left="40"/>
              <w:spacing w:after="0"/>
              <w:rPr>
                <w:sz w:val="20"/>
                <w:szCs w:val="20"/>
                <w:color w:val="auto"/>
              </w:rPr>
            </w:pPr>
            <w:r>
              <w:rPr>
                <w:rFonts w:ascii="Arial" w:cs="Arial" w:eastAsia="Arial" w:hAnsi="Arial"/>
                <w:sz w:val="16"/>
                <w:szCs w:val="16"/>
                <w:color w:val="auto"/>
              </w:rPr>
              <w:t>at Covered Year-end</w:t>
            </w:r>
          </w:p>
        </w:tc>
        <w:tc>
          <w:tcPr>
            <w:tcW w:w="260" w:type="dxa"/>
            <w:vAlign w:val="bottom"/>
            <w:tcBorders>
              <w:bottom w:val="single" w:sz="8" w:color="E5E5E5"/>
            </w:tcBorders>
          </w:tcPr>
          <w:p>
            <w:pPr>
              <w:spacing w:after="0"/>
              <w:rPr>
                <w:sz w:val="17"/>
                <w:szCs w:val="17"/>
                <w:color w:val="auto"/>
              </w:rPr>
            </w:pPr>
          </w:p>
        </w:tc>
        <w:tc>
          <w:tcPr>
            <w:tcW w:w="1060" w:type="dxa"/>
            <w:vAlign w:val="bottom"/>
            <w:tcBorders>
              <w:bottom w:val="single" w:sz="8" w:color="E5E5E5"/>
              <w:right w:val="single" w:sz="8" w:color="E5E5E5"/>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7940" w:type="dxa"/>
            <w:vAlign w:val="bottom"/>
            <w:tcBorders>
              <w:left w:val="single" w:sz="8" w:color="E5E5E5"/>
              <w:right w:val="single" w:sz="8" w:color="E5E5E5"/>
            </w:tcBorders>
          </w:tcPr>
          <w:p>
            <w:pPr>
              <w:ind w:left="80"/>
              <w:spacing w:after="0"/>
              <w:rPr>
                <w:sz w:val="20"/>
                <w:szCs w:val="20"/>
                <w:color w:val="auto"/>
              </w:rPr>
            </w:pPr>
            <w:r>
              <w:rPr>
                <w:rFonts w:ascii="Arial" w:cs="Arial" w:eastAsia="Arial" w:hAnsi="Arial"/>
                <w:sz w:val="16"/>
                <w:szCs w:val="16"/>
                <w:color w:val="auto"/>
              </w:rPr>
              <w:t>+/- change in fair value (from prior year-end to Covered Year-end) of equity awards granted in prior years</w:t>
            </w:r>
          </w:p>
        </w:tc>
        <w:tc>
          <w:tcPr>
            <w:tcW w:w="260" w:type="dxa"/>
            <w:vAlign w:val="bottom"/>
            <w:vMerge w:val="restart"/>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Borders>
              <w:right w:val="single" w:sz="8" w:color="E5E5E5"/>
            </w:tcBorders>
            <w:vMerge w:val="restart"/>
          </w:tcPr>
          <w:p>
            <w:pPr>
              <w:jc w:val="right"/>
              <w:ind w:right="19"/>
              <w:spacing w:after="0"/>
              <w:rPr>
                <w:sz w:val="20"/>
                <w:szCs w:val="20"/>
                <w:color w:val="auto"/>
              </w:rPr>
            </w:pPr>
            <w:r>
              <w:rPr>
                <w:rFonts w:ascii="Arial" w:cs="Arial" w:eastAsia="Arial" w:hAnsi="Arial"/>
                <w:sz w:val="16"/>
                <w:szCs w:val="16"/>
                <w:color w:val="auto"/>
              </w:rPr>
              <w:t>49,367</w:t>
            </w:r>
          </w:p>
        </w:tc>
        <w:tc>
          <w:tcPr>
            <w:tcW w:w="0" w:type="dxa"/>
            <w:vAlign w:val="bottom"/>
          </w:tcPr>
          <w:p>
            <w:pPr>
              <w:spacing w:after="0"/>
              <w:rPr>
                <w:sz w:val="1"/>
                <w:szCs w:val="1"/>
                <w:color w:val="auto"/>
              </w:rPr>
            </w:pPr>
          </w:p>
        </w:tc>
      </w:tr>
      <w:tr>
        <w:trPr>
          <w:trHeight w:val="147"/>
        </w:trPr>
        <w:tc>
          <w:tcPr>
            <w:tcW w:w="7940" w:type="dxa"/>
            <w:vAlign w:val="bottom"/>
            <w:tcBorders>
              <w:left w:val="single" w:sz="8" w:color="E5E5E5"/>
              <w:right w:val="single" w:sz="8" w:color="E5E5E5"/>
            </w:tcBorders>
            <w:vMerge w:val="restart"/>
          </w:tcPr>
          <w:p>
            <w:pPr>
              <w:ind w:left="40"/>
              <w:spacing w:after="0"/>
              <w:rPr>
                <w:sz w:val="20"/>
                <w:szCs w:val="20"/>
                <w:color w:val="auto"/>
              </w:rPr>
            </w:pPr>
            <w:r>
              <w:rPr>
                <w:rFonts w:ascii="Arial" w:cs="Arial" w:eastAsia="Arial" w:hAnsi="Arial"/>
                <w:sz w:val="16"/>
                <w:szCs w:val="16"/>
                <w:color w:val="auto"/>
              </w:rPr>
              <w:t>that were outstanding and unvested at Covered Year-end</w:t>
            </w:r>
          </w:p>
        </w:tc>
        <w:tc>
          <w:tcPr>
            <w:tcW w:w="260" w:type="dxa"/>
            <w:vAlign w:val="bottom"/>
            <w:vMerge w:val="continue"/>
          </w:tcPr>
          <w:p>
            <w:pPr>
              <w:spacing w:after="0"/>
              <w:rPr>
                <w:sz w:val="12"/>
                <w:szCs w:val="12"/>
                <w:color w:val="auto"/>
              </w:rPr>
            </w:pPr>
          </w:p>
        </w:tc>
        <w:tc>
          <w:tcPr>
            <w:tcW w:w="1060" w:type="dxa"/>
            <w:vAlign w:val="bottom"/>
            <w:tcBorders>
              <w:right w:val="single" w:sz="8" w:color="E5E5E5"/>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7940" w:type="dxa"/>
            <w:vAlign w:val="bottom"/>
            <w:tcBorders>
              <w:left w:val="single" w:sz="8" w:color="E5E5E5"/>
              <w:right w:val="single" w:sz="8" w:color="E5E5E5"/>
            </w:tcBorders>
            <w:vMerge w:val="continue"/>
          </w:tcPr>
          <w:p>
            <w:pPr>
              <w:spacing w:after="0"/>
              <w:rPr>
                <w:sz w:val="5"/>
                <w:szCs w:val="5"/>
                <w:color w:val="auto"/>
              </w:rPr>
            </w:pPr>
          </w:p>
        </w:tc>
        <w:tc>
          <w:tcPr>
            <w:tcW w:w="260" w:type="dxa"/>
            <w:vAlign w:val="bottom"/>
          </w:tcPr>
          <w:p>
            <w:pPr>
              <w:spacing w:after="0"/>
              <w:rPr>
                <w:sz w:val="5"/>
                <w:szCs w:val="5"/>
                <w:color w:val="auto"/>
              </w:rPr>
            </w:pPr>
          </w:p>
        </w:tc>
        <w:tc>
          <w:tcPr>
            <w:tcW w:w="1060" w:type="dxa"/>
            <w:vAlign w:val="bottom"/>
            <w:tcBorders>
              <w:right w:val="single" w:sz="8" w:color="E5E5E5"/>
            </w:tcBorders>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7940" w:type="dxa"/>
            <w:vAlign w:val="bottom"/>
            <w:tcBorders>
              <w:left w:val="single" w:sz="8" w:color="E5E5E5"/>
              <w:bottom w:val="single" w:sz="8" w:color="E5E5E5"/>
              <w:right w:val="single" w:sz="8" w:color="E5E5E5"/>
            </w:tcBorders>
          </w:tcPr>
          <w:p>
            <w:pPr>
              <w:spacing w:after="0"/>
              <w:rPr>
                <w:sz w:val="7"/>
                <w:szCs w:val="7"/>
                <w:color w:val="auto"/>
              </w:rPr>
            </w:pPr>
          </w:p>
        </w:tc>
        <w:tc>
          <w:tcPr>
            <w:tcW w:w="260" w:type="dxa"/>
            <w:vAlign w:val="bottom"/>
            <w:tcBorders>
              <w:bottom w:val="single" w:sz="8" w:color="E5E5E5"/>
            </w:tcBorders>
          </w:tcPr>
          <w:p>
            <w:pPr>
              <w:spacing w:after="0"/>
              <w:rPr>
                <w:sz w:val="7"/>
                <w:szCs w:val="7"/>
                <w:color w:val="auto"/>
              </w:rPr>
            </w:pPr>
          </w:p>
        </w:tc>
        <w:tc>
          <w:tcPr>
            <w:tcW w:w="1060" w:type="dxa"/>
            <w:vAlign w:val="bottom"/>
            <w:tcBorders>
              <w:bottom w:val="single" w:sz="8" w:color="E5E5E5"/>
              <w:right w:val="single" w:sz="8" w:color="E5E5E5"/>
            </w:tcBorders>
          </w:tcPr>
          <w:p>
            <w:pPr>
              <w:spacing w:after="0"/>
              <w:rPr>
                <w:sz w:val="7"/>
                <w:szCs w:val="7"/>
                <w:color w:val="auto"/>
              </w:rPr>
            </w:pPr>
          </w:p>
        </w:tc>
        <w:tc>
          <w:tcPr>
            <w:tcW w:w="0" w:type="dxa"/>
            <w:vAlign w:val="bottom"/>
          </w:tcPr>
          <w:p>
            <w:pPr>
              <w:spacing w:after="0"/>
              <w:rPr>
                <w:sz w:val="1"/>
                <w:szCs w:val="1"/>
                <w:color w:val="auto"/>
              </w:rPr>
            </w:pPr>
          </w:p>
        </w:tc>
      </w:tr>
      <w:tr>
        <w:trPr>
          <w:trHeight w:val="195"/>
        </w:trPr>
        <w:tc>
          <w:tcPr>
            <w:tcW w:w="7940" w:type="dxa"/>
            <w:vAlign w:val="bottom"/>
            <w:tcBorders>
              <w:left w:val="single" w:sz="8" w:color="E5E5E5"/>
              <w:right w:val="single" w:sz="8" w:color="E5E5E5"/>
            </w:tcBorders>
          </w:tcPr>
          <w:p>
            <w:pPr>
              <w:ind w:left="80"/>
              <w:spacing w:after="0"/>
              <w:rPr>
                <w:sz w:val="20"/>
                <w:szCs w:val="20"/>
                <w:color w:val="auto"/>
              </w:rPr>
            </w:pPr>
            <w:r>
              <w:rPr>
                <w:rFonts w:ascii="Arial" w:cs="Arial" w:eastAsia="Arial" w:hAnsi="Arial"/>
                <w:sz w:val="16"/>
                <w:szCs w:val="16"/>
                <w:color w:val="auto"/>
              </w:rPr>
              <w:t>+/- change in fair value (from prior year-end to vesting date) for prior-year equity awards that vested in</w:t>
            </w:r>
          </w:p>
        </w:tc>
        <w:tc>
          <w:tcPr>
            <w:tcW w:w="260" w:type="dxa"/>
            <w:vAlign w:val="bottom"/>
            <w:vMerge w:val="restart"/>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Borders>
              <w:right w:val="single" w:sz="8" w:color="E5E5E5"/>
            </w:tcBorders>
            <w:vMerge w:val="restart"/>
          </w:tcPr>
          <w:p>
            <w:pPr>
              <w:jc w:val="right"/>
              <w:spacing w:after="0"/>
              <w:rPr>
                <w:sz w:val="20"/>
                <w:szCs w:val="20"/>
                <w:color w:val="auto"/>
              </w:rPr>
            </w:pPr>
            <w:r>
              <w:rPr>
                <w:rFonts w:ascii="Arial" w:cs="Arial" w:eastAsia="Arial" w:hAnsi="Arial"/>
                <w:sz w:val="16"/>
                <w:szCs w:val="16"/>
                <w:color w:val="auto"/>
              </w:rPr>
              <w:t>(39,771)</w:t>
            </w:r>
          </w:p>
        </w:tc>
        <w:tc>
          <w:tcPr>
            <w:tcW w:w="0" w:type="dxa"/>
            <w:vAlign w:val="bottom"/>
          </w:tcPr>
          <w:p>
            <w:pPr>
              <w:spacing w:after="0"/>
              <w:rPr>
                <w:sz w:val="1"/>
                <w:szCs w:val="1"/>
                <w:color w:val="auto"/>
              </w:rPr>
            </w:pPr>
          </w:p>
        </w:tc>
      </w:tr>
      <w:tr>
        <w:trPr>
          <w:trHeight w:val="147"/>
        </w:trPr>
        <w:tc>
          <w:tcPr>
            <w:tcW w:w="7940" w:type="dxa"/>
            <w:vAlign w:val="bottom"/>
            <w:tcBorders>
              <w:left w:val="single" w:sz="8" w:color="E5E5E5"/>
              <w:right w:val="single" w:sz="8" w:color="E5E5E5"/>
            </w:tcBorders>
            <w:vMerge w:val="restart"/>
          </w:tcPr>
          <w:p>
            <w:pPr>
              <w:ind w:left="40"/>
              <w:spacing w:after="0"/>
              <w:rPr>
                <w:sz w:val="20"/>
                <w:szCs w:val="20"/>
                <w:color w:val="auto"/>
              </w:rPr>
            </w:pPr>
            <w:r>
              <w:rPr>
                <w:rFonts w:ascii="Arial" w:cs="Arial" w:eastAsia="Arial" w:hAnsi="Arial"/>
                <w:sz w:val="16"/>
                <w:szCs w:val="16"/>
                <w:color w:val="auto"/>
              </w:rPr>
              <w:t>Covered Year</w:t>
            </w:r>
          </w:p>
        </w:tc>
        <w:tc>
          <w:tcPr>
            <w:tcW w:w="260" w:type="dxa"/>
            <w:vAlign w:val="bottom"/>
            <w:vMerge w:val="continue"/>
          </w:tcPr>
          <w:p>
            <w:pPr>
              <w:spacing w:after="0"/>
              <w:rPr>
                <w:sz w:val="12"/>
                <w:szCs w:val="12"/>
                <w:color w:val="auto"/>
              </w:rPr>
            </w:pPr>
          </w:p>
        </w:tc>
        <w:tc>
          <w:tcPr>
            <w:tcW w:w="1060" w:type="dxa"/>
            <w:vAlign w:val="bottom"/>
            <w:tcBorders>
              <w:right w:val="single" w:sz="8" w:color="E5E5E5"/>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7940" w:type="dxa"/>
            <w:vAlign w:val="bottom"/>
            <w:tcBorders>
              <w:left w:val="single" w:sz="8" w:color="E5E5E5"/>
              <w:right w:val="single" w:sz="8" w:color="E5E5E5"/>
            </w:tcBorders>
            <w:vMerge w:val="continue"/>
          </w:tcPr>
          <w:p>
            <w:pPr>
              <w:spacing w:after="0"/>
              <w:rPr>
                <w:sz w:val="5"/>
                <w:szCs w:val="5"/>
                <w:color w:val="auto"/>
              </w:rPr>
            </w:pPr>
          </w:p>
        </w:tc>
        <w:tc>
          <w:tcPr>
            <w:tcW w:w="260" w:type="dxa"/>
            <w:vAlign w:val="bottom"/>
          </w:tcPr>
          <w:p>
            <w:pPr>
              <w:spacing w:after="0"/>
              <w:rPr>
                <w:sz w:val="5"/>
                <w:szCs w:val="5"/>
                <w:color w:val="auto"/>
              </w:rPr>
            </w:pPr>
          </w:p>
        </w:tc>
        <w:tc>
          <w:tcPr>
            <w:tcW w:w="1060" w:type="dxa"/>
            <w:vAlign w:val="bottom"/>
            <w:tcBorders>
              <w:right w:val="single" w:sz="8" w:color="E5E5E5"/>
            </w:tcBorders>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7940" w:type="dxa"/>
            <w:vAlign w:val="bottom"/>
            <w:tcBorders>
              <w:left w:val="single" w:sz="8" w:color="E5E5E5"/>
              <w:bottom w:val="single" w:sz="8" w:color="E5E5E5"/>
              <w:right w:val="single" w:sz="8" w:color="E5E5E5"/>
            </w:tcBorders>
          </w:tcPr>
          <w:p>
            <w:pPr>
              <w:spacing w:after="0"/>
              <w:rPr>
                <w:sz w:val="7"/>
                <w:szCs w:val="7"/>
                <w:color w:val="auto"/>
              </w:rPr>
            </w:pPr>
          </w:p>
        </w:tc>
        <w:tc>
          <w:tcPr>
            <w:tcW w:w="260" w:type="dxa"/>
            <w:vAlign w:val="bottom"/>
            <w:tcBorders>
              <w:bottom w:val="single" w:sz="8" w:color="E5E5E5"/>
            </w:tcBorders>
          </w:tcPr>
          <w:p>
            <w:pPr>
              <w:spacing w:after="0"/>
              <w:rPr>
                <w:sz w:val="7"/>
                <w:szCs w:val="7"/>
                <w:color w:val="auto"/>
              </w:rPr>
            </w:pPr>
          </w:p>
        </w:tc>
        <w:tc>
          <w:tcPr>
            <w:tcW w:w="1060" w:type="dxa"/>
            <w:vAlign w:val="bottom"/>
            <w:tcBorders>
              <w:bottom w:val="single" w:sz="8" w:color="E5E5E5"/>
              <w:right w:val="single" w:sz="8" w:color="E5E5E5"/>
            </w:tcBorders>
          </w:tcPr>
          <w:p>
            <w:pPr>
              <w:spacing w:after="0"/>
              <w:rPr>
                <w:sz w:val="7"/>
                <w:szCs w:val="7"/>
                <w:color w:val="auto"/>
              </w:rPr>
            </w:pPr>
          </w:p>
        </w:tc>
        <w:tc>
          <w:tcPr>
            <w:tcW w:w="0" w:type="dxa"/>
            <w:vAlign w:val="bottom"/>
          </w:tcPr>
          <w:p>
            <w:pPr>
              <w:spacing w:after="0"/>
              <w:rPr>
                <w:sz w:val="1"/>
                <w:szCs w:val="1"/>
                <w:color w:val="auto"/>
              </w:rPr>
            </w:pPr>
          </w:p>
        </w:tc>
      </w:tr>
      <w:tr>
        <w:trPr>
          <w:trHeight w:val="290"/>
        </w:trPr>
        <w:tc>
          <w:tcPr>
            <w:tcW w:w="7940" w:type="dxa"/>
            <w:vAlign w:val="bottom"/>
            <w:tcBorders>
              <w:left w:val="single" w:sz="8" w:color="E5E5E5"/>
              <w:right w:val="single" w:sz="8" w:color="E5E5E5"/>
            </w:tcBorders>
          </w:tcPr>
          <w:p>
            <w:pPr>
              <w:ind w:left="80"/>
              <w:spacing w:after="0"/>
              <w:rPr>
                <w:sz w:val="20"/>
                <w:szCs w:val="20"/>
                <w:color w:val="auto"/>
              </w:rPr>
            </w:pPr>
            <w:r>
              <w:rPr>
                <w:rFonts w:ascii="Arial" w:cs="Arial" w:eastAsia="Arial" w:hAnsi="Arial"/>
                <w:sz w:val="16"/>
                <w:szCs w:val="16"/>
                <w:color w:val="auto"/>
              </w:rPr>
              <w:t>- fair value (from prior year-end) for prior-year equity awards that failed to meet applicable vesting conditions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Borders>
              <w:right w:val="single" w:sz="8" w:color="E5E5E5"/>
            </w:tcBorders>
          </w:tcPr>
          <w:p>
            <w:pPr>
              <w:jc w:val="right"/>
              <w:spacing w:after="0"/>
              <w:rPr>
                <w:sz w:val="20"/>
                <w:szCs w:val="20"/>
                <w:color w:val="auto"/>
              </w:rPr>
            </w:pPr>
            <w:r>
              <w:rPr>
                <w:rFonts w:ascii="Arial" w:cs="Arial" w:eastAsia="Arial" w:hAnsi="Arial"/>
                <w:sz w:val="16"/>
                <w:szCs w:val="16"/>
                <w:color w:val="auto"/>
              </w:rPr>
              <w:t>(91,000)</w:t>
            </w:r>
          </w:p>
        </w:tc>
        <w:tc>
          <w:tcPr>
            <w:tcW w:w="0" w:type="dxa"/>
            <w:vAlign w:val="bottom"/>
          </w:tcPr>
          <w:p>
            <w:pPr>
              <w:spacing w:after="0"/>
              <w:rPr>
                <w:sz w:val="1"/>
                <w:szCs w:val="1"/>
                <w:color w:val="auto"/>
              </w:rPr>
            </w:pPr>
          </w:p>
        </w:tc>
      </w:tr>
      <w:tr>
        <w:trPr>
          <w:trHeight w:val="202"/>
        </w:trPr>
        <w:tc>
          <w:tcPr>
            <w:tcW w:w="7940" w:type="dxa"/>
            <w:vAlign w:val="bottom"/>
            <w:tcBorders>
              <w:left w:val="single" w:sz="8" w:color="E5E5E5"/>
              <w:bottom w:val="single" w:sz="8" w:color="E5E5E5"/>
              <w:right w:val="single" w:sz="8" w:color="E5E5E5"/>
            </w:tcBorders>
          </w:tcPr>
          <w:p>
            <w:pPr>
              <w:ind w:left="40"/>
              <w:spacing w:after="0"/>
              <w:rPr>
                <w:sz w:val="20"/>
                <w:szCs w:val="20"/>
                <w:color w:val="auto"/>
              </w:rPr>
            </w:pPr>
            <w:r>
              <w:rPr>
                <w:rFonts w:ascii="Arial" w:cs="Arial" w:eastAsia="Arial" w:hAnsi="Arial"/>
                <w:sz w:val="16"/>
                <w:szCs w:val="16"/>
                <w:color w:val="auto"/>
              </w:rPr>
              <w:t>in Covered Year</w:t>
            </w:r>
          </w:p>
        </w:tc>
        <w:tc>
          <w:tcPr>
            <w:tcW w:w="260" w:type="dxa"/>
            <w:vAlign w:val="bottom"/>
            <w:tcBorders>
              <w:bottom w:val="single" w:sz="8" w:color="E5E5E5"/>
            </w:tcBorders>
          </w:tcPr>
          <w:p>
            <w:pPr>
              <w:spacing w:after="0"/>
              <w:rPr>
                <w:sz w:val="17"/>
                <w:szCs w:val="17"/>
                <w:color w:val="auto"/>
              </w:rPr>
            </w:pPr>
          </w:p>
        </w:tc>
        <w:tc>
          <w:tcPr>
            <w:tcW w:w="1060" w:type="dxa"/>
            <w:vAlign w:val="bottom"/>
            <w:tcBorders>
              <w:bottom w:val="single" w:sz="8" w:color="E5E5E5"/>
              <w:right w:val="single" w:sz="8" w:color="E5E5E5"/>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320" w:hanging="312"/>
        <w:spacing w:after="0"/>
        <w:tabs>
          <w:tab w:leader="none" w:pos="32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non-PEO named executive officers consist of the following individuals:</w:t>
      </w:r>
    </w:p>
    <w:p>
      <w:pPr>
        <w:spacing w:after="0" w:line="59" w:lineRule="exact"/>
        <w:rPr>
          <w:rFonts w:ascii="Arial" w:cs="Arial" w:eastAsia="Arial" w:hAnsi="Arial"/>
          <w:sz w:val="16"/>
          <w:szCs w:val="16"/>
          <w:color w:val="auto"/>
        </w:rPr>
      </w:pPr>
    </w:p>
    <w:p>
      <w:pPr>
        <w:ind w:left="660" w:hanging="328"/>
        <w:spacing w:after="0"/>
        <w:tabs>
          <w:tab w:leader="none" w:pos="660" w:val="left"/>
        </w:tabs>
        <w:numPr>
          <w:ilvl w:val="1"/>
          <w:numId w:val="66"/>
        </w:numPr>
        <w:rPr>
          <w:rFonts w:ascii="Arial" w:cs="Arial" w:eastAsia="Arial" w:hAnsi="Arial"/>
          <w:sz w:val="16"/>
          <w:szCs w:val="16"/>
          <w:color w:val="auto"/>
        </w:rPr>
      </w:pPr>
      <w:r>
        <w:rPr>
          <w:rFonts w:ascii="Arial" w:cs="Arial" w:eastAsia="Arial" w:hAnsi="Arial"/>
          <w:sz w:val="16"/>
          <w:szCs w:val="16"/>
          <w:color w:val="auto"/>
        </w:rPr>
        <w:t>For 2024, Michael Welch, Daniel Clara, Jed Milstein, Dean Calloway, George Villasana and Miran Maric;</w:t>
      </w:r>
    </w:p>
    <w:p>
      <w:pPr>
        <w:spacing w:after="0" w:line="59" w:lineRule="exact"/>
        <w:rPr>
          <w:rFonts w:ascii="Arial" w:cs="Arial" w:eastAsia="Arial" w:hAnsi="Arial"/>
          <w:sz w:val="16"/>
          <w:szCs w:val="16"/>
          <w:color w:val="auto"/>
        </w:rPr>
      </w:pPr>
    </w:p>
    <w:p>
      <w:pPr>
        <w:ind w:left="660" w:hanging="328"/>
        <w:spacing w:after="0"/>
        <w:tabs>
          <w:tab w:leader="none" w:pos="660" w:val="left"/>
        </w:tabs>
        <w:numPr>
          <w:ilvl w:val="1"/>
          <w:numId w:val="66"/>
        </w:numPr>
        <w:rPr>
          <w:rFonts w:ascii="Arial" w:cs="Arial" w:eastAsia="Arial" w:hAnsi="Arial"/>
          <w:sz w:val="16"/>
          <w:szCs w:val="16"/>
          <w:color w:val="auto"/>
        </w:rPr>
      </w:pPr>
      <w:r>
        <w:rPr>
          <w:rFonts w:ascii="Arial" w:cs="Arial" w:eastAsia="Arial" w:hAnsi="Arial"/>
          <w:sz w:val="16"/>
          <w:szCs w:val="16"/>
          <w:color w:val="auto"/>
        </w:rPr>
        <w:t>For 2023 and 2022, Michael Welch, Daniel Clara, George Villasana and Jed Milstein;</w:t>
      </w:r>
    </w:p>
    <w:p>
      <w:pPr>
        <w:spacing w:after="0" w:line="72" w:lineRule="exact"/>
        <w:rPr>
          <w:rFonts w:ascii="Arial" w:cs="Arial" w:eastAsia="Arial" w:hAnsi="Arial"/>
          <w:sz w:val="16"/>
          <w:szCs w:val="16"/>
          <w:color w:val="auto"/>
        </w:rPr>
      </w:pPr>
    </w:p>
    <w:p>
      <w:pPr>
        <w:ind w:left="660" w:hanging="328"/>
        <w:spacing w:after="0"/>
        <w:tabs>
          <w:tab w:leader="none" w:pos="660" w:val="left"/>
        </w:tabs>
        <w:numPr>
          <w:ilvl w:val="1"/>
          <w:numId w:val="66"/>
        </w:numPr>
        <w:rPr>
          <w:rFonts w:ascii="Arial" w:cs="Arial" w:eastAsia="Arial" w:hAnsi="Arial"/>
          <w:sz w:val="16"/>
          <w:szCs w:val="16"/>
          <w:color w:val="auto"/>
        </w:rPr>
      </w:pPr>
      <w:r>
        <w:rPr>
          <w:rFonts w:ascii="Arial" w:cs="Arial" w:eastAsia="Arial" w:hAnsi="Arial"/>
          <w:sz w:val="16"/>
          <w:szCs w:val="16"/>
          <w:color w:val="auto"/>
        </w:rPr>
        <w:t>For 2021, Michael Welch, Daniel Clara, George Villasana, Jed Milstein, William Stax and Patrick Guido.; and</w:t>
      </w:r>
    </w:p>
    <w:p>
      <w:pPr>
        <w:spacing w:after="0" w:line="59" w:lineRule="exact"/>
        <w:rPr>
          <w:rFonts w:ascii="Arial" w:cs="Arial" w:eastAsia="Arial" w:hAnsi="Arial"/>
          <w:sz w:val="16"/>
          <w:szCs w:val="16"/>
          <w:color w:val="auto"/>
        </w:rPr>
      </w:pPr>
    </w:p>
    <w:p>
      <w:pPr>
        <w:ind w:left="660" w:hanging="328"/>
        <w:spacing w:after="0"/>
        <w:tabs>
          <w:tab w:leader="none" w:pos="660" w:val="left"/>
        </w:tabs>
        <w:numPr>
          <w:ilvl w:val="1"/>
          <w:numId w:val="66"/>
        </w:numPr>
        <w:rPr>
          <w:rFonts w:ascii="Arial" w:cs="Arial" w:eastAsia="Arial" w:hAnsi="Arial"/>
          <w:sz w:val="16"/>
          <w:szCs w:val="16"/>
          <w:color w:val="auto"/>
        </w:rPr>
      </w:pPr>
      <w:r>
        <w:rPr>
          <w:rFonts w:ascii="Arial" w:cs="Arial" w:eastAsia="Arial" w:hAnsi="Arial"/>
          <w:sz w:val="16"/>
          <w:szCs w:val="16"/>
          <w:color w:val="auto"/>
        </w:rPr>
        <w:t>For 2020, Daniel Clara, George Villasana, Jed Milstein, William Stax and Patrick Guido.</w:t>
      </w:r>
    </w:p>
    <w:p>
      <w:pPr>
        <w:spacing w:after="0" w:line="72" w:lineRule="exact"/>
        <w:rPr>
          <w:rFonts w:ascii="Arial" w:cs="Arial" w:eastAsia="Arial" w:hAnsi="Arial"/>
          <w:sz w:val="16"/>
          <w:szCs w:val="16"/>
          <w:color w:val="auto"/>
        </w:rPr>
      </w:pPr>
    </w:p>
    <w:p>
      <w:pPr>
        <w:ind w:left="340" w:hanging="332"/>
        <w:spacing w:after="0" w:line="265" w:lineRule="auto"/>
        <w:tabs>
          <w:tab w:leader="none" w:pos="335" w:val="left"/>
        </w:tabs>
        <w:numPr>
          <w:ilvl w:val="0"/>
          <w:numId w:val="66"/>
        </w:numPr>
        <w:rPr>
          <w:rFonts w:ascii="Arial" w:cs="Arial" w:eastAsia="Arial" w:hAnsi="Arial"/>
          <w:sz w:val="16"/>
          <w:szCs w:val="16"/>
          <w:color w:val="auto"/>
        </w:rPr>
      </w:pPr>
      <w:r>
        <w:rPr>
          <w:rFonts w:ascii="Arial" w:cs="Arial" w:eastAsia="Arial" w:hAnsi="Arial"/>
          <w:sz w:val="16"/>
          <w:szCs w:val="16"/>
          <w:color w:val="auto"/>
        </w:rPr>
        <w:t>For each of 2020, 2021, 2022, 2023 and 2024, total stockholder return (“TSR”) for the Company and the Peer Group Index (described below) was calculated as the cumulative total stockholder return based on a deemed fixed investment of $100 at market close on December 31, 2019, assuming dividend reinvestment. Because fiscal years are presented in the table in reverse chronological order (from top to bottom), the table should be read from bottom to top for purposes of understanding cumulative returns over time.</w:t>
      </w:r>
    </w:p>
    <w:p>
      <w:pPr>
        <w:spacing w:after="0" w:line="10" w:lineRule="exact"/>
        <w:rPr>
          <w:rFonts w:ascii="Arial" w:cs="Arial" w:eastAsia="Arial" w:hAnsi="Arial"/>
          <w:sz w:val="16"/>
          <w:szCs w:val="16"/>
          <w:color w:val="auto"/>
        </w:rPr>
      </w:pPr>
    </w:p>
    <w:p>
      <w:pPr>
        <w:ind w:left="340" w:right="380" w:hanging="332"/>
        <w:spacing w:after="0" w:line="286" w:lineRule="auto"/>
        <w:tabs>
          <w:tab w:leader="none" w:pos="335" w:val="left"/>
        </w:tabs>
        <w:numPr>
          <w:ilvl w:val="0"/>
          <w:numId w:val="66"/>
        </w:numPr>
        <w:rPr>
          <w:rFonts w:ascii="Arial" w:cs="Arial" w:eastAsia="Arial" w:hAnsi="Arial"/>
          <w:sz w:val="16"/>
          <w:szCs w:val="16"/>
          <w:color w:val="auto"/>
        </w:rPr>
      </w:pPr>
      <w:r>
        <w:rPr>
          <w:rFonts w:ascii="Arial" w:cs="Arial" w:eastAsia="Arial" w:hAnsi="Arial"/>
          <w:sz w:val="16"/>
          <w:szCs w:val="16"/>
          <w:color w:val="auto"/>
        </w:rPr>
        <w:t>Reflects market-weighted Peer Group Index composed of the common stock of AutoNation, Inc., Sonic Automotive, Inc., Group 1 Automotive, Inc., Penske Automotive Group, Inc. and Lithia Motors, Inc. For purposes of this disclosure, the returns of each issuer</w:t>
      </w:r>
    </w:p>
    <w:p>
      <w:pPr>
        <w:sectPr>
          <w:pgSz w:w="11900" w:h="16838" w:orient="portrait"/>
          <w:cols w:equalWidth="0" w:num="1">
            <w:col w:w="11200"/>
          </w:cols>
          <w:pgMar w:left="320" w:top="122" w:right="379" w:bottom="1440" w:gutter="0" w:footer="0" w:header="0"/>
        </w:sectPr>
      </w:pPr>
    </w:p>
    <w:p>
      <w:pPr>
        <w:spacing w:after="0" w:line="32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type w:val="continuous"/>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were weighted according to the respective issuer’s market capitalization at the beginning of each period for which a return is indicated.</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(6)  Adjusted EBITDA is defined in Appendix A ("Non-GAAP Financial Measures and Reconciliation").</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Pay Versus Performance Charts</w:t>
      </w:r>
    </w:p>
    <w:p>
      <w:pPr>
        <w:spacing w:after="0" w:line="92"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following charts provide, across the last three completed fiscal years, (a) a comparison between our cumulative TSR and the total stockholder return of the Peer Group Index, and (b) illustrations of the relationships between (i) the compensation “actually paid” to the PEO and the average of the compensation “actually paid” to our non-PEO named executive officers and (ii) each of our TSR, our net income, and our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6086475" cy="670369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086475" cy="6703695"/>
                    </a:xfrm>
                    <a:prstGeom prst="rect">
                      <a:avLst/>
                    </a:prstGeom>
                    <a:noFill/>
                  </pic:spPr>
                </pic:pic>
              </a:graphicData>
            </a:graphic>
          </wp:anchor>
        </w:drawing>
      </w:r>
    </w:p>
    <w:p>
      <w:pPr>
        <w:sectPr>
          <w:pgSz w:w="11900" w:h="16838" w:orient="portrait"/>
          <w:cols w:equalWidth="0" w:num="1">
            <w:col w:w="11140"/>
          </w:cols>
          <w:pgMar w:left="320" w:top="122"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2" w:right="439" w:bottom="1440" w:gutter="0" w:footer="0" w:header="0"/>
          <w:type w:val="continuous"/>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6292215" cy="67119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292215" cy="6711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right"/>
        <w:ind w:right="6219"/>
        <w:spacing w:after="0"/>
        <w:rPr>
          <w:sz w:val="20"/>
          <w:szCs w:val="20"/>
          <w:color w:val="auto"/>
        </w:rPr>
      </w:pPr>
      <w:r>
        <w:rPr>
          <w:rFonts w:ascii="Arial" w:cs="Arial" w:eastAsia="Arial" w:hAnsi="Arial"/>
          <w:sz w:val="21"/>
          <w:szCs w:val="21"/>
          <w:b w:val="1"/>
          <w:bCs w:val="1"/>
          <w:i w:val="1"/>
          <w:iCs w:val="1"/>
          <w:color w:val="auto"/>
        </w:rPr>
        <w:t>Tabular List of Performance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2905760" cy="6254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905760" cy="625475"/>
                    </a:xfrm>
                    <a:prstGeom prst="rect">
                      <a:avLst/>
                    </a:prstGeom>
                    <a:noFill/>
                  </pic:spPr>
                </pic:pic>
              </a:graphicData>
            </a:graphic>
          </wp:anchor>
        </w:drawing>
      </w:r>
    </w:p>
    <w:p>
      <w:pPr>
        <w:spacing w:after="0" w:line="138" w:lineRule="exact"/>
        <w:rPr>
          <w:sz w:val="20"/>
          <w:szCs w:val="20"/>
          <w:color w:val="auto"/>
        </w:rPr>
      </w:pPr>
    </w:p>
    <w:p>
      <w:pPr>
        <w:jc w:val="center"/>
        <w:ind w:right="5539"/>
        <w:spacing w:after="0"/>
        <w:rPr>
          <w:sz w:val="20"/>
          <w:szCs w:val="20"/>
          <w:color w:val="auto"/>
        </w:rPr>
      </w:pPr>
      <w:r>
        <w:rPr>
          <w:rFonts w:ascii="Arial" w:cs="Arial" w:eastAsia="Arial" w:hAnsi="Arial"/>
          <w:sz w:val="17"/>
          <w:szCs w:val="17"/>
          <w:b w:val="1"/>
          <w:bCs w:val="1"/>
          <w:color w:val="FFFFFF"/>
        </w:rPr>
        <w:t>Most Important Performance Measures</w:t>
      </w:r>
    </w:p>
    <w:p>
      <w:pPr>
        <w:spacing w:after="0" w:line="51" w:lineRule="exact"/>
        <w:rPr>
          <w:sz w:val="20"/>
          <w:szCs w:val="20"/>
          <w:color w:val="auto"/>
        </w:rPr>
      </w:pPr>
    </w:p>
    <w:p>
      <w:pPr>
        <w:jc w:val="center"/>
        <w:ind w:right="5539"/>
        <w:spacing w:after="0"/>
        <w:rPr>
          <w:sz w:val="20"/>
          <w:szCs w:val="20"/>
          <w:color w:val="auto"/>
        </w:rPr>
      </w:pPr>
      <w:r>
        <w:rPr>
          <w:rFonts w:ascii="Arial" w:cs="Arial" w:eastAsia="Arial" w:hAnsi="Arial"/>
          <w:sz w:val="18"/>
          <w:szCs w:val="18"/>
          <w:color w:val="auto"/>
        </w:rPr>
        <w:t>Adjusted EBITDA</w:t>
      </w:r>
    </w:p>
    <w:p>
      <w:pPr>
        <w:spacing w:after="0" w:line="32" w:lineRule="exact"/>
        <w:rPr>
          <w:sz w:val="20"/>
          <w:szCs w:val="20"/>
          <w:color w:val="auto"/>
        </w:rPr>
      </w:pPr>
    </w:p>
    <w:p>
      <w:pPr>
        <w:jc w:val="center"/>
        <w:ind w:right="5539"/>
        <w:spacing w:after="0"/>
        <w:rPr>
          <w:sz w:val="20"/>
          <w:szCs w:val="20"/>
          <w:color w:val="auto"/>
        </w:rPr>
      </w:pPr>
      <w:r>
        <w:rPr>
          <w:rFonts w:ascii="Arial" w:cs="Arial" w:eastAsia="Arial" w:hAnsi="Arial"/>
          <w:sz w:val="18"/>
          <w:szCs w:val="18"/>
          <w:color w:val="auto"/>
        </w:rPr>
        <w:t>Adjusted EPS</w:t>
      </w:r>
    </w:p>
    <w:p>
      <w:pPr>
        <w:spacing w:after="0" w:line="36" w:lineRule="exact"/>
        <w:rPr>
          <w:sz w:val="20"/>
          <w:szCs w:val="20"/>
          <w:color w:val="auto"/>
        </w:rPr>
      </w:pPr>
    </w:p>
    <w:p>
      <w:pPr>
        <w:jc w:val="center"/>
        <w:ind w:right="5539"/>
        <w:spacing w:after="0"/>
        <w:rPr>
          <w:sz w:val="20"/>
          <w:szCs w:val="20"/>
          <w:color w:val="auto"/>
        </w:rPr>
      </w:pPr>
      <w:r>
        <w:rPr>
          <w:rFonts w:ascii="Arial" w:cs="Arial" w:eastAsia="Arial" w:hAnsi="Arial"/>
          <w:sz w:val="18"/>
          <w:szCs w:val="18"/>
          <w:color w:val="auto"/>
        </w:rPr>
        <w:t>Adjusted Operating Margin</w:t>
      </w:r>
    </w:p>
    <w:p>
      <w:pPr>
        <w:sectPr>
          <w:pgSz w:w="11900" w:h="16838" w:orient="portrait"/>
          <w:cols w:equalWidth="0" w:num="1">
            <w:col w:w="10139"/>
          </w:cols>
          <w:pgMar w:left="320" w:top="122" w:right="1440" w:bottom="1440" w:gutter="0" w:footer="0" w:header="0"/>
        </w:sectPr>
      </w:pPr>
    </w:p>
    <w:p>
      <w:pPr>
        <w:spacing w:after="0" w:line="200" w:lineRule="exact"/>
        <w:rPr>
          <w:sz w:val="20"/>
          <w:szCs w:val="20"/>
          <w:color w:val="auto"/>
        </w:rPr>
      </w:pPr>
    </w:p>
    <w:p>
      <w:pPr>
        <w:spacing w:after="0" w:line="349"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2" w:right="1440" w:bottom="1440" w:gutter="0" w:footer="0" w:header="0"/>
          <w:type w:val="continuous"/>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02" w:lineRule="exact"/>
        <w:rPr>
          <w:sz w:val="20"/>
          <w:szCs w:val="20"/>
          <w:color w:val="auto"/>
        </w:rPr>
      </w:pPr>
    </w:p>
    <w:p>
      <w:pPr>
        <w:ind w:right="1000"/>
        <w:spacing w:after="0" w:line="249" w:lineRule="auto"/>
        <w:rPr>
          <w:sz w:val="20"/>
          <w:szCs w:val="20"/>
          <w:color w:val="auto"/>
        </w:rPr>
      </w:pPr>
      <w:r>
        <w:rPr>
          <w:rFonts w:ascii="Arial" w:cs="Arial" w:eastAsia="Arial" w:hAnsi="Arial"/>
          <w:sz w:val="36"/>
          <w:szCs w:val="36"/>
          <w:b w:val="1"/>
          <w:bCs w:val="1"/>
          <w:color w:val="auto"/>
        </w:rPr>
        <w:t>SECURITIES AUTHORIZED FOR ISSUANCE UNDER EQUITY COMPENSATION PLANS</w:t>
      </w:r>
    </w:p>
    <w:p>
      <w:pPr>
        <w:spacing w:after="0" w:line="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Equity Compensation Plan Information</w:t>
      </w:r>
    </w:p>
    <w:p>
      <w:pPr>
        <w:spacing w:after="0" w:line="86"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The securities outstanding under our equity compensation plans and the number of securities remaining available for issuance under our equity compensation plans, as of December 31, 2024, were as follows:</w:t>
      </w:r>
    </w:p>
    <w:p>
      <w:pPr>
        <w:spacing w:after="0" w:line="73"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3360" w:type="dxa"/>
            <w:vAlign w:val="bottom"/>
            <w:tcBorders>
              <w:left w:val="single" w:sz="8" w:color="E5E5E5"/>
              <w:right w:val="single" w:sz="8" w:color="E5E5E5"/>
            </w:tcBorders>
            <w:shd w:val="clear" w:color="auto" w:fill="D91E18"/>
          </w:tcPr>
          <w:p>
            <w:pPr>
              <w:spacing w:after="0"/>
              <w:rPr>
                <w:sz w:val="17"/>
                <w:szCs w:val="17"/>
                <w:color w:val="auto"/>
              </w:rPr>
            </w:pPr>
          </w:p>
        </w:tc>
        <w:tc>
          <w:tcPr>
            <w:tcW w:w="2360" w:type="dxa"/>
            <w:vAlign w:val="bottom"/>
            <w:tcBorders>
              <w:right w:val="single" w:sz="8" w:color="E5E5E5"/>
            </w:tcBorders>
            <w:shd w:val="clear" w:color="auto" w:fill="D91E18"/>
          </w:tcPr>
          <w:p>
            <w:pPr>
              <w:spacing w:after="0"/>
              <w:rPr>
                <w:sz w:val="17"/>
                <w:szCs w:val="17"/>
                <w:color w:val="auto"/>
              </w:rPr>
            </w:pPr>
          </w:p>
        </w:tc>
        <w:tc>
          <w:tcPr>
            <w:tcW w:w="2160" w:type="dxa"/>
            <w:vAlign w:val="bottom"/>
            <w:tcBorders>
              <w:right w:val="single" w:sz="8" w:color="E5E5E5"/>
            </w:tcBorders>
            <w:shd w:val="clear" w:color="auto" w:fill="D91E18"/>
          </w:tcPr>
          <w:p>
            <w:pPr>
              <w:spacing w:after="0"/>
              <w:rPr>
                <w:sz w:val="17"/>
                <w:szCs w:val="17"/>
                <w:color w:val="auto"/>
              </w:rPr>
            </w:pPr>
          </w:p>
        </w:tc>
        <w:tc>
          <w:tcPr>
            <w:tcW w:w="3380" w:type="dxa"/>
            <w:vAlign w:val="bottom"/>
            <w:tcBorders>
              <w:right w:val="single" w:sz="8" w:color="E5E5E5"/>
            </w:tcBorders>
            <w:shd w:val="clear" w:color="auto" w:fill="D91E18"/>
          </w:tcPr>
          <w:p>
            <w:pPr>
              <w:jc w:val="center"/>
              <w:spacing w:after="0"/>
              <w:rPr>
                <w:sz w:val="20"/>
                <w:szCs w:val="20"/>
                <w:color w:val="auto"/>
              </w:rPr>
            </w:pPr>
            <w:r>
              <w:rPr>
                <w:rFonts w:ascii="Arial" w:cs="Arial" w:eastAsia="Arial" w:hAnsi="Arial"/>
                <w:sz w:val="18"/>
                <w:szCs w:val="18"/>
                <w:b w:val="1"/>
                <w:bCs w:val="1"/>
                <w:color w:val="FFFFFF"/>
                <w:w w:val="99"/>
              </w:rPr>
              <w:t>Number of Securities Remaining</w:t>
            </w:r>
          </w:p>
        </w:tc>
        <w:tc>
          <w:tcPr>
            <w:tcW w:w="0" w:type="dxa"/>
            <w:vAlign w:val="bottom"/>
          </w:tcPr>
          <w:p>
            <w:pPr>
              <w:spacing w:after="0"/>
              <w:rPr>
                <w:sz w:val="1"/>
                <w:szCs w:val="1"/>
                <w:color w:val="auto"/>
              </w:rPr>
            </w:pPr>
          </w:p>
        </w:tc>
      </w:tr>
      <w:tr>
        <w:trPr>
          <w:trHeight w:val="184"/>
        </w:trPr>
        <w:tc>
          <w:tcPr>
            <w:tcW w:w="3360" w:type="dxa"/>
            <w:vAlign w:val="bottom"/>
            <w:tcBorders>
              <w:left w:val="single" w:sz="8" w:color="E5E5E5"/>
              <w:right w:val="single" w:sz="8" w:color="E5E5E5"/>
            </w:tcBorders>
            <w:shd w:val="clear" w:color="auto" w:fill="D91E18"/>
          </w:tcPr>
          <w:p>
            <w:pPr>
              <w:spacing w:after="0"/>
              <w:rPr>
                <w:sz w:val="15"/>
                <w:szCs w:val="15"/>
                <w:color w:val="auto"/>
              </w:rPr>
            </w:pPr>
          </w:p>
        </w:tc>
        <w:tc>
          <w:tcPr>
            <w:tcW w:w="2360" w:type="dxa"/>
            <w:vAlign w:val="bottom"/>
            <w:tcBorders>
              <w:right w:val="single" w:sz="8" w:color="E5E5E5"/>
            </w:tcBorders>
            <w:vMerge w:val="restart"/>
            <w:shd w:val="clear" w:color="auto" w:fill="D91E18"/>
          </w:tcPr>
          <w:p>
            <w:pPr>
              <w:jc w:val="center"/>
              <w:spacing w:after="0"/>
              <w:rPr>
                <w:sz w:val="20"/>
                <w:szCs w:val="20"/>
                <w:color w:val="auto"/>
              </w:rPr>
            </w:pPr>
            <w:r>
              <w:rPr>
                <w:rFonts w:ascii="Arial" w:cs="Arial" w:eastAsia="Arial" w:hAnsi="Arial"/>
                <w:sz w:val="18"/>
                <w:szCs w:val="18"/>
                <w:b w:val="1"/>
                <w:bCs w:val="1"/>
                <w:color w:val="FFFFFF"/>
              </w:rPr>
              <w:t>Number of Securities</w:t>
            </w:r>
          </w:p>
        </w:tc>
        <w:tc>
          <w:tcPr>
            <w:tcW w:w="2160" w:type="dxa"/>
            <w:vAlign w:val="bottom"/>
            <w:tcBorders>
              <w:right w:val="single" w:sz="8" w:color="E5E5E5"/>
            </w:tcBorders>
            <w:vMerge w:val="restart"/>
            <w:shd w:val="clear" w:color="auto" w:fill="D91E18"/>
          </w:tcPr>
          <w:p>
            <w:pPr>
              <w:jc w:val="center"/>
              <w:spacing w:after="0"/>
              <w:rPr>
                <w:sz w:val="20"/>
                <w:szCs w:val="20"/>
                <w:color w:val="auto"/>
              </w:rPr>
            </w:pPr>
            <w:r>
              <w:rPr>
                <w:rFonts w:ascii="Arial" w:cs="Arial" w:eastAsia="Arial" w:hAnsi="Arial"/>
                <w:sz w:val="18"/>
                <w:szCs w:val="18"/>
                <w:b w:val="1"/>
                <w:bCs w:val="1"/>
                <w:color w:val="FFFFFF"/>
                <w:w w:val="99"/>
              </w:rPr>
              <w:t>Weighted Average</w:t>
            </w:r>
          </w:p>
        </w:tc>
        <w:tc>
          <w:tcPr>
            <w:tcW w:w="3380" w:type="dxa"/>
            <w:vAlign w:val="bottom"/>
            <w:tcBorders>
              <w:right w:val="single" w:sz="8" w:color="E5E5E5"/>
            </w:tcBorders>
            <w:shd w:val="clear" w:color="auto" w:fill="D91E18"/>
          </w:tcPr>
          <w:p>
            <w:pPr>
              <w:jc w:val="center"/>
              <w:spacing w:after="0" w:line="183" w:lineRule="exact"/>
              <w:rPr>
                <w:sz w:val="20"/>
                <w:szCs w:val="20"/>
                <w:color w:val="auto"/>
              </w:rPr>
            </w:pPr>
            <w:r>
              <w:rPr>
                <w:rFonts w:ascii="Arial" w:cs="Arial" w:eastAsia="Arial" w:hAnsi="Arial"/>
                <w:sz w:val="18"/>
                <w:szCs w:val="18"/>
                <w:b w:val="1"/>
                <w:bCs w:val="1"/>
                <w:color w:val="FFFFFF"/>
                <w:w w:val="99"/>
              </w:rPr>
              <w:t>Available for Future Issuance Under</w:t>
            </w:r>
          </w:p>
        </w:tc>
        <w:tc>
          <w:tcPr>
            <w:tcW w:w="0" w:type="dxa"/>
            <w:vAlign w:val="bottom"/>
          </w:tcPr>
          <w:p>
            <w:pPr>
              <w:spacing w:after="0"/>
              <w:rPr>
                <w:sz w:val="1"/>
                <w:szCs w:val="1"/>
                <w:color w:val="auto"/>
              </w:rPr>
            </w:pPr>
          </w:p>
        </w:tc>
      </w:tr>
      <w:tr>
        <w:trPr>
          <w:trHeight w:val="73"/>
        </w:trPr>
        <w:tc>
          <w:tcPr>
            <w:tcW w:w="3360" w:type="dxa"/>
            <w:vAlign w:val="bottom"/>
            <w:tcBorders>
              <w:left w:val="single" w:sz="8" w:color="E5E5E5"/>
              <w:right w:val="single" w:sz="8" w:color="E5E5E5"/>
            </w:tcBorders>
            <w:shd w:val="clear" w:color="auto" w:fill="D91E18"/>
          </w:tcPr>
          <w:p>
            <w:pPr>
              <w:spacing w:after="0"/>
              <w:rPr>
                <w:sz w:val="6"/>
                <w:szCs w:val="6"/>
                <w:color w:val="auto"/>
              </w:rPr>
            </w:pPr>
          </w:p>
        </w:tc>
        <w:tc>
          <w:tcPr>
            <w:tcW w:w="2360" w:type="dxa"/>
            <w:vAlign w:val="bottom"/>
            <w:tcBorders>
              <w:right w:val="single" w:sz="8" w:color="E5E5E5"/>
            </w:tcBorders>
            <w:vMerge w:val="continue"/>
            <w:shd w:val="clear" w:color="auto" w:fill="D91E18"/>
          </w:tcPr>
          <w:p>
            <w:pPr>
              <w:spacing w:after="0"/>
              <w:rPr>
                <w:sz w:val="6"/>
                <w:szCs w:val="6"/>
                <w:color w:val="auto"/>
              </w:rPr>
            </w:pPr>
          </w:p>
        </w:tc>
        <w:tc>
          <w:tcPr>
            <w:tcW w:w="2160" w:type="dxa"/>
            <w:vAlign w:val="bottom"/>
            <w:tcBorders>
              <w:right w:val="single" w:sz="8" w:color="E5E5E5"/>
            </w:tcBorders>
            <w:vMerge w:val="continue"/>
            <w:shd w:val="clear" w:color="auto" w:fill="D91E18"/>
          </w:tcPr>
          <w:p>
            <w:pPr>
              <w:spacing w:after="0"/>
              <w:rPr>
                <w:sz w:val="6"/>
                <w:szCs w:val="6"/>
                <w:color w:val="auto"/>
              </w:rPr>
            </w:pPr>
          </w:p>
        </w:tc>
        <w:tc>
          <w:tcPr>
            <w:tcW w:w="3380" w:type="dxa"/>
            <w:vAlign w:val="bottom"/>
            <w:tcBorders>
              <w:right w:val="single" w:sz="8" w:color="E5E5E5"/>
            </w:tcBorders>
            <w:vMerge w:val="restart"/>
            <w:shd w:val="clear" w:color="auto" w:fill="D91E18"/>
          </w:tcPr>
          <w:p>
            <w:pPr>
              <w:jc w:val="center"/>
              <w:spacing w:after="0"/>
              <w:rPr>
                <w:sz w:val="20"/>
                <w:szCs w:val="20"/>
                <w:color w:val="auto"/>
              </w:rPr>
            </w:pPr>
            <w:r>
              <w:rPr>
                <w:rFonts w:ascii="Arial" w:cs="Arial" w:eastAsia="Arial" w:hAnsi="Arial"/>
                <w:sz w:val="18"/>
                <w:szCs w:val="18"/>
                <w:b w:val="1"/>
                <w:bCs w:val="1"/>
                <w:color w:val="FFFFFF"/>
              </w:rPr>
              <w:t>Equity Compensation</w:t>
            </w:r>
          </w:p>
        </w:tc>
        <w:tc>
          <w:tcPr>
            <w:tcW w:w="0" w:type="dxa"/>
            <w:vAlign w:val="bottom"/>
          </w:tcPr>
          <w:p>
            <w:pPr>
              <w:spacing w:after="0"/>
              <w:rPr>
                <w:sz w:val="1"/>
                <w:szCs w:val="1"/>
                <w:color w:val="auto"/>
              </w:rPr>
            </w:pPr>
          </w:p>
        </w:tc>
      </w:tr>
      <w:tr>
        <w:trPr>
          <w:trHeight w:val="143"/>
        </w:trPr>
        <w:tc>
          <w:tcPr>
            <w:tcW w:w="3360" w:type="dxa"/>
            <w:vAlign w:val="bottom"/>
            <w:tcBorders>
              <w:left w:val="single" w:sz="8" w:color="E5E5E5"/>
              <w:right w:val="single" w:sz="8" w:color="E5E5E5"/>
            </w:tcBorders>
            <w:shd w:val="clear" w:color="auto" w:fill="D91E18"/>
          </w:tcPr>
          <w:p>
            <w:pPr>
              <w:spacing w:after="0"/>
              <w:rPr>
                <w:sz w:val="12"/>
                <w:szCs w:val="12"/>
                <w:color w:val="auto"/>
              </w:rPr>
            </w:pPr>
          </w:p>
        </w:tc>
        <w:tc>
          <w:tcPr>
            <w:tcW w:w="2360" w:type="dxa"/>
            <w:vAlign w:val="bottom"/>
            <w:tcBorders>
              <w:right w:val="single" w:sz="8" w:color="E5E5E5"/>
            </w:tcBorders>
            <w:vMerge w:val="restart"/>
            <w:shd w:val="clear" w:color="auto" w:fill="D91E18"/>
          </w:tcPr>
          <w:p>
            <w:pPr>
              <w:jc w:val="center"/>
              <w:spacing w:after="0" w:line="183" w:lineRule="exact"/>
              <w:rPr>
                <w:sz w:val="20"/>
                <w:szCs w:val="20"/>
                <w:color w:val="auto"/>
              </w:rPr>
            </w:pPr>
            <w:r>
              <w:rPr>
                <w:rFonts w:ascii="Arial" w:cs="Arial" w:eastAsia="Arial" w:hAnsi="Arial"/>
                <w:sz w:val="18"/>
                <w:szCs w:val="18"/>
                <w:b w:val="1"/>
                <w:bCs w:val="1"/>
                <w:color w:val="FFFFFF"/>
                <w:w w:val="99"/>
              </w:rPr>
              <w:t>to be Issued Upon</w:t>
            </w:r>
          </w:p>
        </w:tc>
        <w:tc>
          <w:tcPr>
            <w:tcW w:w="2160" w:type="dxa"/>
            <w:vAlign w:val="bottom"/>
            <w:tcBorders>
              <w:right w:val="single" w:sz="8" w:color="E5E5E5"/>
            </w:tcBorders>
            <w:vMerge w:val="restart"/>
            <w:shd w:val="clear" w:color="auto" w:fill="D91E18"/>
          </w:tcPr>
          <w:p>
            <w:pPr>
              <w:jc w:val="center"/>
              <w:spacing w:after="0" w:line="183" w:lineRule="exact"/>
              <w:rPr>
                <w:sz w:val="20"/>
                <w:szCs w:val="20"/>
                <w:color w:val="auto"/>
              </w:rPr>
            </w:pPr>
            <w:r>
              <w:rPr>
                <w:rFonts w:ascii="Arial" w:cs="Arial" w:eastAsia="Arial" w:hAnsi="Arial"/>
                <w:sz w:val="18"/>
                <w:szCs w:val="18"/>
                <w:b w:val="1"/>
                <w:bCs w:val="1"/>
                <w:color w:val="FFFFFF"/>
              </w:rPr>
              <w:t>Exercise Price of</w:t>
            </w:r>
          </w:p>
        </w:tc>
        <w:tc>
          <w:tcPr>
            <w:tcW w:w="3380" w:type="dxa"/>
            <w:vAlign w:val="bottom"/>
            <w:tcBorders>
              <w:right w:val="single" w:sz="8" w:color="E5E5E5"/>
            </w:tcBorders>
            <w:vMerge w:val="continue"/>
            <w:shd w:val="clear" w:color="auto" w:fill="D91E18"/>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3360" w:type="dxa"/>
            <w:vAlign w:val="bottom"/>
            <w:tcBorders>
              <w:left w:val="single" w:sz="8" w:color="E5E5E5"/>
              <w:right w:val="single" w:sz="8" w:color="E5E5E5"/>
            </w:tcBorders>
            <w:shd w:val="clear" w:color="auto" w:fill="D91E18"/>
          </w:tcPr>
          <w:p>
            <w:pPr>
              <w:spacing w:after="0"/>
              <w:rPr>
                <w:sz w:val="3"/>
                <w:szCs w:val="3"/>
                <w:color w:val="auto"/>
              </w:rPr>
            </w:pPr>
          </w:p>
        </w:tc>
        <w:tc>
          <w:tcPr>
            <w:tcW w:w="2360" w:type="dxa"/>
            <w:vAlign w:val="bottom"/>
            <w:tcBorders>
              <w:right w:val="single" w:sz="8" w:color="E5E5E5"/>
            </w:tcBorders>
            <w:vMerge w:val="continue"/>
            <w:shd w:val="clear" w:color="auto" w:fill="D91E18"/>
          </w:tcPr>
          <w:p>
            <w:pPr>
              <w:spacing w:after="0"/>
              <w:rPr>
                <w:sz w:val="3"/>
                <w:szCs w:val="3"/>
                <w:color w:val="auto"/>
              </w:rPr>
            </w:pPr>
          </w:p>
        </w:tc>
        <w:tc>
          <w:tcPr>
            <w:tcW w:w="2160" w:type="dxa"/>
            <w:vAlign w:val="bottom"/>
            <w:tcBorders>
              <w:right w:val="single" w:sz="8" w:color="E5E5E5"/>
            </w:tcBorders>
            <w:vMerge w:val="continue"/>
            <w:shd w:val="clear" w:color="auto" w:fill="D91E18"/>
          </w:tcPr>
          <w:p>
            <w:pPr>
              <w:spacing w:after="0"/>
              <w:rPr>
                <w:sz w:val="3"/>
                <w:szCs w:val="3"/>
                <w:color w:val="auto"/>
              </w:rPr>
            </w:pPr>
          </w:p>
        </w:tc>
        <w:tc>
          <w:tcPr>
            <w:tcW w:w="3380" w:type="dxa"/>
            <w:vAlign w:val="bottom"/>
            <w:tcBorders>
              <w:right w:val="single" w:sz="8" w:color="E5E5E5"/>
            </w:tcBorders>
            <w:vMerge w:val="restart"/>
            <w:shd w:val="clear" w:color="auto" w:fill="D91E18"/>
          </w:tcPr>
          <w:p>
            <w:pPr>
              <w:jc w:val="center"/>
              <w:ind w:right="10"/>
              <w:spacing w:after="0"/>
              <w:rPr>
                <w:sz w:val="20"/>
                <w:szCs w:val="20"/>
                <w:color w:val="auto"/>
              </w:rPr>
            </w:pPr>
            <w:r>
              <w:rPr>
                <w:rFonts w:ascii="Arial" w:cs="Arial" w:eastAsia="Arial" w:hAnsi="Arial"/>
                <w:sz w:val="18"/>
                <w:szCs w:val="18"/>
                <w:b w:val="1"/>
                <w:bCs w:val="1"/>
                <w:color w:val="FFFFFF"/>
                <w:w w:val="99"/>
              </w:rPr>
              <w:t>Plans (excluding securities</w:t>
            </w:r>
          </w:p>
        </w:tc>
        <w:tc>
          <w:tcPr>
            <w:tcW w:w="0" w:type="dxa"/>
            <w:vAlign w:val="bottom"/>
          </w:tcPr>
          <w:p>
            <w:pPr>
              <w:spacing w:after="0"/>
              <w:rPr>
                <w:sz w:val="1"/>
                <w:szCs w:val="1"/>
                <w:color w:val="auto"/>
              </w:rPr>
            </w:pPr>
          </w:p>
        </w:tc>
      </w:tr>
      <w:tr>
        <w:trPr>
          <w:trHeight w:val="208"/>
        </w:trPr>
        <w:tc>
          <w:tcPr>
            <w:tcW w:w="3360" w:type="dxa"/>
            <w:vAlign w:val="bottom"/>
            <w:tcBorders>
              <w:left w:val="single" w:sz="8" w:color="E5E5E5"/>
              <w:right w:val="single" w:sz="8" w:color="E5E5E5"/>
            </w:tcBorders>
            <w:shd w:val="clear" w:color="auto" w:fill="D91E18"/>
          </w:tcPr>
          <w:p>
            <w:pPr>
              <w:spacing w:after="0"/>
              <w:rPr>
                <w:sz w:val="18"/>
                <w:szCs w:val="18"/>
                <w:color w:val="auto"/>
              </w:rPr>
            </w:pPr>
          </w:p>
        </w:tc>
        <w:tc>
          <w:tcPr>
            <w:tcW w:w="2360" w:type="dxa"/>
            <w:vAlign w:val="bottom"/>
            <w:tcBorders>
              <w:right w:val="single" w:sz="8" w:color="E5E5E5"/>
            </w:tcBorders>
            <w:shd w:val="clear" w:color="auto" w:fill="D91E18"/>
          </w:tcPr>
          <w:p>
            <w:pPr>
              <w:jc w:val="center"/>
              <w:spacing w:after="0"/>
              <w:rPr>
                <w:sz w:val="20"/>
                <w:szCs w:val="20"/>
                <w:color w:val="auto"/>
              </w:rPr>
            </w:pPr>
            <w:r>
              <w:rPr>
                <w:rFonts w:ascii="Arial" w:cs="Arial" w:eastAsia="Arial" w:hAnsi="Arial"/>
                <w:sz w:val="18"/>
                <w:szCs w:val="18"/>
                <w:b w:val="1"/>
                <w:bCs w:val="1"/>
                <w:color w:val="FFFFFF"/>
                <w:w w:val="99"/>
              </w:rPr>
              <w:t>Exercise of</w:t>
            </w:r>
          </w:p>
        </w:tc>
        <w:tc>
          <w:tcPr>
            <w:tcW w:w="2160" w:type="dxa"/>
            <w:vAlign w:val="bottom"/>
            <w:tcBorders>
              <w:right w:val="single" w:sz="8" w:color="E5E5E5"/>
            </w:tcBorders>
            <w:shd w:val="clear" w:color="auto" w:fill="D91E18"/>
          </w:tcPr>
          <w:p>
            <w:pPr>
              <w:jc w:val="center"/>
              <w:spacing w:after="0"/>
              <w:rPr>
                <w:sz w:val="20"/>
                <w:szCs w:val="20"/>
                <w:color w:val="auto"/>
              </w:rPr>
            </w:pPr>
            <w:r>
              <w:rPr>
                <w:rFonts w:ascii="Arial" w:cs="Arial" w:eastAsia="Arial" w:hAnsi="Arial"/>
                <w:sz w:val="18"/>
                <w:szCs w:val="18"/>
                <w:b w:val="1"/>
                <w:bCs w:val="1"/>
                <w:color w:val="FFFFFF"/>
                <w:w w:val="99"/>
              </w:rPr>
              <w:t>Outstanding Options,</w:t>
            </w:r>
          </w:p>
        </w:tc>
        <w:tc>
          <w:tcPr>
            <w:tcW w:w="3380" w:type="dxa"/>
            <w:vAlign w:val="bottom"/>
            <w:tcBorders>
              <w:right w:val="single" w:sz="8" w:color="E5E5E5"/>
            </w:tcBorders>
            <w:vMerge w:val="continue"/>
            <w:shd w:val="clear" w:color="auto" w:fill="D91E18"/>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3360" w:type="dxa"/>
            <w:vAlign w:val="bottom"/>
            <w:tcBorders>
              <w:left w:val="single" w:sz="8" w:color="E5E5E5"/>
              <w:right w:val="single" w:sz="8" w:color="E5E5E5"/>
            </w:tcBorders>
            <w:shd w:val="clear" w:color="auto" w:fill="D91E18"/>
          </w:tcPr>
          <w:p>
            <w:pPr>
              <w:spacing w:after="0"/>
              <w:rPr>
                <w:sz w:val="15"/>
                <w:szCs w:val="15"/>
                <w:color w:val="auto"/>
              </w:rPr>
            </w:pPr>
          </w:p>
        </w:tc>
        <w:tc>
          <w:tcPr>
            <w:tcW w:w="2360" w:type="dxa"/>
            <w:vAlign w:val="bottom"/>
            <w:tcBorders>
              <w:right w:val="single" w:sz="8" w:color="E5E5E5"/>
            </w:tcBorders>
            <w:vMerge w:val="restart"/>
            <w:shd w:val="clear" w:color="auto" w:fill="D91E18"/>
          </w:tcPr>
          <w:p>
            <w:pPr>
              <w:jc w:val="center"/>
              <w:spacing w:after="0"/>
              <w:rPr>
                <w:sz w:val="20"/>
                <w:szCs w:val="20"/>
                <w:color w:val="auto"/>
              </w:rPr>
            </w:pPr>
            <w:r>
              <w:rPr>
                <w:rFonts w:ascii="Arial" w:cs="Arial" w:eastAsia="Arial" w:hAnsi="Arial"/>
                <w:sz w:val="18"/>
                <w:szCs w:val="18"/>
                <w:b w:val="1"/>
                <w:bCs w:val="1"/>
                <w:color w:val="FFFFFF"/>
                <w:w w:val="99"/>
              </w:rPr>
              <w:t>Outstanding Options,</w:t>
            </w:r>
          </w:p>
        </w:tc>
        <w:tc>
          <w:tcPr>
            <w:tcW w:w="2160" w:type="dxa"/>
            <w:vAlign w:val="bottom"/>
            <w:tcBorders>
              <w:right w:val="single" w:sz="8" w:color="E5E5E5"/>
            </w:tcBorders>
            <w:shd w:val="clear" w:color="auto" w:fill="D91E18"/>
          </w:tcPr>
          <w:p>
            <w:pPr>
              <w:jc w:val="center"/>
              <w:spacing w:after="0" w:line="183" w:lineRule="exact"/>
              <w:rPr>
                <w:sz w:val="20"/>
                <w:szCs w:val="20"/>
                <w:color w:val="auto"/>
              </w:rPr>
            </w:pPr>
            <w:r>
              <w:rPr>
                <w:rFonts w:ascii="Arial" w:cs="Arial" w:eastAsia="Arial" w:hAnsi="Arial"/>
                <w:sz w:val="18"/>
                <w:szCs w:val="18"/>
                <w:b w:val="1"/>
                <w:bCs w:val="1"/>
                <w:color w:val="FFFFFF"/>
                <w:w w:val="99"/>
              </w:rPr>
              <w:t>Warrants and Rights</w:t>
            </w:r>
          </w:p>
        </w:tc>
        <w:tc>
          <w:tcPr>
            <w:tcW w:w="3380" w:type="dxa"/>
            <w:vAlign w:val="bottom"/>
            <w:tcBorders>
              <w:right w:val="single" w:sz="8" w:color="E5E5E5"/>
            </w:tcBorders>
            <w:shd w:val="clear" w:color="auto" w:fill="D91E18"/>
          </w:tcPr>
          <w:p>
            <w:pPr>
              <w:jc w:val="center"/>
              <w:spacing w:after="0" w:line="183" w:lineRule="exact"/>
              <w:rPr>
                <w:sz w:val="20"/>
                <w:szCs w:val="20"/>
                <w:color w:val="auto"/>
              </w:rPr>
            </w:pPr>
            <w:r>
              <w:rPr>
                <w:rFonts w:ascii="Arial" w:cs="Arial" w:eastAsia="Arial" w:hAnsi="Arial"/>
                <w:sz w:val="18"/>
                <w:szCs w:val="18"/>
                <w:b w:val="1"/>
                <w:bCs w:val="1"/>
                <w:color w:val="FFFFFF"/>
                <w:w w:val="99"/>
              </w:rPr>
              <w:t>reflected in column (a))</w:t>
            </w:r>
          </w:p>
        </w:tc>
        <w:tc>
          <w:tcPr>
            <w:tcW w:w="0" w:type="dxa"/>
            <w:vAlign w:val="bottom"/>
          </w:tcPr>
          <w:p>
            <w:pPr>
              <w:spacing w:after="0"/>
              <w:rPr>
                <w:sz w:val="1"/>
                <w:szCs w:val="1"/>
                <w:color w:val="auto"/>
              </w:rPr>
            </w:pPr>
          </w:p>
        </w:tc>
      </w:tr>
      <w:tr>
        <w:trPr>
          <w:trHeight w:val="32"/>
        </w:trPr>
        <w:tc>
          <w:tcPr>
            <w:tcW w:w="3360" w:type="dxa"/>
            <w:vAlign w:val="bottom"/>
            <w:tcBorders>
              <w:left w:val="single" w:sz="8" w:color="E5E5E5"/>
              <w:right w:val="single" w:sz="8" w:color="E5E5E5"/>
            </w:tcBorders>
            <w:vMerge w:val="restart"/>
            <w:shd w:val="clear" w:color="auto" w:fill="D91E18"/>
          </w:tcPr>
          <w:p>
            <w:pPr>
              <w:jc w:val="center"/>
              <w:spacing w:after="0"/>
              <w:rPr>
                <w:sz w:val="20"/>
                <w:szCs w:val="20"/>
                <w:color w:val="auto"/>
              </w:rPr>
            </w:pPr>
            <w:r>
              <w:rPr>
                <w:rFonts w:ascii="Arial" w:cs="Arial" w:eastAsia="Arial" w:hAnsi="Arial"/>
                <w:sz w:val="18"/>
                <w:szCs w:val="18"/>
                <w:b w:val="1"/>
                <w:bCs w:val="1"/>
                <w:color w:val="FFFFFF"/>
                <w:w w:val="99"/>
              </w:rPr>
              <w:t>Plan Category</w:t>
            </w:r>
          </w:p>
        </w:tc>
        <w:tc>
          <w:tcPr>
            <w:tcW w:w="2360" w:type="dxa"/>
            <w:vAlign w:val="bottom"/>
            <w:tcBorders>
              <w:right w:val="single" w:sz="8" w:color="E5E5E5"/>
            </w:tcBorders>
            <w:vMerge w:val="continue"/>
            <w:shd w:val="clear" w:color="auto" w:fill="D91E18"/>
          </w:tcPr>
          <w:p>
            <w:pPr>
              <w:spacing w:after="0"/>
              <w:rPr>
                <w:sz w:val="2"/>
                <w:szCs w:val="2"/>
                <w:color w:val="auto"/>
              </w:rPr>
            </w:pPr>
          </w:p>
        </w:tc>
        <w:tc>
          <w:tcPr>
            <w:tcW w:w="2160" w:type="dxa"/>
            <w:vAlign w:val="bottom"/>
            <w:tcBorders>
              <w:right w:val="single" w:sz="8" w:color="E5E5E5"/>
            </w:tcBorders>
            <w:vMerge w:val="restart"/>
            <w:shd w:val="clear" w:color="auto" w:fill="D91E18"/>
          </w:tcPr>
          <w:p>
            <w:pPr>
              <w:jc w:val="center"/>
              <w:spacing w:after="0"/>
              <w:rPr>
                <w:sz w:val="20"/>
                <w:szCs w:val="20"/>
                <w:color w:val="auto"/>
              </w:rPr>
            </w:pPr>
            <w:r>
              <w:rPr>
                <w:rFonts w:ascii="Arial" w:cs="Arial" w:eastAsia="Arial" w:hAnsi="Arial"/>
                <w:sz w:val="18"/>
                <w:szCs w:val="18"/>
                <w:b w:val="1"/>
                <w:bCs w:val="1"/>
                <w:color w:val="FFFFFF"/>
                <w:w w:val="95"/>
              </w:rPr>
              <w:t>(b)</w:t>
            </w:r>
          </w:p>
        </w:tc>
        <w:tc>
          <w:tcPr>
            <w:tcW w:w="3380" w:type="dxa"/>
            <w:vAlign w:val="bottom"/>
            <w:tcBorders>
              <w:right w:val="single" w:sz="8" w:color="E5E5E5"/>
            </w:tcBorders>
            <w:vMerge w:val="restart"/>
            <w:shd w:val="clear" w:color="auto" w:fill="D91E18"/>
          </w:tcPr>
          <w:p>
            <w:pPr>
              <w:jc w:val="center"/>
              <w:spacing w:after="0"/>
              <w:rPr>
                <w:sz w:val="20"/>
                <w:szCs w:val="20"/>
                <w:color w:val="auto"/>
              </w:rPr>
            </w:pPr>
            <w:r>
              <w:rPr>
                <w:rFonts w:ascii="Arial" w:cs="Arial" w:eastAsia="Arial" w:hAnsi="Arial"/>
                <w:sz w:val="18"/>
                <w:szCs w:val="18"/>
                <w:b w:val="1"/>
                <w:bCs w:val="1"/>
                <w:color w:val="FFFFFF"/>
                <w:w w:val="99"/>
              </w:rPr>
              <w:t>(c)</w:t>
            </w:r>
          </w:p>
        </w:tc>
        <w:tc>
          <w:tcPr>
            <w:tcW w:w="0" w:type="dxa"/>
            <w:vAlign w:val="bottom"/>
          </w:tcPr>
          <w:p>
            <w:pPr>
              <w:spacing w:after="0" w:line="20" w:lineRule="exact"/>
              <w:rPr>
                <w:sz w:val="1"/>
                <w:szCs w:val="1"/>
                <w:color w:val="auto"/>
              </w:rPr>
            </w:pPr>
          </w:p>
        </w:tc>
      </w:tr>
      <w:tr>
        <w:trPr>
          <w:trHeight w:val="243"/>
        </w:trPr>
        <w:tc>
          <w:tcPr>
            <w:tcW w:w="3360" w:type="dxa"/>
            <w:vAlign w:val="bottom"/>
            <w:tcBorders>
              <w:left w:val="single" w:sz="8" w:color="E5E5E5"/>
              <w:right w:val="single" w:sz="8" w:color="E5E5E5"/>
            </w:tcBorders>
            <w:vMerge w:val="continue"/>
            <w:shd w:val="clear" w:color="auto" w:fill="D91E18"/>
          </w:tcPr>
          <w:p>
            <w:pPr>
              <w:spacing w:after="0"/>
              <w:rPr>
                <w:sz w:val="21"/>
                <w:szCs w:val="21"/>
                <w:color w:val="auto"/>
              </w:rPr>
            </w:pPr>
          </w:p>
        </w:tc>
        <w:tc>
          <w:tcPr>
            <w:tcW w:w="2360" w:type="dxa"/>
            <w:vAlign w:val="bottom"/>
            <w:tcBorders>
              <w:right w:val="single" w:sz="8" w:color="E5E5E5"/>
            </w:tcBorders>
            <w:shd w:val="clear" w:color="auto" w:fill="D91E18"/>
          </w:tcPr>
          <w:p>
            <w:pPr>
              <w:jc w:val="center"/>
              <w:spacing w:after="0"/>
              <w:rPr>
                <w:sz w:val="20"/>
                <w:szCs w:val="20"/>
                <w:color w:val="auto"/>
              </w:rPr>
            </w:pPr>
            <w:r>
              <w:rPr>
                <w:rFonts w:ascii="Arial" w:cs="Arial" w:eastAsia="Arial" w:hAnsi="Arial"/>
                <w:sz w:val="18"/>
                <w:szCs w:val="18"/>
                <w:b w:val="1"/>
                <w:bCs w:val="1"/>
                <w:color w:val="FFFFFF"/>
                <w:w w:val="99"/>
              </w:rPr>
              <w:t>Warrants and Rights (a)</w:t>
            </w:r>
          </w:p>
        </w:tc>
        <w:tc>
          <w:tcPr>
            <w:tcW w:w="2160" w:type="dxa"/>
            <w:vAlign w:val="bottom"/>
            <w:tcBorders>
              <w:right w:val="single" w:sz="8" w:color="E5E5E5"/>
            </w:tcBorders>
            <w:vMerge w:val="continue"/>
            <w:shd w:val="clear" w:color="auto" w:fill="D91E18"/>
          </w:tcPr>
          <w:p>
            <w:pPr>
              <w:spacing w:after="0"/>
              <w:rPr>
                <w:sz w:val="21"/>
                <w:szCs w:val="21"/>
                <w:color w:val="auto"/>
              </w:rPr>
            </w:pPr>
          </w:p>
        </w:tc>
        <w:tc>
          <w:tcPr>
            <w:tcW w:w="3380" w:type="dxa"/>
            <w:vAlign w:val="bottom"/>
            <w:tcBorders>
              <w:right w:val="single" w:sz="8" w:color="E5E5E5"/>
            </w:tcBorders>
            <w:vMerge w:val="continue"/>
            <w:shd w:val="clear" w:color="auto" w:fill="D91E18"/>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3360" w:type="dxa"/>
            <w:vAlign w:val="bottom"/>
            <w:tcBorders>
              <w:left w:val="single" w:sz="8" w:color="E5E5E5"/>
              <w:right w:val="single" w:sz="8" w:color="E5E5E5"/>
            </w:tcBorders>
            <w:shd w:val="clear" w:color="auto" w:fill="E5E5E5"/>
          </w:tcPr>
          <w:p>
            <w:pPr>
              <w:jc w:val="center"/>
              <w:spacing w:after="0"/>
              <w:rPr>
                <w:sz w:val="20"/>
                <w:szCs w:val="20"/>
                <w:color w:val="auto"/>
              </w:rPr>
            </w:pPr>
            <w:r>
              <w:rPr>
                <w:rFonts w:ascii="Arial" w:cs="Arial" w:eastAsia="Arial" w:hAnsi="Arial"/>
                <w:sz w:val="18"/>
                <w:szCs w:val="18"/>
                <w:color w:val="auto"/>
              </w:rPr>
              <w:t>Equity compensation plans approved by</w:t>
            </w:r>
          </w:p>
        </w:tc>
        <w:tc>
          <w:tcPr>
            <w:tcW w:w="2360" w:type="dxa"/>
            <w:vAlign w:val="bottom"/>
            <w:tcBorders>
              <w:right w:val="single" w:sz="8" w:color="E5E5E5"/>
            </w:tcBorders>
            <w:shd w:val="clear" w:color="auto" w:fill="E5E5E5"/>
          </w:tcPr>
          <w:p>
            <w:pPr>
              <w:jc w:val="center"/>
              <w:spacing w:after="0"/>
              <w:rPr>
                <w:sz w:val="20"/>
                <w:szCs w:val="20"/>
                <w:color w:val="auto"/>
              </w:rPr>
            </w:pPr>
            <w:r>
              <w:rPr>
                <w:rFonts w:ascii="Arial" w:cs="Arial" w:eastAsia="Arial" w:hAnsi="Arial"/>
                <w:sz w:val="18"/>
                <w:szCs w:val="18"/>
                <w:color w:val="auto"/>
                <w:w w:val="93"/>
              </w:rPr>
              <w:t>210,909</w:t>
            </w:r>
            <w:r>
              <w:rPr>
                <w:rFonts w:ascii="Arial" w:cs="Arial" w:eastAsia="Arial" w:hAnsi="Arial"/>
                <w:sz w:val="23"/>
                <w:szCs w:val="23"/>
                <w:color w:val="auto"/>
                <w:w w:val="93"/>
                <w:vertAlign w:val="superscript"/>
              </w:rPr>
              <w:t>(1)</w:t>
            </w:r>
          </w:p>
        </w:tc>
        <w:tc>
          <w:tcPr>
            <w:tcW w:w="2160" w:type="dxa"/>
            <w:vAlign w:val="bottom"/>
            <w:tcBorders>
              <w:right w:val="single" w:sz="8" w:color="E5E5E5"/>
            </w:tcBorders>
            <w:shd w:val="clear" w:color="auto" w:fill="E5E5E5"/>
          </w:tcPr>
          <w:p>
            <w:pPr>
              <w:jc w:val="center"/>
              <w:spacing w:after="0"/>
              <w:rPr>
                <w:sz w:val="20"/>
                <w:szCs w:val="20"/>
                <w:color w:val="auto"/>
              </w:rPr>
            </w:pPr>
            <w:r>
              <w:rPr>
                <w:rFonts w:ascii="Arial" w:cs="Arial" w:eastAsia="Arial" w:hAnsi="Arial"/>
                <w:sz w:val="12"/>
                <w:szCs w:val="12"/>
                <w:color w:val="auto"/>
                <w:w w:val="95"/>
              </w:rPr>
              <w:t>(2)</w:t>
            </w:r>
          </w:p>
        </w:tc>
        <w:tc>
          <w:tcPr>
            <w:tcW w:w="3380" w:type="dxa"/>
            <w:vAlign w:val="bottom"/>
            <w:tcBorders>
              <w:right w:val="single" w:sz="8" w:color="E5E5E5"/>
            </w:tcBorders>
            <w:shd w:val="clear" w:color="auto" w:fill="E5E5E5"/>
          </w:tcPr>
          <w:p>
            <w:pPr>
              <w:jc w:val="center"/>
              <w:spacing w:after="0"/>
              <w:rPr>
                <w:sz w:val="20"/>
                <w:szCs w:val="20"/>
                <w:color w:val="auto"/>
              </w:rPr>
            </w:pPr>
            <w:r>
              <w:rPr>
                <w:rFonts w:ascii="Arial" w:cs="Arial" w:eastAsia="Arial" w:hAnsi="Arial"/>
                <w:sz w:val="18"/>
                <w:szCs w:val="18"/>
                <w:color w:val="auto"/>
                <w:w w:val="95"/>
              </w:rPr>
              <w:t>1,268,134</w:t>
            </w:r>
            <w:r>
              <w:rPr>
                <w:rFonts w:ascii="Arial" w:cs="Arial" w:eastAsia="Arial" w:hAnsi="Arial"/>
                <w:sz w:val="23"/>
                <w:szCs w:val="23"/>
                <w:color w:val="auto"/>
                <w:w w:val="95"/>
                <w:vertAlign w:val="superscript"/>
              </w:rPr>
              <w:t>(3)</w:t>
            </w:r>
          </w:p>
        </w:tc>
        <w:tc>
          <w:tcPr>
            <w:tcW w:w="0" w:type="dxa"/>
            <w:vAlign w:val="bottom"/>
          </w:tcPr>
          <w:p>
            <w:pPr>
              <w:spacing w:after="0"/>
              <w:rPr>
                <w:sz w:val="1"/>
                <w:szCs w:val="1"/>
                <w:color w:val="auto"/>
              </w:rPr>
            </w:pPr>
          </w:p>
        </w:tc>
      </w:tr>
      <w:tr>
        <w:trPr>
          <w:trHeight w:val="176"/>
        </w:trPr>
        <w:tc>
          <w:tcPr>
            <w:tcW w:w="3360" w:type="dxa"/>
            <w:vAlign w:val="bottom"/>
            <w:tcBorders>
              <w:left w:val="single" w:sz="8" w:color="E5E5E5"/>
              <w:right w:val="single" w:sz="8" w:color="E5E5E5"/>
            </w:tcBorders>
            <w:shd w:val="clear" w:color="auto" w:fill="E5E5E5"/>
          </w:tcPr>
          <w:p>
            <w:pPr>
              <w:jc w:val="center"/>
              <w:spacing w:after="0" w:line="162" w:lineRule="exact"/>
              <w:rPr>
                <w:sz w:val="20"/>
                <w:szCs w:val="20"/>
                <w:color w:val="auto"/>
              </w:rPr>
            </w:pPr>
            <w:r>
              <w:rPr>
                <w:rFonts w:ascii="Arial" w:cs="Arial" w:eastAsia="Arial" w:hAnsi="Arial"/>
                <w:sz w:val="18"/>
                <w:szCs w:val="18"/>
                <w:color w:val="auto"/>
                <w:w w:val="99"/>
              </w:rPr>
              <w:t>security holders</w:t>
            </w:r>
          </w:p>
        </w:tc>
        <w:tc>
          <w:tcPr>
            <w:tcW w:w="2360" w:type="dxa"/>
            <w:vAlign w:val="bottom"/>
            <w:tcBorders>
              <w:right w:val="single" w:sz="8" w:color="E5E5E5"/>
            </w:tcBorders>
            <w:shd w:val="clear" w:color="auto" w:fill="E5E5E5"/>
          </w:tcPr>
          <w:p>
            <w:pPr>
              <w:spacing w:after="0"/>
              <w:rPr>
                <w:sz w:val="15"/>
                <w:szCs w:val="15"/>
                <w:color w:val="auto"/>
              </w:rPr>
            </w:pPr>
          </w:p>
        </w:tc>
        <w:tc>
          <w:tcPr>
            <w:tcW w:w="2160" w:type="dxa"/>
            <w:vAlign w:val="bottom"/>
            <w:tcBorders>
              <w:right w:val="single" w:sz="8" w:color="E5E5E5"/>
            </w:tcBorders>
            <w:shd w:val="clear" w:color="auto" w:fill="E5E5E5"/>
          </w:tcPr>
          <w:p>
            <w:pPr>
              <w:spacing w:after="0"/>
              <w:rPr>
                <w:sz w:val="15"/>
                <w:szCs w:val="15"/>
                <w:color w:val="auto"/>
              </w:rPr>
            </w:pPr>
          </w:p>
        </w:tc>
        <w:tc>
          <w:tcPr>
            <w:tcW w:w="3380" w:type="dxa"/>
            <w:vAlign w:val="bottom"/>
            <w:tcBorders>
              <w:right w:val="single" w:sz="8" w:color="E5E5E5"/>
            </w:tcBorders>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360" w:type="dxa"/>
            <w:vAlign w:val="bottom"/>
            <w:tcBorders>
              <w:left w:val="single" w:sz="8" w:color="E5E5E5"/>
              <w:right w:val="single" w:sz="8" w:color="E5E5E5"/>
            </w:tcBorders>
          </w:tcPr>
          <w:p>
            <w:pPr>
              <w:jc w:val="center"/>
              <w:spacing w:after="0" w:line="176" w:lineRule="exact"/>
              <w:rPr>
                <w:sz w:val="20"/>
                <w:szCs w:val="20"/>
                <w:color w:val="auto"/>
              </w:rPr>
            </w:pPr>
            <w:r>
              <w:rPr>
                <w:rFonts w:ascii="Arial" w:cs="Arial" w:eastAsia="Arial" w:hAnsi="Arial"/>
                <w:sz w:val="18"/>
                <w:szCs w:val="18"/>
                <w:color w:val="auto"/>
                <w:w w:val="99"/>
              </w:rPr>
              <w:t>Equity compensation plans not</w:t>
            </w:r>
          </w:p>
        </w:tc>
        <w:tc>
          <w:tcPr>
            <w:tcW w:w="2360" w:type="dxa"/>
            <w:vAlign w:val="bottom"/>
            <w:tcBorders>
              <w:right w:val="single" w:sz="8" w:color="E5E5E5"/>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2160" w:type="dxa"/>
            <w:vAlign w:val="bottom"/>
            <w:tcBorders>
              <w:right w:val="single" w:sz="8" w:color="E5E5E5"/>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3380" w:type="dxa"/>
            <w:vAlign w:val="bottom"/>
            <w:tcBorders>
              <w:right w:val="single" w:sz="8" w:color="E5E5E5"/>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66"/>
        </w:trPr>
        <w:tc>
          <w:tcPr>
            <w:tcW w:w="3360" w:type="dxa"/>
            <w:vAlign w:val="bottom"/>
            <w:tcBorders>
              <w:left w:val="single" w:sz="8" w:color="E5E5E5"/>
              <w:right w:val="single" w:sz="8" w:color="E5E5E5"/>
            </w:tcBorders>
            <w:vMerge w:val="restart"/>
          </w:tcPr>
          <w:p>
            <w:pPr>
              <w:jc w:val="center"/>
              <w:spacing w:after="0"/>
              <w:rPr>
                <w:sz w:val="20"/>
                <w:szCs w:val="20"/>
                <w:color w:val="auto"/>
              </w:rPr>
            </w:pPr>
            <w:r>
              <w:rPr>
                <w:rFonts w:ascii="Arial" w:cs="Arial" w:eastAsia="Arial" w:hAnsi="Arial"/>
                <w:sz w:val="18"/>
                <w:szCs w:val="18"/>
                <w:color w:val="auto"/>
                <w:w w:val="99"/>
              </w:rPr>
              <w:t>approved by security holders</w:t>
            </w:r>
          </w:p>
        </w:tc>
        <w:tc>
          <w:tcPr>
            <w:tcW w:w="2360" w:type="dxa"/>
            <w:vAlign w:val="bottom"/>
            <w:tcBorders>
              <w:right w:val="single" w:sz="8" w:color="E5E5E5"/>
            </w:tcBorders>
            <w:vMerge w:val="continue"/>
          </w:tcPr>
          <w:p>
            <w:pPr>
              <w:spacing w:after="0"/>
              <w:rPr>
                <w:sz w:val="14"/>
                <w:szCs w:val="14"/>
                <w:color w:val="auto"/>
              </w:rPr>
            </w:pPr>
          </w:p>
        </w:tc>
        <w:tc>
          <w:tcPr>
            <w:tcW w:w="2160" w:type="dxa"/>
            <w:vAlign w:val="bottom"/>
            <w:tcBorders>
              <w:right w:val="single" w:sz="8" w:color="E5E5E5"/>
            </w:tcBorders>
            <w:vMerge w:val="continue"/>
          </w:tcPr>
          <w:p>
            <w:pPr>
              <w:spacing w:after="0"/>
              <w:rPr>
                <w:sz w:val="14"/>
                <w:szCs w:val="14"/>
                <w:color w:val="auto"/>
              </w:rPr>
            </w:pPr>
          </w:p>
        </w:tc>
        <w:tc>
          <w:tcPr>
            <w:tcW w:w="3380" w:type="dxa"/>
            <w:vAlign w:val="bottom"/>
            <w:tcBorders>
              <w:right w:val="single" w:sz="8" w:color="E5E5E5"/>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3"/>
        </w:trPr>
        <w:tc>
          <w:tcPr>
            <w:tcW w:w="3360" w:type="dxa"/>
            <w:vAlign w:val="bottom"/>
            <w:tcBorders>
              <w:left w:val="single" w:sz="8" w:color="E5E5E5"/>
              <w:right w:val="single" w:sz="8" w:color="E5E5E5"/>
            </w:tcBorders>
            <w:vMerge w:val="continue"/>
          </w:tcPr>
          <w:p>
            <w:pPr>
              <w:spacing w:after="0"/>
              <w:rPr>
                <w:sz w:val="6"/>
                <w:szCs w:val="6"/>
                <w:color w:val="auto"/>
              </w:rPr>
            </w:pPr>
          </w:p>
        </w:tc>
        <w:tc>
          <w:tcPr>
            <w:tcW w:w="2360" w:type="dxa"/>
            <w:vAlign w:val="bottom"/>
            <w:tcBorders>
              <w:right w:val="single" w:sz="8" w:color="E5E5E5"/>
            </w:tcBorders>
          </w:tcPr>
          <w:p>
            <w:pPr>
              <w:spacing w:after="0"/>
              <w:rPr>
                <w:sz w:val="6"/>
                <w:szCs w:val="6"/>
                <w:color w:val="auto"/>
              </w:rPr>
            </w:pPr>
          </w:p>
        </w:tc>
        <w:tc>
          <w:tcPr>
            <w:tcW w:w="2160" w:type="dxa"/>
            <w:vAlign w:val="bottom"/>
            <w:tcBorders>
              <w:right w:val="single" w:sz="8" w:color="E5E5E5"/>
            </w:tcBorders>
          </w:tcPr>
          <w:p>
            <w:pPr>
              <w:spacing w:after="0"/>
              <w:rPr>
                <w:sz w:val="6"/>
                <w:szCs w:val="6"/>
                <w:color w:val="auto"/>
              </w:rPr>
            </w:pPr>
          </w:p>
        </w:tc>
        <w:tc>
          <w:tcPr>
            <w:tcW w:w="3380" w:type="dxa"/>
            <w:vAlign w:val="bottom"/>
            <w:tcBorders>
              <w:right w:val="single" w:sz="8" w:color="E5E5E5"/>
            </w:tcBorders>
          </w:tcPr>
          <w:p>
            <w:pPr>
              <w:spacing w:after="0"/>
              <w:rPr>
                <w:sz w:val="6"/>
                <w:szCs w:val="6"/>
                <w:color w:val="auto"/>
              </w:rPr>
            </w:pPr>
          </w:p>
        </w:tc>
        <w:tc>
          <w:tcPr>
            <w:tcW w:w="0" w:type="dxa"/>
            <w:vAlign w:val="bottom"/>
          </w:tcPr>
          <w:p>
            <w:pPr>
              <w:spacing w:after="0"/>
              <w:rPr>
                <w:sz w:val="1"/>
                <w:szCs w:val="1"/>
                <w:color w:val="auto"/>
              </w:rPr>
            </w:pPr>
          </w:p>
        </w:tc>
      </w:tr>
      <w:tr>
        <w:trPr>
          <w:trHeight w:val="31"/>
        </w:trPr>
        <w:tc>
          <w:tcPr>
            <w:tcW w:w="3360" w:type="dxa"/>
            <w:vAlign w:val="bottom"/>
            <w:tcBorders>
              <w:left w:val="single" w:sz="8" w:color="E5E5E5"/>
              <w:right w:val="single" w:sz="8" w:color="E5E5E5"/>
            </w:tcBorders>
          </w:tcPr>
          <w:p>
            <w:pPr>
              <w:spacing w:after="0"/>
              <w:rPr>
                <w:sz w:val="2"/>
                <w:szCs w:val="2"/>
                <w:color w:val="auto"/>
              </w:rPr>
            </w:pPr>
          </w:p>
        </w:tc>
        <w:tc>
          <w:tcPr>
            <w:tcW w:w="2360" w:type="dxa"/>
            <w:vAlign w:val="bottom"/>
            <w:tcBorders>
              <w:right w:val="single" w:sz="8" w:color="E5E5E5"/>
            </w:tcBorders>
          </w:tcPr>
          <w:p>
            <w:pPr>
              <w:spacing w:after="0"/>
              <w:rPr>
                <w:sz w:val="2"/>
                <w:szCs w:val="2"/>
                <w:color w:val="auto"/>
              </w:rPr>
            </w:pPr>
          </w:p>
        </w:tc>
        <w:tc>
          <w:tcPr>
            <w:tcW w:w="2160" w:type="dxa"/>
            <w:vAlign w:val="bottom"/>
            <w:tcBorders>
              <w:right w:val="single" w:sz="8" w:color="E5E5E5"/>
            </w:tcBorders>
          </w:tcPr>
          <w:p>
            <w:pPr>
              <w:spacing w:after="0"/>
              <w:rPr>
                <w:sz w:val="2"/>
                <w:szCs w:val="2"/>
                <w:color w:val="auto"/>
              </w:rPr>
            </w:pPr>
          </w:p>
        </w:tc>
        <w:tc>
          <w:tcPr>
            <w:tcW w:w="3380" w:type="dxa"/>
            <w:vAlign w:val="bottom"/>
            <w:tcBorders>
              <w:right w:val="single" w:sz="8" w:color="E5E5E5"/>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2"/>
        </w:trPr>
        <w:tc>
          <w:tcPr>
            <w:tcW w:w="3360" w:type="dxa"/>
            <w:vAlign w:val="bottom"/>
            <w:tcBorders>
              <w:left w:val="single" w:sz="8" w:color="E5E5E5"/>
              <w:right w:val="single" w:sz="8" w:color="E5E5E5"/>
            </w:tcBorders>
            <w:vMerge w:val="restart"/>
            <w:shd w:val="clear" w:color="auto" w:fill="E5E5E5"/>
          </w:tcPr>
          <w:p>
            <w:pPr>
              <w:jc w:val="center"/>
              <w:spacing w:after="0"/>
              <w:rPr>
                <w:sz w:val="20"/>
                <w:szCs w:val="20"/>
                <w:color w:val="auto"/>
              </w:rPr>
            </w:pPr>
            <w:r>
              <w:rPr>
                <w:rFonts w:ascii="Arial" w:cs="Arial" w:eastAsia="Arial" w:hAnsi="Arial"/>
                <w:sz w:val="18"/>
                <w:szCs w:val="18"/>
                <w:color w:val="auto"/>
                <w:w w:val="94"/>
              </w:rPr>
              <w:t>Total</w:t>
            </w:r>
          </w:p>
        </w:tc>
        <w:tc>
          <w:tcPr>
            <w:tcW w:w="2360" w:type="dxa"/>
            <w:vAlign w:val="bottom"/>
            <w:tcBorders>
              <w:right w:val="single" w:sz="8" w:color="E5E5E5"/>
            </w:tcBorders>
            <w:vMerge w:val="restart"/>
            <w:shd w:val="clear" w:color="auto" w:fill="E5E5E5"/>
          </w:tcPr>
          <w:p>
            <w:pPr>
              <w:jc w:val="center"/>
              <w:spacing w:after="0"/>
              <w:rPr>
                <w:sz w:val="20"/>
                <w:szCs w:val="20"/>
                <w:color w:val="auto"/>
              </w:rPr>
            </w:pPr>
            <w:r>
              <w:rPr>
                <w:rFonts w:ascii="Arial" w:cs="Arial" w:eastAsia="Arial" w:hAnsi="Arial"/>
                <w:sz w:val="18"/>
                <w:szCs w:val="18"/>
                <w:color w:val="auto"/>
              </w:rPr>
              <w:t>210,909</w:t>
            </w:r>
          </w:p>
        </w:tc>
        <w:tc>
          <w:tcPr>
            <w:tcW w:w="2160" w:type="dxa"/>
            <w:vAlign w:val="bottom"/>
            <w:tcBorders>
              <w:right w:val="single" w:sz="8" w:color="E5E5E5"/>
            </w:tcBorders>
            <w:shd w:val="clear" w:color="auto" w:fill="E5E5E5"/>
          </w:tcPr>
          <w:p>
            <w:pPr>
              <w:jc w:val="center"/>
              <w:spacing w:after="0"/>
              <w:rPr>
                <w:sz w:val="20"/>
                <w:szCs w:val="20"/>
                <w:color w:val="auto"/>
              </w:rPr>
            </w:pPr>
            <w:r>
              <w:rPr>
                <w:rFonts w:ascii="Arial" w:cs="Arial" w:eastAsia="Arial" w:hAnsi="Arial"/>
                <w:sz w:val="12"/>
                <w:szCs w:val="12"/>
                <w:color w:val="auto"/>
                <w:w w:val="95"/>
              </w:rPr>
              <w:t>(2)</w:t>
            </w:r>
          </w:p>
        </w:tc>
        <w:tc>
          <w:tcPr>
            <w:tcW w:w="3380" w:type="dxa"/>
            <w:vAlign w:val="bottom"/>
            <w:tcBorders>
              <w:right w:val="single" w:sz="8" w:color="E5E5E5"/>
            </w:tcBorders>
            <w:vMerge w:val="restart"/>
            <w:shd w:val="clear" w:color="auto" w:fill="E5E5E5"/>
          </w:tcPr>
          <w:p>
            <w:pPr>
              <w:jc w:val="center"/>
              <w:spacing w:after="0"/>
              <w:rPr>
                <w:sz w:val="20"/>
                <w:szCs w:val="20"/>
                <w:color w:val="auto"/>
              </w:rPr>
            </w:pPr>
            <w:r>
              <w:rPr>
                <w:rFonts w:ascii="Arial" w:cs="Arial" w:eastAsia="Arial" w:hAnsi="Arial"/>
                <w:sz w:val="18"/>
                <w:szCs w:val="18"/>
                <w:color w:val="auto"/>
                <w:w w:val="99"/>
              </w:rPr>
              <w:t>1,268,134</w:t>
            </w:r>
          </w:p>
        </w:tc>
        <w:tc>
          <w:tcPr>
            <w:tcW w:w="0" w:type="dxa"/>
            <w:vAlign w:val="bottom"/>
          </w:tcPr>
          <w:p>
            <w:pPr>
              <w:spacing w:after="0"/>
              <w:rPr>
                <w:sz w:val="1"/>
                <w:szCs w:val="1"/>
                <w:color w:val="auto"/>
              </w:rPr>
            </w:pPr>
          </w:p>
        </w:tc>
      </w:tr>
      <w:tr>
        <w:trPr>
          <w:trHeight w:val="109"/>
        </w:trPr>
        <w:tc>
          <w:tcPr>
            <w:tcW w:w="3360" w:type="dxa"/>
            <w:vAlign w:val="bottom"/>
            <w:tcBorders>
              <w:left w:val="single" w:sz="8" w:color="E5E5E5"/>
              <w:right w:val="single" w:sz="8" w:color="E5E5E5"/>
            </w:tcBorders>
            <w:vMerge w:val="continue"/>
            <w:shd w:val="clear" w:color="auto" w:fill="E5E5E5"/>
          </w:tcPr>
          <w:p>
            <w:pPr>
              <w:spacing w:after="0"/>
              <w:rPr>
                <w:sz w:val="9"/>
                <w:szCs w:val="9"/>
                <w:color w:val="auto"/>
              </w:rPr>
            </w:pPr>
          </w:p>
        </w:tc>
        <w:tc>
          <w:tcPr>
            <w:tcW w:w="2360" w:type="dxa"/>
            <w:vAlign w:val="bottom"/>
            <w:tcBorders>
              <w:right w:val="single" w:sz="8" w:color="E5E5E5"/>
            </w:tcBorders>
            <w:vMerge w:val="continue"/>
            <w:shd w:val="clear" w:color="auto" w:fill="E5E5E5"/>
          </w:tcPr>
          <w:p>
            <w:pPr>
              <w:spacing w:after="0"/>
              <w:rPr>
                <w:sz w:val="9"/>
                <w:szCs w:val="9"/>
                <w:color w:val="auto"/>
              </w:rPr>
            </w:pPr>
          </w:p>
        </w:tc>
        <w:tc>
          <w:tcPr>
            <w:tcW w:w="2160" w:type="dxa"/>
            <w:vAlign w:val="bottom"/>
            <w:tcBorders>
              <w:right w:val="single" w:sz="8" w:color="E5E5E5"/>
            </w:tcBorders>
            <w:shd w:val="clear" w:color="auto" w:fill="E5E5E5"/>
          </w:tcPr>
          <w:p>
            <w:pPr>
              <w:spacing w:after="0"/>
              <w:rPr>
                <w:sz w:val="9"/>
                <w:szCs w:val="9"/>
                <w:color w:val="auto"/>
              </w:rPr>
            </w:pPr>
          </w:p>
        </w:tc>
        <w:tc>
          <w:tcPr>
            <w:tcW w:w="3380" w:type="dxa"/>
            <w:vAlign w:val="bottom"/>
            <w:tcBorders>
              <w:right w:val="single" w:sz="8" w:color="E5E5E5"/>
            </w:tcBorders>
            <w:vMerge w:val="continue"/>
            <w:shd w:val="clear" w:color="auto" w:fill="E5E5E5"/>
          </w:tcPr>
          <w:p>
            <w:pPr>
              <w:spacing w:after="0"/>
              <w:rPr>
                <w:sz w:val="9"/>
                <w:szCs w:val="9"/>
                <w:color w:val="auto"/>
              </w:rPr>
            </w:pPr>
          </w:p>
        </w:tc>
        <w:tc>
          <w:tcPr>
            <w:tcW w:w="0" w:type="dxa"/>
            <w:vAlign w:val="bottom"/>
          </w:tcPr>
          <w:p>
            <w:pPr>
              <w:spacing w:after="0"/>
              <w:rPr>
                <w:sz w:val="1"/>
                <w:szCs w:val="1"/>
                <w:color w:val="auto"/>
              </w:rPr>
            </w:pPr>
          </w:p>
        </w:tc>
      </w:tr>
      <w:tr>
        <w:trPr>
          <w:trHeight w:val="37"/>
        </w:trPr>
        <w:tc>
          <w:tcPr>
            <w:tcW w:w="3360" w:type="dxa"/>
            <w:vAlign w:val="bottom"/>
            <w:tcBorders>
              <w:left w:val="single" w:sz="8" w:color="E5E5E5"/>
              <w:right w:val="single" w:sz="8" w:color="E5E5E5"/>
            </w:tcBorders>
            <w:shd w:val="clear" w:color="auto" w:fill="E5E5E5"/>
          </w:tcPr>
          <w:p>
            <w:pPr>
              <w:spacing w:after="0"/>
              <w:rPr>
                <w:sz w:val="3"/>
                <w:szCs w:val="3"/>
                <w:color w:val="auto"/>
              </w:rPr>
            </w:pPr>
          </w:p>
        </w:tc>
        <w:tc>
          <w:tcPr>
            <w:tcW w:w="2360" w:type="dxa"/>
            <w:vAlign w:val="bottom"/>
            <w:tcBorders>
              <w:right w:val="single" w:sz="8" w:color="E5E5E5"/>
            </w:tcBorders>
            <w:shd w:val="clear" w:color="auto" w:fill="E5E5E5"/>
          </w:tcPr>
          <w:p>
            <w:pPr>
              <w:spacing w:after="0"/>
              <w:rPr>
                <w:sz w:val="3"/>
                <w:szCs w:val="3"/>
                <w:color w:val="auto"/>
              </w:rPr>
            </w:pPr>
          </w:p>
        </w:tc>
        <w:tc>
          <w:tcPr>
            <w:tcW w:w="2160" w:type="dxa"/>
            <w:vAlign w:val="bottom"/>
            <w:tcBorders>
              <w:right w:val="single" w:sz="8" w:color="E5E5E5"/>
            </w:tcBorders>
            <w:shd w:val="clear" w:color="auto" w:fill="E5E5E5"/>
          </w:tcPr>
          <w:p>
            <w:pPr>
              <w:spacing w:after="0"/>
              <w:rPr>
                <w:sz w:val="3"/>
                <w:szCs w:val="3"/>
                <w:color w:val="auto"/>
              </w:rPr>
            </w:pPr>
          </w:p>
        </w:tc>
        <w:tc>
          <w:tcPr>
            <w:tcW w:w="3380" w:type="dxa"/>
            <w:vAlign w:val="bottom"/>
            <w:tcBorders>
              <w:right w:val="single" w:sz="8" w:color="E5E5E5"/>
            </w:tcBorders>
            <w:shd w:val="clear" w:color="auto" w:fill="E5E5E5"/>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340" w:right="480" w:hanging="332"/>
        <w:spacing w:after="0" w:line="281" w:lineRule="auto"/>
        <w:tabs>
          <w:tab w:leader="none" w:pos="335"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number reported in this table assumes, with respect to each performance-based equity award which is unearned, that we attain the maximum performance goals associated with such award (which may overstate potential dilution associated with the awards).</w:t>
      </w:r>
    </w:p>
    <w:p>
      <w:pPr>
        <w:spacing w:after="0" w:line="1" w:lineRule="exact"/>
        <w:rPr>
          <w:rFonts w:ascii="Arial" w:cs="Arial" w:eastAsia="Arial" w:hAnsi="Arial"/>
          <w:sz w:val="16"/>
          <w:szCs w:val="16"/>
          <w:color w:val="auto"/>
        </w:rPr>
      </w:pPr>
    </w:p>
    <w:p>
      <w:pPr>
        <w:ind w:left="320" w:hanging="312"/>
        <w:spacing w:after="0"/>
        <w:tabs>
          <w:tab w:leader="none" w:pos="320" w:val="left"/>
        </w:tabs>
        <w:numPr>
          <w:ilvl w:val="0"/>
          <w:numId w:val="67"/>
        </w:numPr>
        <w:rPr>
          <w:rFonts w:ascii="Arial" w:cs="Arial" w:eastAsia="Arial" w:hAnsi="Arial"/>
          <w:sz w:val="16"/>
          <w:szCs w:val="16"/>
          <w:color w:val="auto"/>
        </w:rPr>
      </w:pPr>
      <w:r>
        <w:rPr>
          <w:rFonts w:ascii="Arial" w:cs="Arial" w:eastAsia="Arial" w:hAnsi="Arial"/>
          <w:sz w:val="16"/>
          <w:szCs w:val="16"/>
          <w:color w:val="auto"/>
        </w:rPr>
        <w:t>Performance-based equity awards granted under our equity compensation plans have no exercise price.</w:t>
      </w:r>
    </w:p>
    <w:p>
      <w:pPr>
        <w:spacing w:after="0" w:line="72" w:lineRule="exact"/>
        <w:rPr>
          <w:rFonts w:ascii="Arial" w:cs="Arial" w:eastAsia="Arial" w:hAnsi="Arial"/>
          <w:sz w:val="16"/>
          <w:szCs w:val="16"/>
          <w:color w:val="auto"/>
        </w:rPr>
      </w:pPr>
    </w:p>
    <w:p>
      <w:pPr>
        <w:ind w:left="340" w:right="160" w:hanging="332"/>
        <w:spacing w:after="0" w:line="286" w:lineRule="auto"/>
        <w:tabs>
          <w:tab w:leader="none" w:pos="335" w:val="left"/>
        </w:tabs>
        <w:numPr>
          <w:ilvl w:val="0"/>
          <w:numId w:val="67"/>
        </w:numPr>
        <w:rPr>
          <w:rFonts w:ascii="Arial" w:cs="Arial" w:eastAsia="Arial" w:hAnsi="Arial"/>
          <w:sz w:val="16"/>
          <w:szCs w:val="16"/>
          <w:color w:val="auto"/>
        </w:rPr>
      </w:pPr>
      <w:r>
        <w:rPr>
          <w:rFonts w:ascii="Arial" w:cs="Arial" w:eastAsia="Arial" w:hAnsi="Arial"/>
          <w:sz w:val="16"/>
          <w:szCs w:val="16"/>
          <w:color w:val="auto"/>
        </w:rPr>
        <w:t>We only have the ability to make grants of additional securities under our 2019 Plan, and such securities may be in a form other than options, warrants or rights, such as restricted stock units and performance share units.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02" w:lineRule="exact"/>
        <w:rPr>
          <w:sz w:val="20"/>
          <w:szCs w:val="20"/>
          <w:color w:val="auto"/>
        </w:rPr>
      </w:pPr>
    </w:p>
    <w:p>
      <w:pPr>
        <w:ind w:right="480"/>
        <w:spacing w:after="0" w:line="252" w:lineRule="auto"/>
        <w:rPr>
          <w:sz w:val="20"/>
          <w:szCs w:val="20"/>
          <w:color w:val="auto"/>
        </w:rPr>
      </w:pPr>
      <w:r>
        <w:rPr>
          <w:rFonts w:ascii="Arial" w:cs="Arial" w:eastAsia="Arial" w:hAnsi="Arial"/>
          <w:sz w:val="36"/>
          <w:szCs w:val="36"/>
          <w:b w:val="1"/>
          <w:bCs w:val="1"/>
          <w:color w:val="auto"/>
        </w:rPr>
        <w:t>PROPOSAL 2 - ADVISORY APPROVAL OF NAMED EXECUTIVE OFFICER COMPENSATION</w:t>
      </w:r>
    </w:p>
    <w:p>
      <w:pPr>
        <w:ind w:right="80"/>
        <w:spacing w:after="0" w:line="259" w:lineRule="auto"/>
        <w:rPr>
          <w:sz w:val="20"/>
          <w:szCs w:val="20"/>
          <w:color w:val="auto"/>
        </w:rPr>
      </w:pPr>
      <w:r>
        <w:rPr>
          <w:rFonts w:ascii="Arial" w:cs="Arial" w:eastAsia="Arial" w:hAnsi="Arial"/>
          <w:sz w:val="18"/>
          <w:szCs w:val="18"/>
          <w:color w:val="auto"/>
        </w:rPr>
        <w:t>Pursuant to Section 14A of the Exchange Act, our stockholders have the right to vote to approve, on an advisory (non-binding) basis, the compensation of our named executive officers. The advisory stockholder vote is commonly referred to as the “say-on-pay” vote. At the 2024 Annual Meeting of Stockholders, approximately 99.4% of the shares voted on this proposal were voted in favor of the Company’s named executive officer compensation. We currently hold this vote annually, so our Board is again submitting a non-binding stockholder vote on our named executive officer compensation.</w:t>
      </w:r>
    </w:p>
    <w:p>
      <w:pPr>
        <w:spacing w:after="0" w:line="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described in the “Compensation Discussion &amp; Analysis” section of this proxy statement, our compensation program is designed to appropriately reward our executive officers for their individual and collective performance and for our collective performance in achieving specified financial and other appropriate performance objectives. Please read the “Compensation Discussion &amp; Analysis” section of this proxy statement for additional details about our executive compensation philosophy and programs, including information about the fiscal year 2024 compensation of our named executive officers as set out in the tables and accompanying narrative.</w:t>
      </w:r>
    </w:p>
    <w:p>
      <w:pPr>
        <w:spacing w:after="0" w:line="71"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This proposal gives you, as a stockholder, the opportunity to express your views on the compensation of our named executive officers. This vote is not intended to address any specific item of compensation, but rather the overall compensation of our named executive officers and the philosophy, policies and practices described in this proxy statement. Accordingly, we are asking stockholders to approve the following resolution:</w:t>
      </w:r>
    </w:p>
    <w:p>
      <w:pPr>
        <w:spacing w:after="0" w:line="68" w:lineRule="exact"/>
        <w:rPr>
          <w:sz w:val="20"/>
          <w:szCs w:val="20"/>
          <w:color w:val="auto"/>
        </w:rPr>
      </w:pPr>
    </w:p>
    <w:p>
      <w:pPr>
        <w:ind w:left="660" w:right="80"/>
        <w:spacing w:after="0" w:line="296" w:lineRule="auto"/>
        <w:rPr>
          <w:sz w:val="20"/>
          <w:szCs w:val="20"/>
          <w:color w:val="auto"/>
        </w:rPr>
      </w:pPr>
      <w:r>
        <w:rPr>
          <w:rFonts w:ascii="Arial" w:cs="Arial" w:eastAsia="Arial" w:hAnsi="Arial"/>
          <w:sz w:val="17"/>
          <w:szCs w:val="17"/>
          <w:b w:val="1"/>
          <w:bCs w:val="1"/>
          <w:color w:val="auto"/>
        </w:rPr>
        <w:t>"RESOLVED, that the compensation paid to the Company’s named executive officers, as disclosed pursuant to the compensation disclosure rules of the U.S. Securities and Exchange Commission, including the ‘Compensation Discussion &amp; Analysis,’ compensation tables and any related material disclosed in this proxy statement, is hereby APPROVED.”</w:t>
      </w:r>
    </w:p>
    <w:p>
      <w:pPr>
        <w:spacing w:after="0" w:line="33"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Because your vote is advisory, it will not be binding on our Board and may not be construed as overruling any decision by the Board, nor will it create or imply any additional fiduciary duty of the Board. However, the Board will review the voting results and may, in its sole discretion, take into account the outcome of the vote when considering future executive compensation arrangements.</w:t>
      </w:r>
    </w:p>
    <w:p>
      <w:pPr>
        <w:spacing w:after="0" w:line="63" w:lineRule="exact"/>
        <w:rPr>
          <w:sz w:val="20"/>
          <w:szCs w:val="20"/>
          <w:color w:val="auto"/>
        </w:rPr>
      </w:pPr>
    </w:p>
    <w:p>
      <w:pPr>
        <w:jc w:val="both"/>
        <w:ind w:right="460"/>
        <w:spacing w:after="0" w:line="268" w:lineRule="auto"/>
        <w:rPr>
          <w:sz w:val="20"/>
          <w:szCs w:val="20"/>
          <w:color w:val="auto"/>
        </w:rPr>
      </w:pPr>
      <w:r>
        <w:rPr>
          <w:rFonts w:ascii="Arial" w:cs="Arial" w:eastAsia="Arial" w:hAnsi="Arial"/>
          <w:sz w:val="18"/>
          <w:szCs w:val="18"/>
          <w:color w:val="auto"/>
        </w:rPr>
        <w:t>Our Board and our Compensation &amp; Human Resources Committee believe that our commitment to responsible compensation practices justifies a vote by stockholders for the resolution approving the compensation of our named executive officers as disclosed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40575" cy="4718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0575" cy="471805"/>
                    </a:xfrm>
                    <a:prstGeom prst="rect">
                      <a:avLst/>
                    </a:prstGeom>
                    <a:noFill/>
                  </pic:spPr>
                </pic:pic>
              </a:graphicData>
            </a:graphic>
          </wp:anchor>
        </w:drawing>
      </w:r>
    </w:p>
    <w:p>
      <w:pPr>
        <w:spacing w:after="0" w:line="125"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FFFFFF"/>
        </w:rPr>
        <w:t>The Board recommends you vote FOR the approval, on an advisory basis, of the compensation of our named</w:t>
      </w:r>
    </w:p>
    <w:p>
      <w:pPr>
        <w:ind w:left="280"/>
        <w:spacing w:after="0" w:line="197" w:lineRule="auto"/>
        <w:rPr>
          <w:sz w:val="20"/>
          <w:szCs w:val="20"/>
          <w:color w:val="auto"/>
        </w:rPr>
      </w:pPr>
      <w:r>
        <w:rPr>
          <w:rFonts w:ascii="Arial" w:cs="Arial" w:eastAsia="Arial" w:hAnsi="Arial"/>
          <w:sz w:val="20"/>
          <w:szCs w:val="20"/>
          <w:b w:val="1"/>
          <w:bCs w:val="1"/>
          <w:color w:val="FFFFFF"/>
        </w:rPr>
        <w:t>executive officers, as disclosed in this proxy statement pursuant to the compensation disclosure rules of the U.S.</w:t>
      </w:r>
    </w:p>
    <w:p>
      <w:pPr>
        <w:jc w:val="center"/>
        <w:ind w:right="-59"/>
        <w:spacing w:after="0"/>
        <w:rPr>
          <w:sz w:val="20"/>
          <w:szCs w:val="20"/>
          <w:color w:val="auto"/>
        </w:rPr>
      </w:pPr>
      <w:r>
        <w:rPr>
          <w:rFonts w:ascii="Arial" w:cs="Arial" w:eastAsia="Arial" w:hAnsi="Arial"/>
          <w:sz w:val="20"/>
          <w:szCs w:val="20"/>
          <w:b w:val="1"/>
          <w:bCs w:val="1"/>
          <w:color w:val="FFFFFF"/>
        </w:rPr>
        <w:t>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AUDIT COMMITTEE REPORT</w:t>
      </w:r>
    </w:p>
    <w:p>
      <w:pPr>
        <w:spacing w:after="0" w:line="104"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 xml:space="preserve">The primary purpose of the Audit Committee is to assist the Board in fulfilling its responsibility to oversee: (i) management’s conduct of the Company’s financial reporting process (including the development and maintenance of effective internal control over financial reporting); (ii) the integrity of the Company’s financial statements; (iii) the Company’s compliance with certain legal and regulatory requirements; (iv) the qualifications, independence and performance of the Company’s outside auditors; and (v) the performance of the Company’s internal audit function. The Committee also is directly responsible for the appointment, retention, compensation, termination and oversight of the Company's outside auditors. The charter of the Audit Committee is available on the Company’s website at </w:t>
      </w:r>
      <w:r>
        <w:rPr>
          <w:rFonts w:ascii="Arial" w:cs="Arial" w:eastAsia="Arial" w:hAnsi="Arial"/>
          <w:sz w:val="18"/>
          <w:szCs w:val="18"/>
          <w:i w:val="1"/>
          <w:iCs w:val="1"/>
          <w:u w:val="single" w:color="auto"/>
          <w:color w:val="auto"/>
        </w:rPr>
        <w:t>https://investors.asburyauto.com/corporate-governance</w:t>
      </w:r>
      <w:r>
        <w:rPr>
          <w:rFonts w:ascii="Arial" w:cs="Arial" w:eastAsia="Arial" w:hAnsi="Arial"/>
          <w:sz w:val="18"/>
          <w:szCs w:val="18"/>
          <w:color w:val="auto"/>
        </w:rPr>
        <w:t>.</w:t>
      </w:r>
    </w:p>
    <w:p>
      <w:pPr>
        <w:spacing w:after="0" w:line="7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Audit Committee comprises Maureen F. Morrison (Chair), William D. Fay, Juanita T. James, Shamla Naidoo and Hilliard C. Terry, III. The Board has determined that each member of the Audit Committee meets the requisite independence and other qualification requirements for Audit Committee membership under SEC rules, the listing standards of the NYSE, the Audit Committee charter and the independence standards set forth in the Company’s Corporate Governance Guidelines. The Board has also determined that each of Maureen F. Morrison and Hilliard C. Terry, III is an “audit committee financial expert” within the meaning of Item 407(d)(5) of Regulation S-K under the Exchange Act.</w:t>
      </w:r>
    </w:p>
    <w:p>
      <w:pPr>
        <w:spacing w:after="0" w:line="7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In fulfilling its oversight role, the Audit Committee reviewed and discussed the Company’s audited consolidated financial statements for the year ended December 31, 2024 with the Company’s management and Ernst &amp; Young LLP, the Company's independent registered public accounting firm. Management represented to the Audit Committee that the Company’s consolidated financial statements were prepared in accordance with accounting principles generally accepted in the United States. The Audit Committee also discussed with Ernst &amp; Young LLP matters deemed significant by Ernst &amp; Young LLP, including those matters required to be discussed pursuant to </w:t>
      </w:r>
      <w:r>
        <w:rPr>
          <w:rFonts w:ascii="Arial" w:cs="Arial" w:eastAsia="Arial" w:hAnsi="Arial"/>
          <w:sz w:val="18"/>
          <w:szCs w:val="18"/>
          <w:i w:val="1"/>
          <w:iCs w:val="1"/>
          <w:color w:val="auto"/>
        </w:rPr>
        <w:t>Auditing Standard No. 1301</w:t>
      </w:r>
      <w:r>
        <w:rPr>
          <w:rFonts w:ascii="Arial" w:cs="Arial" w:eastAsia="Arial" w:hAnsi="Arial"/>
          <w:sz w:val="18"/>
          <w:szCs w:val="18"/>
          <w:color w:val="auto"/>
        </w:rPr>
        <w:t>, “Communications with Audit Committees,” adopted by the Public Company Accounting Oversight Board and the SEC.</w:t>
      </w:r>
    </w:p>
    <w:p>
      <w:pPr>
        <w:spacing w:after="0" w:line="7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addition, the Audit Committee has received and reviewed the written disclosures and the letter from Ernst &amp; Young LLP pursuant to the applicable requirements of the Public Company Accounting Oversight Board regarding Ernst &amp; Young LLP’s communications with the Audit Committee concerning independence and discussed with Ernst &amp; Young LLP matters relating to its independence, and considered whether their provision of certain non-audit services is compatible with maintaining their independence. In the letter, Ernst &amp; Young confirmed its independence, and the Audit Committee determined that Ernst &amp; Young’s provision of non-audit services to the Company is compatible with maintaining their independence.</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Based on the Audit Committee’s review with management and Ernst &amp; Young LLP of the Company’s audited financial statements and Ernst</w:t>
      </w:r>
    </w:p>
    <w:p>
      <w:pPr>
        <w:spacing w:after="0" w:line="27" w:lineRule="exact"/>
        <w:rPr>
          <w:sz w:val="20"/>
          <w:szCs w:val="20"/>
          <w:color w:val="auto"/>
        </w:rPr>
      </w:pPr>
    </w:p>
    <w:p>
      <w:pPr>
        <w:ind w:right="100" w:firstLine="8"/>
        <w:spacing w:after="0" w:line="258" w:lineRule="auto"/>
        <w:tabs>
          <w:tab w:leader="none" w:pos="170" w:val="left"/>
        </w:tabs>
        <w:numPr>
          <w:ilvl w:val="0"/>
          <w:numId w:val="68"/>
        </w:numPr>
        <w:rPr>
          <w:rFonts w:ascii="Arial" w:cs="Arial" w:eastAsia="Arial" w:hAnsi="Arial"/>
          <w:sz w:val="18"/>
          <w:szCs w:val="18"/>
          <w:color w:val="auto"/>
        </w:rPr>
      </w:pPr>
      <w:r>
        <w:rPr>
          <w:rFonts w:ascii="Arial" w:cs="Arial" w:eastAsia="Arial" w:hAnsi="Arial"/>
          <w:sz w:val="18"/>
          <w:szCs w:val="18"/>
          <w:color w:val="auto"/>
        </w:rPr>
        <w:t>Young LLP’s report on such financial statements, and based on the discussions and written disclosures described above, the Audit Committee recommended to the Board of Directors that the audited consolidated financial statements be included in the Company’s Annual Report on Form 10-K for the year ended December 31, 2024.</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Members of the Audit Committee: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Maureen F. Morrison (Chair)</w:t>
      </w:r>
    </w:p>
    <w:p>
      <w:pPr>
        <w:spacing w:after="0" w:line="203" w:lineRule="auto"/>
        <w:rPr>
          <w:sz w:val="20"/>
          <w:szCs w:val="20"/>
          <w:color w:val="auto"/>
        </w:rPr>
      </w:pPr>
      <w:r>
        <w:rPr>
          <w:rFonts w:ascii="Arial" w:cs="Arial" w:eastAsia="Arial" w:hAnsi="Arial"/>
          <w:sz w:val="18"/>
          <w:szCs w:val="18"/>
          <w:color w:val="auto"/>
        </w:rPr>
        <w:t>William D. Fay</w:t>
      </w:r>
    </w:p>
    <w:p>
      <w:pPr>
        <w:spacing w:after="0" w:line="219" w:lineRule="auto"/>
        <w:rPr>
          <w:sz w:val="20"/>
          <w:szCs w:val="20"/>
          <w:color w:val="auto"/>
        </w:rPr>
      </w:pPr>
      <w:r>
        <w:rPr>
          <w:rFonts w:ascii="Arial" w:cs="Arial" w:eastAsia="Arial" w:hAnsi="Arial"/>
          <w:sz w:val="18"/>
          <w:szCs w:val="18"/>
          <w:color w:val="auto"/>
        </w:rPr>
        <w:t>Juanita T. James</w:t>
      </w:r>
    </w:p>
    <w:p>
      <w:pPr>
        <w:spacing w:after="0" w:line="204" w:lineRule="auto"/>
        <w:rPr>
          <w:sz w:val="20"/>
          <w:szCs w:val="20"/>
          <w:color w:val="auto"/>
        </w:rPr>
      </w:pPr>
      <w:r>
        <w:rPr>
          <w:rFonts w:ascii="Arial" w:cs="Arial" w:eastAsia="Arial" w:hAnsi="Arial"/>
          <w:sz w:val="18"/>
          <w:szCs w:val="18"/>
          <w:color w:val="auto"/>
        </w:rPr>
        <w:t>Shamla Naidoo</w:t>
      </w:r>
    </w:p>
    <w:p>
      <w:pPr>
        <w:spacing w:after="0"/>
        <w:rPr>
          <w:sz w:val="20"/>
          <w:szCs w:val="20"/>
          <w:color w:val="auto"/>
        </w:rPr>
      </w:pPr>
      <w:r>
        <w:rPr>
          <w:rFonts w:ascii="Arial" w:cs="Arial" w:eastAsia="Arial" w:hAnsi="Arial"/>
          <w:sz w:val="18"/>
          <w:szCs w:val="18"/>
          <w:color w:val="auto"/>
        </w:rPr>
        <w:t>Hilliard C. Terry, III</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02" w:lineRule="exact"/>
        <w:rPr>
          <w:sz w:val="20"/>
          <w:szCs w:val="20"/>
          <w:color w:val="auto"/>
        </w:rPr>
      </w:pPr>
    </w:p>
    <w:p>
      <w:pPr>
        <w:ind w:right="1280"/>
        <w:spacing w:after="0" w:line="259" w:lineRule="auto"/>
        <w:rPr>
          <w:sz w:val="20"/>
          <w:szCs w:val="20"/>
          <w:color w:val="auto"/>
        </w:rPr>
      </w:pPr>
      <w:r>
        <w:rPr>
          <w:rFonts w:ascii="Arial" w:cs="Arial" w:eastAsia="Arial" w:hAnsi="Arial"/>
          <w:sz w:val="35"/>
          <w:szCs w:val="35"/>
          <w:b w:val="1"/>
          <w:bCs w:val="1"/>
          <w:color w:val="auto"/>
        </w:rPr>
        <w:t>PROPOSAL 3 - RATIFICATION OF APPOINTMENT OF INDEPENDENT REGISTERED PUBLIC ACCOUNTING FIRM</w:t>
      </w:r>
    </w:p>
    <w:p>
      <w:pPr>
        <w:spacing w:after="0" w:line="1"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The Audit Committee has appointed Ernst &amp; Young LLP as our independent registered public accounting firm for the year ending December 31, 2025. If the stockholders fail to ratify this appointment, the Audit Committee may, but is not required to, reconsider whether to retain that firm. Representatives from Ernst &amp; Young LLP are expected to be present at the 2025 Annual Meeting and, if present, will have the opportunity to make a statement if they desire to and to answer appropriate questions.</w:t>
      </w:r>
    </w:p>
    <w:p>
      <w:pPr>
        <w:spacing w:after="0" w:line="3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Independent Registered Public Accounting Firm Fees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aggregate fees billed to us by Ernst &amp; Young LLP for fiscal years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3549015" cy="16319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549015" cy="163195"/>
                    </a:xfrm>
                    <a:prstGeom prst="rect">
                      <a:avLst/>
                    </a:prstGeom>
                    <a:noFill/>
                  </pic:spPr>
                </pic:pic>
              </a:graphicData>
            </a:graphic>
          </wp:anchor>
        </w:drawing>
      </w:r>
    </w:p>
    <w:p>
      <w:pPr>
        <w:spacing w:after="0" w:line="35"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5600" w:type="dxa"/>
            <w:vAlign w:val="bottom"/>
            <w:tcBorders>
              <w:right w:val="single" w:sz="8" w:color="E5E5E5"/>
            </w:tcBorders>
          </w:tcPr>
          <w:p>
            <w:pPr>
              <w:spacing w:after="0"/>
              <w:rPr>
                <w:sz w:val="21"/>
                <w:szCs w:val="21"/>
                <w:color w:val="auto"/>
              </w:rPr>
            </w:pPr>
          </w:p>
        </w:tc>
        <w:tc>
          <w:tcPr>
            <w:tcW w:w="960" w:type="dxa"/>
            <w:vAlign w:val="bottom"/>
            <w:shd w:val="clear" w:color="auto" w:fill="D91E18"/>
          </w:tcPr>
          <w:p>
            <w:pPr>
              <w:spacing w:after="0"/>
              <w:rPr>
                <w:sz w:val="21"/>
                <w:szCs w:val="21"/>
                <w:color w:val="auto"/>
              </w:rPr>
            </w:pPr>
          </w:p>
        </w:tc>
        <w:tc>
          <w:tcPr>
            <w:tcW w:w="1880" w:type="dxa"/>
            <w:vAlign w:val="bottom"/>
            <w:tcBorders>
              <w:right w:val="single" w:sz="8" w:color="E5E5E5"/>
            </w:tcBorders>
            <w:shd w:val="clear" w:color="auto" w:fill="D91E18"/>
          </w:tcPr>
          <w:p>
            <w:pPr>
              <w:jc w:val="right"/>
              <w:ind w:right="130"/>
              <w:spacing w:after="0"/>
              <w:rPr>
                <w:sz w:val="20"/>
                <w:szCs w:val="20"/>
                <w:color w:val="auto"/>
              </w:rPr>
            </w:pPr>
            <w:r>
              <w:rPr>
                <w:rFonts w:ascii="Arial" w:cs="Arial" w:eastAsia="Arial" w:hAnsi="Arial"/>
                <w:sz w:val="18"/>
                <w:szCs w:val="18"/>
                <w:b w:val="1"/>
                <w:bCs w:val="1"/>
                <w:color w:val="FFFFFF"/>
              </w:rPr>
              <w:t>2024</w:t>
            </w:r>
          </w:p>
        </w:tc>
        <w:tc>
          <w:tcPr>
            <w:tcW w:w="960" w:type="dxa"/>
            <w:vAlign w:val="bottom"/>
            <w:shd w:val="clear" w:color="auto" w:fill="D91E18"/>
          </w:tcPr>
          <w:p>
            <w:pPr>
              <w:spacing w:after="0"/>
              <w:rPr>
                <w:sz w:val="21"/>
                <w:szCs w:val="21"/>
                <w:color w:val="auto"/>
              </w:rPr>
            </w:pPr>
          </w:p>
        </w:tc>
        <w:tc>
          <w:tcPr>
            <w:tcW w:w="1860" w:type="dxa"/>
            <w:vAlign w:val="bottom"/>
            <w:tcBorders>
              <w:right w:val="single" w:sz="8" w:color="E5E5E5"/>
            </w:tcBorders>
            <w:shd w:val="clear" w:color="auto" w:fill="D91E18"/>
          </w:tcPr>
          <w:p>
            <w:pPr>
              <w:jc w:val="right"/>
              <w:ind w:right="110"/>
              <w:spacing w:after="0"/>
              <w:rPr>
                <w:sz w:val="20"/>
                <w:szCs w:val="20"/>
                <w:color w:val="auto"/>
              </w:rPr>
            </w:pPr>
            <w:r>
              <w:rPr>
                <w:rFonts w:ascii="Arial" w:cs="Arial" w:eastAsia="Arial" w:hAnsi="Arial"/>
                <w:sz w:val="18"/>
                <w:szCs w:val="18"/>
                <w:b w:val="1"/>
                <w:bCs w:val="1"/>
                <w:color w:val="FFFFFF"/>
              </w:rPr>
              <w:t>2023</w:t>
            </w:r>
          </w:p>
        </w:tc>
      </w:tr>
      <w:tr>
        <w:trPr>
          <w:trHeight w:val="297"/>
        </w:trPr>
        <w:tc>
          <w:tcPr>
            <w:tcW w:w="5600" w:type="dxa"/>
            <w:vAlign w:val="bottom"/>
            <w:tcBorders>
              <w:left w:val="single" w:sz="8" w:color="E5E5E5"/>
              <w:right w:val="single" w:sz="8" w:color="E5E5E5"/>
            </w:tcBorders>
            <w:shd w:val="clear" w:color="auto" w:fill="DBDBDB"/>
          </w:tcPr>
          <w:p>
            <w:pPr>
              <w:ind w:left="80"/>
              <w:spacing w:after="0"/>
              <w:rPr>
                <w:sz w:val="20"/>
                <w:szCs w:val="20"/>
                <w:color w:val="auto"/>
              </w:rPr>
            </w:pPr>
            <w:r>
              <w:rPr>
                <w:rFonts w:ascii="Arial" w:cs="Arial" w:eastAsia="Arial" w:hAnsi="Arial"/>
                <w:sz w:val="18"/>
                <w:szCs w:val="18"/>
                <w:color w:val="auto"/>
              </w:rPr>
              <w:t>Audit Fees</w:t>
            </w:r>
          </w:p>
        </w:tc>
        <w:tc>
          <w:tcPr>
            <w:tcW w:w="960" w:type="dxa"/>
            <w:vAlign w:val="bottom"/>
            <w:shd w:val="clear" w:color="auto" w:fill="DBDBDB"/>
          </w:tcPr>
          <w:p>
            <w:pPr>
              <w:jc w:val="right"/>
              <w:ind w:right="750"/>
              <w:spacing w:after="0"/>
              <w:rPr>
                <w:sz w:val="20"/>
                <w:szCs w:val="20"/>
                <w:color w:val="auto"/>
              </w:rPr>
            </w:pPr>
            <w:r>
              <w:rPr>
                <w:rFonts w:ascii="Arial" w:cs="Arial" w:eastAsia="Arial" w:hAnsi="Arial"/>
                <w:sz w:val="18"/>
                <w:szCs w:val="18"/>
                <w:color w:val="auto"/>
                <w:w w:val="99"/>
              </w:rPr>
              <w:t>$</w:t>
            </w:r>
          </w:p>
        </w:tc>
        <w:tc>
          <w:tcPr>
            <w:tcW w:w="1880" w:type="dxa"/>
            <w:vAlign w:val="bottom"/>
            <w:tcBorders>
              <w:right w:val="single" w:sz="8" w:color="E5E5E5"/>
            </w:tcBorders>
            <w:shd w:val="clear" w:color="auto" w:fill="DBDBDB"/>
          </w:tcPr>
          <w:p>
            <w:pPr>
              <w:jc w:val="right"/>
              <w:ind w:right="130"/>
              <w:spacing w:after="0"/>
              <w:rPr>
                <w:sz w:val="20"/>
                <w:szCs w:val="20"/>
                <w:color w:val="auto"/>
              </w:rPr>
            </w:pPr>
            <w:r>
              <w:rPr>
                <w:rFonts w:ascii="Arial" w:cs="Arial" w:eastAsia="Arial" w:hAnsi="Arial"/>
                <w:sz w:val="18"/>
                <w:szCs w:val="18"/>
                <w:color w:val="auto"/>
              </w:rPr>
              <w:t>3,183,750</w:t>
            </w:r>
          </w:p>
        </w:tc>
        <w:tc>
          <w:tcPr>
            <w:tcW w:w="960" w:type="dxa"/>
            <w:vAlign w:val="bottom"/>
            <w:shd w:val="clear" w:color="auto" w:fill="DBDBDB"/>
          </w:tcPr>
          <w:p>
            <w:pPr>
              <w:jc w:val="right"/>
              <w:ind w:right="770"/>
              <w:spacing w:after="0"/>
              <w:rPr>
                <w:sz w:val="20"/>
                <w:szCs w:val="20"/>
                <w:color w:val="auto"/>
              </w:rPr>
            </w:pPr>
            <w:r>
              <w:rPr>
                <w:rFonts w:ascii="Arial" w:cs="Arial" w:eastAsia="Arial" w:hAnsi="Arial"/>
                <w:sz w:val="18"/>
                <w:szCs w:val="18"/>
                <w:color w:val="auto"/>
                <w:w w:val="79"/>
              </w:rPr>
              <w:t>$</w:t>
            </w:r>
          </w:p>
        </w:tc>
        <w:tc>
          <w:tcPr>
            <w:tcW w:w="1860" w:type="dxa"/>
            <w:vAlign w:val="bottom"/>
            <w:tcBorders>
              <w:right w:val="single" w:sz="8" w:color="E5E5E5"/>
            </w:tcBorders>
            <w:shd w:val="clear" w:color="auto" w:fill="DBDBDB"/>
          </w:tcPr>
          <w:p>
            <w:pPr>
              <w:jc w:val="right"/>
              <w:ind w:right="110"/>
              <w:spacing w:after="0"/>
              <w:rPr>
                <w:sz w:val="20"/>
                <w:szCs w:val="20"/>
                <w:color w:val="auto"/>
              </w:rPr>
            </w:pPr>
            <w:r>
              <w:rPr>
                <w:rFonts w:ascii="Arial" w:cs="Arial" w:eastAsia="Arial" w:hAnsi="Arial"/>
                <w:sz w:val="18"/>
                <w:szCs w:val="18"/>
                <w:color w:val="auto"/>
              </w:rPr>
              <w:t>3,097,500</w:t>
            </w:r>
          </w:p>
        </w:tc>
      </w:tr>
      <w:tr>
        <w:trPr>
          <w:trHeight w:val="229"/>
        </w:trPr>
        <w:tc>
          <w:tcPr>
            <w:tcW w:w="5600" w:type="dxa"/>
            <w:vAlign w:val="bottom"/>
            <w:tcBorders>
              <w:left w:val="single" w:sz="8" w:color="E5E5E5"/>
              <w:right w:val="single" w:sz="8" w:color="E5E5E5"/>
            </w:tcBorders>
          </w:tcPr>
          <w:p>
            <w:pPr>
              <w:ind w:left="80"/>
              <w:spacing w:after="0"/>
              <w:rPr>
                <w:sz w:val="20"/>
                <w:szCs w:val="20"/>
                <w:color w:val="auto"/>
              </w:rPr>
            </w:pPr>
            <w:r>
              <w:rPr>
                <w:rFonts w:ascii="Arial" w:cs="Arial" w:eastAsia="Arial" w:hAnsi="Arial"/>
                <w:sz w:val="18"/>
                <w:szCs w:val="18"/>
                <w:color w:val="auto"/>
              </w:rPr>
              <w:t>Audit-Related Fees</w:t>
            </w:r>
          </w:p>
        </w:tc>
        <w:tc>
          <w:tcPr>
            <w:tcW w:w="960" w:type="dxa"/>
            <w:vAlign w:val="bottom"/>
          </w:tcPr>
          <w:p>
            <w:pPr>
              <w:spacing w:after="0"/>
              <w:rPr>
                <w:sz w:val="19"/>
                <w:szCs w:val="19"/>
                <w:color w:val="auto"/>
              </w:rPr>
            </w:pPr>
          </w:p>
        </w:tc>
        <w:tc>
          <w:tcPr>
            <w:tcW w:w="1880" w:type="dxa"/>
            <w:vAlign w:val="bottom"/>
            <w:tcBorders>
              <w:right w:val="single" w:sz="8" w:color="E5E5E5"/>
            </w:tcBorders>
          </w:tcPr>
          <w:p>
            <w:pPr>
              <w:jc w:val="right"/>
              <w:ind w:right="13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9"/>
                <w:szCs w:val="19"/>
                <w:color w:val="auto"/>
              </w:rPr>
            </w:pPr>
          </w:p>
        </w:tc>
        <w:tc>
          <w:tcPr>
            <w:tcW w:w="1860" w:type="dxa"/>
            <w:vAlign w:val="bottom"/>
            <w:tcBorders>
              <w:right w:val="single" w:sz="8" w:color="E5E5E5"/>
            </w:tcBorders>
          </w:tcPr>
          <w:p>
            <w:pPr>
              <w:jc w:val="right"/>
              <w:ind w:right="110"/>
              <w:spacing w:after="0"/>
              <w:rPr>
                <w:sz w:val="20"/>
                <w:szCs w:val="20"/>
                <w:color w:val="auto"/>
              </w:rPr>
            </w:pPr>
            <w:r>
              <w:rPr>
                <w:rFonts w:ascii="Arial" w:cs="Arial" w:eastAsia="Arial" w:hAnsi="Arial"/>
                <w:sz w:val="18"/>
                <w:szCs w:val="18"/>
                <w:color w:val="auto"/>
              </w:rPr>
              <w:t>—</w:t>
            </w:r>
          </w:p>
        </w:tc>
      </w:tr>
      <w:tr>
        <w:trPr>
          <w:trHeight w:val="297"/>
        </w:trPr>
        <w:tc>
          <w:tcPr>
            <w:tcW w:w="5600" w:type="dxa"/>
            <w:vAlign w:val="bottom"/>
            <w:tcBorders>
              <w:left w:val="single" w:sz="8" w:color="E5E5E5"/>
              <w:right w:val="single" w:sz="8" w:color="E5E5E5"/>
            </w:tcBorders>
            <w:shd w:val="clear" w:color="auto" w:fill="DBDBDB"/>
          </w:tcPr>
          <w:p>
            <w:pPr>
              <w:ind w:left="80"/>
              <w:spacing w:after="0"/>
              <w:rPr>
                <w:sz w:val="20"/>
                <w:szCs w:val="20"/>
                <w:color w:val="auto"/>
              </w:rPr>
            </w:pPr>
            <w:r>
              <w:rPr>
                <w:rFonts w:ascii="Arial" w:cs="Arial" w:eastAsia="Arial" w:hAnsi="Arial"/>
                <w:sz w:val="18"/>
                <w:szCs w:val="18"/>
                <w:color w:val="auto"/>
              </w:rPr>
              <w:t>Tax Fees</w:t>
            </w:r>
          </w:p>
        </w:tc>
        <w:tc>
          <w:tcPr>
            <w:tcW w:w="960" w:type="dxa"/>
            <w:vAlign w:val="bottom"/>
            <w:shd w:val="clear" w:color="auto" w:fill="DBDBDB"/>
          </w:tcPr>
          <w:p>
            <w:pPr>
              <w:spacing w:after="0"/>
              <w:rPr>
                <w:sz w:val="24"/>
                <w:szCs w:val="24"/>
                <w:color w:val="auto"/>
              </w:rPr>
            </w:pPr>
          </w:p>
        </w:tc>
        <w:tc>
          <w:tcPr>
            <w:tcW w:w="1880" w:type="dxa"/>
            <w:vAlign w:val="bottom"/>
            <w:tcBorders>
              <w:right w:val="single" w:sz="8" w:color="E5E5E5"/>
            </w:tcBorders>
            <w:shd w:val="clear" w:color="auto" w:fill="DBDBDB"/>
          </w:tcPr>
          <w:p>
            <w:pPr>
              <w:jc w:val="right"/>
              <w:ind w:right="130"/>
              <w:spacing w:after="0"/>
              <w:rPr>
                <w:sz w:val="20"/>
                <w:szCs w:val="20"/>
                <w:color w:val="auto"/>
              </w:rPr>
            </w:pPr>
            <w:r>
              <w:rPr>
                <w:rFonts w:ascii="Arial" w:cs="Arial" w:eastAsia="Arial" w:hAnsi="Arial"/>
                <w:sz w:val="18"/>
                <w:szCs w:val="18"/>
                <w:color w:val="auto"/>
              </w:rPr>
              <w:t>—</w:t>
            </w:r>
          </w:p>
        </w:tc>
        <w:tc>
          <w:tcPr>
            <w:tcW w:w="960" w:type="dxa"/>
            <w:vAlign w:val="bottom"/>
            <w:shd w:val="clear" w:color="auto" w:fill="DBDBDB"/>
          </w:tcPr>
          <w:p>
            <w:pPr>
              <w:spacing w:after="0"/>
              <w:rPr>
                <w:sz w:val="24"/>
                <w:szCs w:val="24"/>
                <w:color w:val="auto"/>
              </w:rPr>
            </w:pPr>
          </w:p>
        </w:tc>
        <w:tc>
          <w:tcPr>
            <w:tcW w:w="1860" w:type="dxa"/>
            <w:vAlign w:val="bottom"/>
            <w:tcBorders>
              <w:right w:val="single" w:sz="8" w:color="E5E5E5"/>
            </w:tcBorders>
            <w:shd w:val="clear" w:color="auto" w:fill="DBDBDB"/>
          </w:tcPr>
          <w:p>
            <w:pPr>
              <w:jc w:val="right"/>
              <w:ind w:right="110"/>
              <w:spacing w:after="0"/>
              <w:rPr>
                <w:sz w:val="20"/>
                <w:szCs w:val="20"/>
                <w:color w:val="auto"/>
              </w:rPr>
            </w:pPr>
            <w:r>
              <w:rPr>
                <w:rFonts w:ascii="Arial" w:cs="Arial" w:eastAsia="Arial" w:hAnsi="Arial"/>
                <w:sz w:val="18"/>
                <w:szCs w:val="18"/>
                <w:color w:val="auto"/>
              </w:rPr>
              <w:t>—</w:t>
            </w:r>
          </w:p>
        </w:tc>
      </w:tr>
      <w:tr>
        <w:trPr>
          <w:trHeight w:val="263"/>
        </w:trPr>
        <w:tc>
          <w:tcPr>
            <w:tcW w:w="5600" w:type="dxa"/>
            <w:vAlign w:val="bottom"/>
            <w:tcBorders>
              <w:left w:val="single" w:sz="8" w:color="E5E5E5"/>
              <w:bottom w:val="single" w:sz="8" w:color="E5E5E5"/>
              <w:right w:val="single" w:sz="8" w:color="E5E5E5"/>
            </w:tcBorders>
          </w:tcPr>
          <w:p>
            <w:pPr>
              <w:ind w:left="80"/>
              <w:spacing w:after="0"/>
              <w:rPr>
                <w:sz w:val="20"/>
                <w:szCs w:val="20"/>
                <w:color w:val="auto"/>
              </w:rPr>
            </w:pPr>
            <w:r>
              <w:rPr>
                <w:rFonts w:ascii="Arial" w:cs="Arial" w:eastAsia="Arial" w:hAnsi="Arial"/>
                <w:sz w:val="18"/>
                <w:szCs w:val="18"/>
                <w:color w:val="auto"/>
              </w:rPr>
              <w:t>All Other Fees</w:t>
            </w:r>
          </w:p>
        </w:tc>
        <w:tc>
          <w:tcPr>
            <w:tcW w:w="960" w:type="dxa"/>
            <w:vAlign w:val="bottom"/>
            <w:tcBorders>
              <w:bottom w:val="single" w:sz="8" w:color="auto"/>
            </w:tcBorders>
          </w:tcPr>
          <w:p>
            <w:pPr>
              <w:spacing w:after="0"/>
              <w:rPr>
                <w:sz w:val="22"/>
                <w:szCs w:val="22"/>
                <w:color w:val="auto"/>
              </w:rPr>
            </w:pPr>
          </w:p>
        </w:tc>
        <w:tc>
          <w:tcPr>
            <w:tcW w:w="1880" w:type="dxa"/>
            <w:vAlign w:val="bottom"/>
            <w:tcBorders>
              <w:bottom w:val="single" w:sz="8" w:color="auto"/>
              <w:right w:val="single" w:sz="8" w:color="E5E5E5"/>
            </w:tcBorders>
          </w:tcPr>
          <w:p>
            <w:pPr>
              <w:jc w:val="right"/>
              <w:ind w:right="130"/>
              <w:spacing w:after="0"/>
              <w:rPr>
                <w:sz w:val="20"/>
                <w:szCs w:val="20"/>
                <w:color w:val="auto"/>
              </w:rPr>
            </w:pPr>
            <w:r>
              <w:rPr>
                <w:rFonts w:ascii="Arial" w:cs="Arial" w:eastAsia="Arial" w:hAnsi="Arial"/>
                <w:sz w:val="18"/>
                <w:szCs w:val="18"/>
                <w:color w:val="auto"/>
              </w:rPr>
              <w:t>5,200</w:t>
            </w:r>
          </w:p>
        </w:tc>
        <w:tc>
          <w:tcPr>
            <w:tcW w:w="960" w:type="dxa"/>
            <w:vAlign w:val="bottom"/>
            <w:tcBorders>
              <w:bottom w:val="single" w:sz="8" w:color="auto"/>
            </w:tcBorders>
          </w:tcPr>
          <w:p>
            <w:pPr>
              <w:spacing w:after="0"/>
              <w:rPr>
                <w:sz w:val="22"/>
                <w:szCs w:val="22"/>
                <w:color w:val="auto"/>
              </w:rPr>
            </w:pPr>
          </w:p>
        </w:tc>
        <w:tc>
          <w:tcPr>
            <w:tcW w:w="1860" w:type="dxa"/>
            <w:vAlign w:val="bottom"/>
            <w:tcBorders>
              <w:bottom w:val="single" w:sz="8" w:color="auto"/>
              <w:right w:val="single" w:sz="8" w:color="E5E5E5"/>
            </w:tcBorders>
          </w:tcPr>
          <w:p>
            <w:pPr>
              <w:jc w:val="right"/>
              <w:ind w:right="110"/>
              <w:spacing w:after="0"/>
              <w:rPr>
                <w:sz w:val="20"/>
                <w:szCs w:val="20"/>
                <w:color w:val="auto"/>
              </w:rPr>
            </w:pPr>
            <w:r>
              <w:rPr>
                <w:rFonts w:ascii="Arial" w:cs="Arial" w:eastAsia="Arial" w:hAnsi="Arial"/>
                <w:sz w:val="18"/>
                <w:szCs w:val="18"/>
                <w:color w:val="auto"/>
              </w:rPr>
              <w:t>3,600</w:t>
            </w:r>
          </w:p>
        </w:tc>
      </w:tr>
      <w:tr>
        <w:trPr>
          <w:trHeight w:val="303"/>
        </w:trPr>
        <w:tc>
          <w:tcPr>
            <w:tcW w:w="5600" w:type="dxa"/>
            <w:vAlign w:val="bottom"/>
            <w:tcBorders>
              <w:left w:val="single" w:sz="8" w:color="E5E5E5"/>
              <w:bottom w:val="single" w:sz="8" w:color="DBDBDB"/>
              <w:right w:val="single" w:sz="8" w:color="DBDBDB"/>
            </w:tcBorders>
            <w:shd w:val="clear" w:color="auto" w:fill="DBDBDB"/>
          </w:tcPr>
          <w:p>
            <w:pPr>
              <w:ind w:left="80"/>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auto"/>
            </w:tcBorders>
            <w:shd w:val="clear" w:color="auto" w:fill="DBDBDB"/>
          </w:tcPr>
          <w:p>
            <w:pPr>
              <w:jc w:val="right"/>
              <w:ind w:right="75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right w:val="single" w:sz="8" w:color="auto"/>
            </w:tcBorders>
            <w:shd w:val="clear" w:color="auto" w:fill="DBDBDB"/>
          </w:tcPr>
          <w:p>
            <w:pPr>
              <w:jc w:val="right"/>
              <w:ind w:right="130"/>
              <w:spacing w:after="0"/>
              <w:rPr>
                <w:sz w:val="20"/>
                <w:szCs w:val="20"/>
                <w:color w:val="auto"/>
              </w:rPr>
            </w:pPr>
            <w:r>
              <w:rPr>
                <w:rFonts w:ascii="Arial" w:cs="Arial" w:eastAsia="Arial" w:hAnsi="Arial"/>
                <w:sz w:val="18"/>
                <w:szCs w:val="18"/>
                <w:color w:val="auto"/>
              </w:rPr>
              <w:t>3,188,950</w:t>
            </w:r>
          </w:p>
        </w:tc>
        <w:tc>
          <w:tcPr>
            <w:tcW w:w="960" w:type="dxa"/>
            <w:vAlign w:val="bottom"/>
            <w:tcBorders>
              <w:bottom w:val="single" w:sz="8" w:color="auto"/>
            </w:tcBorders>
            <w:shd w:val="clear" w:color="auto" w:fill="DBDBDB"/>
          </w:tcPr>
          <w:p>
            <w:pPr>
              <w:jc w:val="right"/>
              <w:ind w:right="77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right w:val="single" w:sz="8" w:color="auto"/>
            </w:tcBorders>
            <w:shd w:val="clear" w:color="auto" w:fill="DBDBDB"/>
          </w:tcPr>
          <w:p>
            <w:pPr>
              <w:jc w:val="right"/>
              <w:ind w:right="110"/>
              <w:spacing w:after="0"/>
              <w:rPr>
                <w:sz w:val="20"/>
                <w:szCs w:val="20"/>
                <w:color w:val="auto"/>
              </w:rPr>
            </w:pPr>
            <w:r>
              <w:rPr>
                <w:rFonts w:ascii="Arial" w:cs="Arial" w:eastAsia="Arial" w:hAnsi="Arial"/>
                <w:sz w:val="18"/>
                <w:szCs w:val="18"/>
                <w:color w:val="auto"/>
              </w:rPr>
              <w:t>3,101,100</w:t>
            </w:r>
          </w:p>
        </w:tc>
      </w:tr>
    </w:tbl>
    <w:p>
      <w:pPr>
        <w:spacing w:after="0" w:line="18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Audit fees are comprised of fees for professional services rendered by Ernst &amp; Young LLP for the calendar years ended December 31, 2024 and 2023, for the audits of our annual financial statements and for the reviews of the financial statements included in our Quarterly Reports on Form 10-Q for the calendar years ended 2024 and 2023, respectively. The audit fees also include fees associated with the audit of the effectiveness of our internal control over financial reporting as required by Section 404 of the Sarbanes-Oxley Act. Audit fees for 2024 include fees related to the first year of SOX testing and acquisition-related procedures for the Koons Automotive Group acquisition that was completed in December 2023. Audit fees for 2023 include fees related to the remediation of the material weakness identified as of December 31, 2022 and subsequently remediated as of December 31, 2023. Audit fees exclude reimbursed expenses of $107,055 and $107,000 for 2024 and 2023, respectively, in conjunction with their services.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All other fees for the years ended December 31, 2024 and 2023 consist of subscription fees for accounting research software.</w:t>
      </w:r>
    </w:p>
    <w:p>
      <w:pPr>
        <w:spacing w:after="0" w:line="171"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Included in the 2024 audit fees are approximately $ 338,750 that had not been billed to us as of December 31, 2024. Included in the 2023 audit fees are approximately $422,500 that had not been billed to us as of December 31, 2023.</w:t>
      </w:r>
    </w:p>
    <w:p>
      <w:pPr>
        <w:spacing w:after="0" w:line="1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Audit Committee’s Pre-Approval Policies and Procedures</w:t>
      </w:r>
    </w:p>
    <w:p>
      <w:pPr>
        <w:spacing w:after="0" w:line="9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Audit Committee has policies and procedures that require the pre-approval by the Audit Committee of all fees paid to, and all services performed by, our independent registered public accounting firm. Each year the Audit Committee approves the proposed services, including the nature, type and scope of services to be performed by our independent registered public accounting firm during the calendar year, and the related fees. Audit Committee pre-approval is also required for those engagements that may arise during the course of the year which are outside the scope of the initial services and fees pre-approved by the Audit Committee. The Audit Committee has delegated to the Audit Committee chair the ability to approve non-audit work of our independent registered public accounting firm.</w:t>
      </w:r>
    </w:p>
    <w:p>
      <w:pPr>
        <w:spacing w:after="0" w:line="74"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Pursuant to the requirements of the Sarbanes-Oxley Act, the fees and services provided as noted in the table above were authorized and approved by the Audit Committee in compliance with the pre-approval policies and procedures described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40575" cy="3257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0575" cy="325755"/>
                    </a:xfrm>
                    <a:prstGeom prst="rect">
                      <a:avLst/>
                    </a:prstGeom>
                    <a:noFill/>
                  </pic:spPr>
                </pic:pic>
              </a:graphicData>
            </a:graphic>
          </wp:anchor>
        </w:drawing>
      </w:r>
    </w:p>
    <w:p>
      <w:pPr>
        <w:spacing w:after="0" w:line="74" w:lineRule="exact"/>
        <w:rPr>
          <w:sz w:val="20"/>
          <w:szCs w:val="20"/>
          <w:color w:val="auto"/>
        </w:rPr>
      </w:pPr>
    </w:p>
    <w:p>
      <w:pPr>
        <w:jc w:val="center"/>
        <w:spacing w:after="0" w:line="256" w:lineRule="auto"/>
        <w:rPr>
          <w:sz w:val="20"/>
          <w:szCs w:val="20"/>
          <w:color w:val="auto"/>
        </w:rPr>
      </w:pPr>
      <w:r>
        <w:rPr>
          <w:rFonts w:ascii="Arial" w:cs="Arial" w:eastAsia="Arial" w:hAnsi="Arial"/>
          <w:sz w:val="20"/>
          <w:szCs w:val="20"/>
          <w:b w:val="1"/>
          <w:bCs w:val="1"/>
          <w:color w:val="FFFFFF"/>
        </w:rPr>
        <w:t>The Board recommends you vote FOR the ratification of the appointment of Ernst &amp; Young LLP as our independent registered public accounting firm for the year ending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STOCKHOLDER PROPOSAL</w:t>
      </w:r>
    </w:p>
    <w:p>
      <w:pPr>
        <w:spacing w:after="0" w:line="10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following stockholder proposal will be voted upon at the 2025 Annual Meeting if such proposal is properly presented at the 2025 Annual Meeting by or on behalf of the stockholder proponent. Stockholders submitting a proposal must appear personally or by proxy at the 2025 Annual Meeting to move the proposal for consideration. The Company has been advised that Mr. John Chevedden, beneficial owner of no fewer than 15 shares of the Company’s common stock, whose address is 2215 Nelson Avenue, No. 205, Redondo Beach, CA 90278, intends to present the proposal set forth below at the 2025 Annual Meeting. As required by SEC rules, the proposal and supporting statement are presented below in the form received from the stockholder proponent. The Board and the Company are not responsible for the contents of the stockholder proposal or supporting statement. The graphic below was provided by the stockholder proponent and not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Proposal 4 - Simple Majority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2807970</wp:posOffset>
            </wp:positionH>
            <wp:positionV relativeFrom="paragraph">
              <wp:posOffset>86360</wp:posOffset>
            </wp:positionV>
            <wp:extent cx="1534160" cy="3086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53416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Shareholders request that our board take each step necessary so that each voting requirement in our charter and bylaws (that is explicit or implicit due to default to state law) that calls for a greater than simple majority vote be replaced by a requirement for a majority of the votes cast for and against applicable proposals, or a simple majority in compliance with applicable laws. If necessary this means the closest standard to a majority of the votes cast for and against such proposals consistent with applicable laws. This includes making the necessary changes in plain English.</w:t>
      </w:r>
    </w:p>
    <w:p>
      <w:pPr>
        <w:spacing w:after="0" w:line="71"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Shareholders are willing to pay a premium for shares of companies that have excellent corporate governance. Supermajority voting requirements have been found to be one of 6 entrenching mechanisms that are negatively related to company performance according to “What Matters in Corporate Governance” by Lucien Bebchuk, Alma Cohen and Allen Ferrell of the Harvard Law School. Supermajority requirements are used to block initiatives supported by most shareowners but opposed by a status quo management.</w:t>
      </w:r>
    </w:p>
    <w:p>
      <w:pPr>
        <w:spacing w:after="0" w:line="68" w:lineRule="exact"/>
        <w:rPr>
          <w:sz w:val="20"/>
          <w:szCs w:val="20"/>
          <w:color w:val="auto"/>
        </w:rPr>
      </w:pPr>
    </w:p>
    <w:p>
      <w:pPr>
        <w:jc w:val="both"/>
        <w:ind w:right="160"/>
        <w:spacing w:after="0" w:line="291" w:lineRule="auto"/>
        <w:rPr>
          <w:sz w:val="20"/>
          <w:szCs w:val="20"/>
          <w:color w:val="auto"/>
        </w:rPr>
      </w:pPr>
      <w:r>
        <w:rPr>
          <w:rFonts w:ascii="Arial" w:cs="Arial" w:eastAsia="Arial" w:hAnsi="Arial"/>
          <w:sz w:val="17"/>
          <w:szCs w:val="17"/>
          <w:color w:val="auto"/>
        </w:rPr>
        <w:t>This proposal topic won from 74% to 88% support at Weyerhaeuser, Alcoa, Waste Management, Goldman Sachs, FirstEnergy and Macy’s. These votes would have been higher than 74% to 88% if more shareholders had access to independent proxy voting advice. This proposal topic also received overwhelming 98%-support at the 2023 annual meetings of American Airlines (AAL) and The Carlyle Group (CG).</w:t>
      </w:r>
    </w:p>
    <w:p>
      <w:pPr>
        <w:spacing w:after="0" w:line="4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overwhelming shareholder support for this proposal topic at hundreds of major companies raises the question of why Asbury Automotive has not initiated this proposal topic on its own.</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Please vote yes:</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Simple Majority Vote - Proposal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Board's Statement of Opposition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recommends that you vote AGAINST this proposal for the reasons described below.</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We have demonstrated a commitment to strong and effective corporate governance.</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Our governance documents include only a few narrowly tailored supermajority vote requirements.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The existing provisions benefit our stockholders.</w:t>
      </w:r>
    </w:p>
    <w:p>
      <w:pPr>
        <w:spacing w:after="0" w:line="9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The Company has demonstrated a commitment to strong and effective corporate governance.</w:t>
      </w:r>
    </w:p>
    <w:p>
      <w:pPr>
        <w:spacing w:after="0" w:line="92" w:lineRule="exact"/>
        <w:rPr>
          <w:sz w:val="20"/>
          <w:szCs w:val="20"/>
          <w:color w:val="auto"/>
        </w:rPr>
      </w:pPr>
    </w:p>
    <w:p>
      <w:pPr>
        <w:ind w:right="860"/>
        <w:spacing w:after="0" w:line="287" w:lineRule="auto"/>
        <w:rPr>
          <w:sz w:val="20"/>
          <w:szCs w:val="20"/>
          <w:color w:val="auto"/>
        </w:rPr>
      </w:pPr>
      <w:r>
        <w:rPr>
          <w:rFonts w:ascii="Arial" w:cs="Arial" w:eastAsia="Arial" w:hAnsi="Arial"/>
          <w:sz w:val="18"/>
          <w:szCs w:val="18"/>
          <w:color w:val="auto"/>
        </w:rPr>
        <w:t>The Board believes that this proposal should be evaluated in the context of the Company’s overall commitment to strong corporate governance that is responsive to the views and concerns of our stockholders, as evidenced by the following practices:</w:t>
      </w:r>
    </w:p>
    <w:p>
      <w:pPr>
        <w:spacing w:after="0" w:line="4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Annual election of all directors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Plurality voting standard and resignation policy for directors in uncontested elections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Director overboarding policy</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Increase in number of directors from 9 to 10</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9 out of 10 director nominees are independent</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Robust independent lead director role and governance responsibilities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Regularly scheduled executive sessions of non-management directors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Board and committee oversight of risk exposures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Mandatory retirement age of 74 for directors (through end of current term)</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Orientation program for new directors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Annual board and committee self-assessments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Directors have full and free access to management</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Prohibition on hedging and pledging of our securities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Significant director and executive stock ownership guidelines</w:t>
      </w:r>
    </w:p>
    <w:p>
      <w:pPr>
        <w:spacing w:after="0" w:line="117"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See “Code of Business Conduct and Ethics and Corporate Governance Guidelines” in this proxy statement and our Corporate Governance Guidelines for additional details regarding the Company’s commitment to strong corporate governance.</w:t>
      </w:r>
    </w:p>
    <w:p>
      <w:pPr>
        <w:spacing w:after="0" w:line="24" w:lineRule="exact"/>
        <w:rPr>
          <w:sz w:val="20"/>
          <w:szCs w:val="20"/>
          <w:color w:val="auto"/>
        </w:rPr>
      </w:pPr>
    </w:p>
    <w:p>
      <w:pPr>
        <w:ind w:right="1420"/>
        <w:spacing w:after="0" w:line="245" w:lineRule="auto"/>
        <w:rPr>
          <w:sz w:val="20"/>
          <w:szCs w:val="20"/>
          <w:color w:val="auto"/>
        </w:rPr>
      </w:pPr>
      <w:r>
        <w:rPr>
          <w:rFonts w:ascii="Arial" w:cs="Arial" w:eastAsia="Arial" w:hAnsi="Arial"/>
          <w:sz w:val="22"/>
          <w:szCs w:val="22"/>
          <w:b w:val="1"/>
          <w:bCs w:val="1"/>
          <w:i w:val="1"/>
          <w:iCs w:val="1"/>
          <w:color w:val="auto"/>
        </w:rPr>
        <w:t>The Company’s governance documents include only a few narrowly tailored supermajority vote requirements.</w:t>
      </w:r>
    </w:p>
    <w:p>
      <w:pPr>
        <w:spacing w:after="0" w:line="4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This proposal is both vague and overbroad in that it does not specify any of the provisions that the stockholder proponent is seeking to amend. The Board does not believe that indiscriminate elimination of all supermajority voting would benefit our stockholders. The Board believes that the supermajority voting standards under our governance documents are appropriately limited to specific foundational items that promote the success of the Company and the long-term strategic focus of our Board and management team.</w:t>
      </w:r>
    </w:p>
    <w:p>
      <w:pPr>
        <w:spacing w:after="0" w:line="6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Under the Company’s Amended and Restated Certificate of Incorporation (the “Charter”) and By-laws, a majority vote requirement already applies to most matters submitted for stockholder approval, including this proposal. Our Charter and By-laws only require higher than a majority vote standard in a limited number of operative instances related to specific amendments to our Charter and By-laws involving (1) the Board of Directors, including the election process, terms, vacancies and removal (by majority vote), (2) stockholders’ right to call special meetings and act by written consent, (3) advance notice provisions related to stockholder business and nominations for both annual meetings and special meetings, and (4) any modification of the amendment provision in our Charter or By-laws generally.</w:t>
      </w:r>
    </w:p>
    <w:p>
      <w:pPr>
        <w:spacing w:after="0" w:line="74"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The Board believes that retaining the limited supermajority voting standards under our Charter is in the best interests of the Company and its stockholders to maximize long-term value of our Company, as the Board believes that the limited supermajority requirements the Company currently has in place are appropriate to maintain the stability of our operations, while striking an appropriate balance that allows for fundamental changes where there is strong stockholder consensus.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The existing provisions benefit our stockholders.</w:t>
      </w:r>
    </w:p>
    <w:p>
      <w:pPr>
        <w:spacing w:after="0" w:line="92"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Board believes that fundamental changes to corporate governance should have the support of a broad consensus of our stockholders rather than a simple majority. If the simple majority voting standard under this proposal were implemented, it would be possible for a small group of short-term stockholders, who are not subject to the same fiduciary duties as the Board, to approve actions that may not be in the long-term best interests of the Company or our stockholders, including enacting fundamental changes to the Company’s corporate governance structure or operations.</w:t>
      </w:r>
    </w:p>
    <w:p>
      <w:pPr>
        <w:spacing w:after="0" w:line="7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For example, if the simple majority voting standard were adopted as proposed and only 50.1% of the shares outstanding are present at an annual or special meeting, stockholders constituting as little as 25.1% of the outstanding voting power – or as few as two or three of our largest stockholders – could approve significant corporate changes. Rather than protecting stockholders, such a provision allows a small group of stockholders to act in their own self-interests and possibly to the detriment of the Company’s other stockholders. In addition, because supermajority provisions give holders of less than a majority of the outstanding shares the ability to defeat a proposed fundamental change, they generally have the effect of giving minority stockholders a greater voice in a company’s corporate governance. The Board believes that the few narrowly-tailored supermajority voting standards in our Charter and By-laws protect our stockholders against such actions and should not be eliminated.</w:t>
      </w:r>
    </w:p>
    <w:p>
      <w:pPr>
        <w:spacing w:after="0" w:line="7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a result, after careful consideration of this proposal, the Board believes that this proposal is not in the long-term best interests of the Company or our stockholders and is therefore unnecessary. In addition, should this proposal pass, management's attention will be diverted to further considering this stockholder proposal, which could include seeking stockholder approval of amendments to the Charter and By-laws at our annual meeting in 2026, which the Board does not believe is justifiable or necessary as the existing provisions benefit our stockholders. The Board will continue to evaluate the future implementation of appropriate corporate governance measures.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FFFFFF"/>
        </w:rPr>
        <w:t>The Board recommends you vote AGAINST Proposal 4 to adopt a simple majority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-139065</wp:posOffset>
            </wp:positionV>
            <wp:extent cx="7115175" cy="1797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15175" cy="17970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OTHER MATTERS</w:t>
      </w:r>
    </w:p>
    <w:p>
      <w:pPr>
        <w:spacing w:after="0" w:line="104"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Management is not aware of any other matters to be brought before the 2025 Annual Meeting, but if other matters come before the meeting, the proxy holders intend to take such action as in their judgment is in the best interest of the Company and its stockholders.</w:t>
      </w:r>
    </w:p>
    <w:p>
      <w:pPr>
        <w:spacing w:after="0" w:line="1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Stockholder Proposals for the 2026 Annual Meeting</w:t>
      </w:r>
    </w:p>
    <w:p>
      <w:pPr>
        <w:spacing w:after="0" w:line="9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This proxy statement relates to the Company’s 2025 Annual Meeting, which is anticipated to take place on May 13, 2025. In order to be eligible for inclusion in the Company’s proxy materials for the 2026 Annual Meeting of Stockholders, any stockholder proposal must be submitted in writing to the Company’s Corporate Secretary and received at the Company’s corporate headquarters by the close of business on December 3, 2025 or such later date as the Company may determine and announce in connection with the actual scheduling of the 2026 Annual Meeting of Stockholders. To be considered for presentation at the 2026 Annual Meeting of Stockholders, although not included in the Company’s proxy statement, any stockholder proposal, including nominations of directors, must be received at the Company’s corporate headquarters not earlier than January 13, 2026, but on or before the close of business on February 12, 2026, or such later date as the Company may determine and announce in connection with the actual scheduling of the 2026Annual Meeting of Stockholders and must comply with the notice procedures set forth in the Company's By-laws. The procedure for nominating directors is described above under “Governance of the Company—Nomination of Directors.”</w:t>
      </w:r>
    </w:p>
    <w:p>
      <w:pPr>
        <w:spacing w:after="0" w:line="7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All stockholder proposals for inclusion in the Company’s proxy materials will be subject to the requirements of the proxy rules adopted under the Exchange Act and, as with any stockholder proposal (regardless of whether it is included in the Company’s proxy materials), including nominations of directors, the Company’s Restated Certificate of Incorporation, the Company’s By-laws and Delaware law.</w:t>
      </w:r>
    </w:p>
    <w:p>
      <w:pPr>
        <w:spacing w:after="0" w:line="3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Compliance with Universal Proxy Rules for Director Nominations</w:t>
      </w:r>
    </w:p>
    <w:p>
      <w:pPr>
        <w:spacing w:after="0" w:line="11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addition to satisfying the requirements under the Company’s By-laws, if a stockholder intends to comply with the universal proxy rules and to solicit proxies in support of director nominees other than the Company’s nominees, the stockholder must provide notice that sets forth the information required by Rule 14a-19 under the Exchange Act, which notice must be postmarked or transmitted electronically to the Company at the Company’s corporate headquarters no later than 60 calendar days prior to the one-year anniversary date of the annual meeting (for the 2026 Annual Meeting of Stockholders, no later than March 14, 2026). If the date of the 2026 Annual Meeting of Stockholders is changed by more than 30 calendar days from such anniversary date, however, then the stockholder must provide notice by the later of 60 calendar days prior to the date of the 2026 Annual Meeting of Stockholders and the 10th calendar day following the date on which public announcement of the date of the 2026 Annual Meeting of Stockholders is first made.</w:t>
      </w:r>
    </w:p>
    <w:p>
      <w:pPr>
        <w:spacing w:after="0" w:line="4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Delivery of Proxy Materials to Households</w:t>
      </w:r>
    </w:p>
    <w:p>
      <w:pPr>
        <w:spacing w:after="0" w:line="11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Under the rules of the SEC, the Company is permitted to use a method of delivery, often referred to as “householding.” Householding permits the Company to mail a single set of proxy materials to any household in which two or more different stockholders reside and are members of the same household or in which one stockholder has multiple accounts. The Company did not household materials for the 2025 Annual Meeting. If the Company households materials for future meetings, then only one copy of the Company’s annual report and proxy statement will be sent to multiple stockholders of the Company who share the same address and last name, unless the Company has received contrary instructions from one or more of those stockholders. In addition, the Company has been notified that certain intermediaries (</w:t>
      </w:r>
      <w:r>
        <w:rPr>
          <w:rFonts w:ascii="Arial" w:cs="Arial" w:eastAsia="Arial" w:hAnsi="Arial"/>
          <w:sz w:val="18"/>
          <w:szCs w:val="18"/>
          <w:i w:val="1"/>
          <w:iCs w:val="1"/>
          <w:color w:val="auto"/>
        </w:rPr>
        <w:t>i.e.</w:t>
      </w:r>
      <w:r>
        <w:rPr>
          <w:rFonts w:ascii="Arial" w:cs="Arial" w:eastAsia="Arial" w:hAnsi="Arial"/>
          <w:sz w:val="18"/>
          <w:szCs w:val="18"/>
          <w:color w:val="auto"/>
        </w:rPr>
        <w:t xml:space="preserve">, banks, brokers or other nominees) will household proxy materials for the 2025 Annual Meeting. For voting purposes, a separate proxy card will be included for each account at the shared address. The Company will deliver promptly, upon oral or written request, a separate copy of the annual report and proxy statement to any stockholder at the same address. If you wish to receive a separate copy of the annual report and proxy statement, you may contact the Company’s Investor Relations Department (i) by mail at our corporate headquarters currently located at 2905 Premiere Parkway NW, Suite 300, Duluth, GA 30097, (ii) by telephone at 770-418-8212, or (iii) by e-mail at </w:t>
      </w:r>
      <w:r>
        <w:rPr>
          <w:rFonts w:ascii="Arial" w:cs="Arial" w:eastAsia="Arial" w:hAnsi="Arial"/>
          <w:sz w:val="18"/>
          <w:szCs w:val="18"/>
          <w:i w:val="1"/>
          <w:iCs w:val="1"/>
          <w:color w:val="auto"/>
        </w:rPr>
        <w:t>ir@asburyauto.com</w:t>
      </w:r>
      <w:r>
        <w:rPr>
          <w:rFonts w:ascii="Arial" w:cs="Arial" w:eastAsia="Arial" w:hAnsi="Arial"/>
          <w:sz w:val="18"/>
          <w:szCs w:val="18"/>
          <w:color w:val="auto"/>
        </w:rPr>
        <w:t>. You may also contact your bank, broker or other nominee to make a similar request. Stockholders sharing an address who now receive multiple copies of the Company’s annual report and proxy statement may request delivery of a single copy by contacting the Company as indicated above, or by contacting their bank, broker or other nominee, provided the broker, bank or other nominee has elected to household proxy materials.</w:t>
      </w: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Additional Information</w:t>
      </w:r>
    </w:p>
    <w:p>
      <w:pPr>
        <w:spacing w:after="0" w:line="110"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 xml:space="preserve">The Company files annual, quarterly and current reports, proxy materials and other information with the SEC. You may inspect the Company’s filings at the regional offices of the SEC or over the Internet at the SEC’s website at </w:t>
      </w:r>
      <w:r>
        <w:rPr>
          <w:rFonts w:ascii="Arial" w:cs="Arial" w:eastAsia="Arial" w:hAnsi="Arial"/>
          <w:sz w:val="18"/>
          <w:szCs w:val="18"/>
          <w:i w:val="1"/>
          <w:iCs w:val="1"/>
          <w:u w:val="single" w:color="auto"/>
          <w:color w:val="auto"/>
        </w:rPr>
        <w:t>www.SEC.gov</w:t>
      </w:r>
      <w:r>
        <w:rPr>
          <w:rFonts w:ascii="Arial" w:cs="Arial" w:eastAsia="Arial" w:hAnsi="Arial"/>
          <w:sz w:val="18"/>
          <w:szCs w:val="18"/>
          <w:color w:val="auto"/>
        </w:rPr>
        <w:t xml:space="preserve">. Additional information can also be found on the Company’s website at </w:t>
      </w:r>
      <w:r>
        <w:rPr>
          <w:rFonts w:ascii="Arial" w:cs="Arial" w:eastAsia="Arial" w:hAnsi="Arial"/>
          <w:sz w:val="18"/>
          <w:szCs w:val="18"/>
          <w:i w:val="1"/>
          <w:iCs w:val="1"/>
          <w:u w:val="single" w:color="auto"/>
          <w:color w:val="auto"/>
        </w:rPr>
        <w:t>www.AsburyAuto.com</w:t>
      </w:r>
      <w:r>
        <w:rPr>
          <w:rFonts w:ascii="Arial" w:cs="Arial" w:eastAsia="Arial" w:hAnsi="Arial"/>
          <w:sz w:val="18"/>
          <w:szCs w:val="18"/>
          <w:color w:val="auto"/>
        </w:rPr>
        <w:t>. Information contained on any website referenced in this proxy statement is not incorporated by reference in this proxy statement.</w:t>
      </w:r>
    </w:p>
    <w:p>
      <w:pPr>
        <w:spacing w:after="0" w:line="68"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b w:val="1"/>
          <w:bCs w:val="1"/>
          <w:color w:val="auto"/>
        </w:rPr>
        <w:t xml:space="preserve">If you would like to receive a copy of any exhibits listed in the Company’s Annual Report on Form 10-K for the year ended December 31, 2024, please contact the Company's Investor Relations Department (i) by mail at our corporate headquarters currently located at 2905 Premiere Parkway NW, Suite 300, Duluth, GA 30097, (i) by telephone at 770-418-8212, or (iii) by email at </w:t>
      </w:r>
      <w:r>
        <w:rPr>
          <w:rFonts w:ascii="Arial" w:cs="Arial" w:eastAsia="Arial" w:hAnsi="Arial"/>
          <w:sz w:val="18"/>
          <w:szCs w:val="18"/>
          <w:b w:val="1"/>
          <w:bCs w:val="1"/>
          <w:i w:val="1"/>
          <w:iCs w:val="1"/>
          <w:u w:val="single" w:color="auto"/>
          <w:color w:val="auto"/>
        </w:rPr>
        <w:t>ir@asburyauto.com</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and the exhibits will be provided to you upon the payment of a nominal fee (which fee will be limited to the</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expenses the Company incurs in providing you with the requested exhibits).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22" w:right="49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APPENDIX A</w:t>
      </w:r>
    </w:p>
    <w:p>
      <w:pPr>
        <w:spacing w:after="0" w:line="8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Non-GAAP Financial Measures and Reconciliation</w:t>
      </w:r>
    </w:p>
    <w:p>
      <w:pPr>
        <w:spacing w:after="0" w:line="86"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The Proxy Statement contains non-GAAP financial measures within the meaning of Regulation G promulgated by the U.S. Securities and Exchange Commission and includes a reconciliation of these non-GAAP financial measures to the most directly comparable financial measures calculated in accordance with GAAP.</w:t>
      </w:r>
    </w:p>
    <w:p>
      <w:pPr>
        <w:spacing w:after="0" w:line="6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use certain non-GAAP financial measures that are included in this proxy statement (a) to explain our results to stockholders and the investment community and (b) in the internal evaluation and management of our business. We believe that these non-GAAP financial measures and the information they provide are useful to investors because these measures (a) permit investors to view the Company’s performance using the same tools that management uses to evaluate the Company’s past performance, and (b) determine certain elements of management incentive compensation. These measures include adjusted earnings before non-floor plan interest, taxes, depreciation and amortization (“Adjusted EBITDA”), "Adjusted operating margin," and "Adjusted diluted earnings per share" ("EPS"). Further, management assesses the organic growth of our revenue and gross profit on a same store basis. We believe that our assessment on a same store basis represents an important indicator of comparative financial performance and provides relevant information to assess our performance at our existing locations. Same store amounts consist of information from dealerships for identical months in each comparative period, commencing with the first month we owned the dealership. Additionally, amounts related to divested dealerships are excluded from each comparative period.</w:t>
      </w:r>
    </w:p>
    <w:p>
      <w:pPr>
        <w:spacing w:after="0" w:line="7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Non-GAAP measures do not have definitions under GAAP and may be defined differently by and not be comparable to similarly titled measures used by other companies. As a result, any non-GAAP financial measures considered and evaluated by management are reviewed in conjunction with a review of the most directly comparable measures calculated in accordance with GAAP. Management cautions investors not to place undue reliance on such non-GAAP measures, but also to consider them with the most directly comparable GAAP measures. In their evaluation of results from time to time, management excludes items that do not arise directly from core operations, or are otherwise of an unusual or non-recurring nature. Because these non-core, unusual or non-recurring charges and gains materially affect Asbury's financial condition or results in the specific period in which they are recognized, management also evaluates, and makes resource allocation and performance evaluation decisions based on, the related non-GAAP measures excluding such items. In addition to using such non-GAAP measures to evaluate results in a specific period, management believes that such measures may provide more complete and consistent comparisons of operational performance on a period-over-period historical basis and a better indication of expected future trends. Management discloses these non-GAAP measures, and the related reconciliations, because it believes investors use these metrics in evaluating longer-term period-over-period performance, and to allow investors to better understand and evaluate the information used by management to assess operating performance. Amounts presented have been calculated using non-rounded amounts for all periods presented and therefore certain amounts may not compute or tie to prior year financial statements due to rounding.</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07"/>
        </w:trPr>
        <w:tc>
          <w:tcPr>
            <w:tcW w:w="8360" w:type="dxa"/>
            <w:vAlign w:val="bottom"/>
            <w:gridSpan w:val="5"/>
          </w:tcPr>
          <w:p>
            <w:pPr>
              <w:spacing w:after="0"/>
              <w:rPr>
                <w:sz w:val="20"/>
                <w:szCs w:val="20"/>
                <w:color w:val="auto"/>
              </w:rPr>
            </w:pPr>
            <w:r>
              <w:rPr>
                <w:rFonts w:ascii="Arial" w:cs="Arial" w:eastAsia="Arial" w:hAnsi="Arial"/>
                <w:sz w:val="18"/>
                <w:szCs w:val="18"/>
                <w:color w:val="0000FF"/>
              </w:rPr>
              <w:t>Table of Contents</w:t>
            </w: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00" w:type="dxa"/>
            <w:vAlign w:val="bottom"/>
            <w:gridSpan w:val="6"/>
            <w:vMerge w:val="restart"/>
          </w:tcPr>
          <w:p>
            <w:pPr>
              <w:jc w:val="center"/>
              <w:ind w:right="90"/>
              <w:spacing w:after="0"/>
              <w:rPr>
                <w:sz w:val="20"/>
                <w:szCs w:val="20"/>
                <w:color w:val="auto"/>
              </w:rPr>
            </w:pPr>
            <w:r>
              <w:rPr>
                <w:rFonts w:ascii="Arial" w:cs="Arial" w:eastAsia="Arial" w:hAnsi="Arial"/>
                <w:sz w:val="18"/>
                <w:szCs w:val="18"/>
                <w:color w:val="auto"/>
                <w:w w:val="99"/>
              </w:rPr>
              <w:t>For the Twelve Months Ended</w:t>
            </w:r>
          </w:p>
        </w:tc>
        <w:tc>
          <w:tcPr>
            <w:tcW w:w="0" w:type="dxa"/>
            <w:vAlign w:val="bottom"/>
          </w:tcPr>
          <w:p>
            <w:pPr>
              <w:spacing w:after="0" w:line="20" w:lineRule="exact"/>
              <w:rPr>
                <w:sz w:val="1"/>
                <w:szCs w:val="1"/>
                <w:color w:val="auto"/>
              </w:rPr>
            </w:pPr>
          </w:p>
        </w:tc>
      </w:tr>
      <w:tr>
        <w:trPr>
          <w:trHeight w:val="763"/>
        </w:trPr>
        <w:tc>
          <w:tcPr>
            <w:tcW w:w="20" w:type="dxa"/>
            <w:vAlign w:val="bottom"/>
          </w:tcPr>
          <w:p>
            <w:pPr>
              <w:spacing w:after="0"/>
              <w:rPr>
                <w:sz w:val="24"/>
                <w:szCs w:val="24"/>
                <w:color w:val="auto"/>
              </w:rPr>
            </w:pPr>
          </w:p>
        </w:tc>
        <w:tc>
          <w:tcPr>
            <w:tcW w:w="8340" w:type="dxa"/>
            <w:vAlign w:val="bottom"/>
            <w:gridSpan w:val="4"/>
            <w:vMerge w:val="restart"/>
          </w:tcPr>
          <w:p>
            <w:pPr>
              <w:spacing w:after="0"/>
              <w:rPr>
                <w:sz w:val="20"/>
                <w:szCs w:val="20"/>
                <w:color w:val="auto"/>
              </w:rPr>
            </w:pPr>
            <w:r>
              <w:rPr>
                <w:rFonts w:ascii="Arial" w:cs="Arial" w:eastAsia="Arial" w:hAnsi="Arial"/>
                <w:sz w:val="18"/>
                <w:szCs w:val="18"/>
                <w:color w:val="auto"/>
              </w:rPr>
              <w:t>Reconciliation of adjusted earnings before interest, taxes, depreciation and amortization ("EBITDA"):</w:t>
            </w:r>
          </w:p>
        </w:tc>
        <w:tc>
          <w:tcPr>
            <w:tcW w:w="180" w:type="dxa"/>
            <w:vAlign w:val="bottom"/>
          </w:tcPr>
          <w:p>
            <w:pPr>
              <w:spacing w:after="0"/>
              <w:rPr>
                <w:sz w:val="24"/>
                <w:szCs w:val="24"/>
                <w:color w:val="auto"/>
              </w:rPr>
            </w:pPr>
          </w:p>
        </w:tc>
        <w:tc>
          <w:tcPr>
            <w:tcW w:w="2700" w:type="dxa"/>
            <w:vAlign w:val="bottom"/>
            <w:gridSpan w:val="6"/>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40" w:type="dxa"/>
            <w:vAlign w:val="bottom"/>
            <w:gridSpan w:val="4"/>
            <w:vMerge w:val="continue"/>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700" w:type="dxa"/>
            <w:vAlign w:val="bottom"/>
            <w:tcBorders>
              <w:bottom w:val="single" w:sz="8" w:color="auto"/>
            </w:tcBorders>
            <w:gridSpan w:val="6"/>
          </w:tcPr>
          <w:p>
            <w:pPr>
              <w:jc w:val="center"/>
              <w:ind w:right="90"/>
              <w:spacing w:after="0"/>
              <w:rPr>
                <w:sz w:val="20"/>
                <w:szCs w:val="20"/>
                <w:color w:val="auto"/>
              </w:rPr>
            </w:pPr>
            <w:r>
              <w:rPr>
                <w:rFonts w:ascii="Arial" w:cs="Arial" w:eastAsia="Arial" w:hAnsi="Arial"/>
                <w:sz w:val="18"/>
                <w:szCs w:val="18"/>
                <w:color w:val="auto"/>
                <w:w w:val="99"/>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6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color w:val="auto"/>
              </w:rPr>
              <w:t>2024</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00" w:type="dxa"/>
            <w:vAlign w:val="bottom"/>
            <w:gridSpan w:val="6"/>
          </w:tcPr>
          <w:p>
            <w:pPr>
              <w:jc w:val="center"/>
              <w:ind w:right="90"/>
              <w:spacing w:after="0"/>
              <w:rPr>
                <w:sz w:val="20"/>
                <w:szCs w:val="20"/>
                <w:color w:val="auto"/>
              </w:rPr>
            </w:pPr>
            <w:r>
              <w:rPr>
                <w:rFonts w:ascii="Arial" w:cs="Arial" w:eastAsia="Arial" w:hAnsi="Arial"/>
                <w:sz w:val="16"/>
                <w:szCs w:val="16"/>
                <w:color w:val="auto"/>
              </w:rPr>
              <w:t>(Dollars in millions)</w:t>
            </w:r>
          </w:p>
        </w:tc>
        <w:tc>
          <w:tcPr>
            <w:tcW w:w="0" w:type="dxa"/>
            <w:vAlign w:val="bottom"/>
          </w:tcPr>
          <w:p>
            <w:pPr>
              <w:spacing w:after="0"/>
              <w:rPr>
                <w:sz w:val="1"/>
                <w:szCs w:val="1"/>
                <w:color w:val="auto"/>
              </w:rPr>
            </w:pPr>
          </w:p>
        </w:tc>
      </w:tr>
      <w:tr>
        <w:trPr>
          <w:trHeight w:val="230"/>
        </w:trPr>
        <w:tc>
          <w:tcPr>
            <w:tcW w:w="20" w:type="dxa"/>
            <w:vAlign w:val="bottom"/>
            <w:shd w:val="clear" w:color="auto" w:fill="DBDBDB"/>
          </w:tcPr>
          <w:p>
            <w:pPr>
              <w:spacing w:after="0"/>
              <w:rPr>
                <w:sz w:val="20"/>
                <w:szCs w:val="20"/>
                <w:color w:val="auto"/>
              </w:rPr>
            </w:pPr>
          </w:p>
        </w:tc>
        <w:tc>
          <w:tcPr>
            <w:tcW w:w="8340" w:type="dxa"/>
            <w:vAlign w:val="bottom"/>
            <w:gridSpan w:val="4"/>
            <w:shd w:val="clear" w:color="auto" w:fill="DBDBDB"/>
          </w:tcPr>
          <w:p>
            <w:pPr>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430.3</w:t>
            </w:r>
          </w:p>
        </w:tc>
        <w:tc>
          <w:tcPr>
            <w:tcW w:w="2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320" w:type="dxa"/>
            <w:vAlign w:val="bottom"/>
            <w:gridSpan w:val="2"/>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602.5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520" w:type="dxa"/>
            <w:vAlign w:val="bottom"/>
            <w:gridSpan w:val="2"/>
          </w:tcPr>
          <w:p>
            <w:pPr>
              <w:spacing w:after="0"/>
              <w:rPr>
                <w:sz w:val="22"/>
                <w:szCs w:val="22"/>
                <w:color w:val="auto"/>
              </w:rPr>
            </w:pPr>
          </w:p>
        </w:tc>
        <w:tc>
          <w:tcPr>
            <w:tcW w:w="5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DBDBDB"/>
          </w:tcPr>
          <w:p>
            <w:pPr>
              <w:spacing w:after="0"/>
              <w:rPr>
                <w:sz w:val="19"/>
                <w:szCs w:val="19"/>
                <w:color w:val="auto"/>
              </w:rPr>
            </w:pPr>
          </w:p>
        </w:tc>
        <w:tc>
          <w:tcPr>
            <w:tcW w:w="8340" w:type="dxa"/>
            <w:vAlign w:val="bottom"/>
            <w:gridSpan w:val="4"/>
            <w:shd w:val="clear" w:color="auto" w:fill="DBDBDB"/>
          </w:tcPr>
          <w:p>
            <w:pPr>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75.0</w:t>
            </w:r>
          </w:p>
        </w:tc>
        <w:tc>
          <w:tcPr>
            <w:tcW w:w="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40" w:type="dxa"/>
            <w:vAlign w:val="bottom"/>
            <w:gridSpan w:val="4"/>
          </w:tcPr>
          <w:p>
            <w:pPr>
              <w:spacing w:after="0"/>
              <w:rPr>
                <w:sz w:val="20"/>
                <w:szCs w:val="20"/>
                <w:color w:val="auto"/>
              </w:rPr>
            </w:pPr>
            <w:r>
              <w:rPr>
                <w:rFonts w:ascii="Arial" w:cs="Arial" w:eastAsia="Arial" w:hAnsi="Arial"/>
                <w:sz w:val="18"/>
                <w:szCs w:val="18"/>
                <w:color w:val="auto"/>
              </w:rPr>
              <w:t>Income tax expense</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145.0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198.8</w:t>
            </w:r>
          </w:p>
        </w:tc>
        <w:tc>
          <w:tcPr>
            <w:tcW w:w="0" w:type="dxa"/>
            <w:vAlign w:val="bottom"/>
          </w:tcPr>
          <w:p>
            <w:pPr>
              <w:spacing w:after="0"/>
              <w:rPr>
                <w:sz w:val="1"/>
                <w:szCs w:val="1"/>
                <w:color w:val="auto"/>
              </w:rPr>
            </w:pPr>
          </w:p>
        </w:tc>
      </w:tr>
      <w:tr>
        <w:trPr>
          <w:trHeight w:val="229"/>
        </w:trPr>
        <w:tc>
          <w:tcPr>
            <w:tcW w:w="20" w:type="dxa"/>
            <w:vAlign w:val="bottom"/>
            <w:shd w:val="clear" w:color="auto" w:fill="DBDBDB"/>
          </w:tcPr>
          <w:p>
            <w:pPr>
              <w:spacing w:after="0"/>
              <w:rPr>
                <w:sz w:val="19"/>
                <w:szCs w:val="19"/>
                <w:color w:val="auto"/>
              </w:rPr>
            </w:pPr>
          </w:p>
        </w:tc>
        <w:tc>
          <w:tcPr>
            <w:tcW w:w="8340" w:type="dxa"/>
            <w:vAlign w:val="bottom"/>
            <w:gridSpan w:val="4"/>
            <w:shd w:val="clear" w:color="auto" w:fill="DBDBDB"/>
          </w:tcPr>
          <w:p>
            <w:pPr>
              <w:spacing w:after="0"/>
              <w:rPr>
                <w:sz w:val="20"/>
                <w:szCs w:val="20"/>
                <w:color w:val="auto"/>
              </w:rPr>
            </w:pPr>
            <w:r>
              <w:rPr>
                <w:rFonts w:ascii="Arial" w:cs="Arial" w:eastAsia="Arial" w:hAnsi="Arial"/>
                <w:sz w:val="18"/>
                <w:szCs w:val="18"/>
                <w:color w:val="auto"/>
              </w:rPr>
              <w:t>Swap and other interest expense (non-floor plan interest)</w:t>
            </w:r>
          </w:p>
        </w:tc>
        <w:tc>
          <w:tcPr>
            <w:tcW w:w="18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179.3</w:t>
            </w:r>
          </w:p>
        </w:tc>
        <w:tc>
          <w:tcPr>
            <w:tcW w:w="20" w:type="dxa"/>
            <w:vAlign w:val="bottom"/>
            <w:tcBorders>
              <w:bottom w:val="single" w:sz="8" w:color="auto"/>
            </w:tcBorders>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20" w:type="dxa"/>
            <w:vAlign w:val="bottom"/>
            <w:tcBorders>
              <w:bottom w:val="single" w:sz="8" w:color="auto"/>
            </w:tcBorders>
            <w:shd w:val="clear" w:color="auto" w:fill="DBDBDB"/>
          </w:tcPr>
          <w:p>
            <w:pPr>
              <w:spacing w:after="0"/>
              <w:rPr>
                <w:sz w:val="19"/>
                <w:szCs w:val="19"/>
                <w:color w:val="auto"/>
              </w:rPr>
            </w:pPr>
          </w:p>
        </w:tc>
        <w:tc>
          <w:tcPr>
            <w:tcW w:w="300" w:type="dxa"/>
            <w:vAlign w:val="bottom"/>
            <w:tcBorders>
              <w:bottom w:val="single" w:sz="8" w:color="auto"/>
            </w:tcBorders>
            <w:shd w:val="clear" w:color="auto" w:fill="DBDBDB"/>
          </w:tcPr>
          <w:p>
            <w:pPr>
              <w:spacing w:after="0"/>
              <w:rPr>
                <w:sz w:val="19"/>
                <w:szCs w:val="19"/>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158.4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gridSpan w:val="4"/>
          </w:tcPr>
          <w:p>
            <w:pPr>
              <w:spacing w:after="0"/>
              <w:rPr>
                <w:sz w:val="20"/>
                <w:szCs w:val="20"/>
                <w:color w:val="auto"/>
              </w:rPr>
            </w:pPr>
            <w:r>
              <w:rPr>
                <w:rFonts w:ascii="Arial" w:cs="Arial" w:eastAsia="Arial" w:hAnsi="Arial"/>
                <w:sz w:val="18"/>
                <w:szCs w:val="18"/>
                <w:color w:val="auto"/>
              </w:rPr>
              <w:t>Earnings before interest, taxes, depreciation and amortization ("EBITDA")</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829.6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1,027.4</w:t>
            </w:r>
          </w:p>
        </w:tc>
        <w:tc>
          <w:tcPr>
            <w:tcW w:w="0" w:type="dxa"/>
            <w:vAlign w:val="bottom"/>
          </w:tcPr>
          <w:p>
            <w:pPr>
              <w:spacing w:after="0"/>
              <w:rPr>
                <w:sz w:val="1"/>
                <w:szCs w:val="1"/>
                <w:color w:val="auto"/>
              </w:rPr>
            </w:pPr>
          </w:p>
        </w:tc>
      </w:tr>
      <w:tr>
        <w:trPr>
          <w:trHeight w:val="20"/>
        </w:trPr>
        <w:tc>
          <w:tcPr>
            <w:tcW w:w="20" w:type="dxa"/>
            <w:vAlign w:val="bottom"/>
            <w:tcBorders>
              <w:bottom w:val="single" w:sz="8" w:color="DBDBDB"/>
            </w:tcBorders>
          </w:tcPr>
          <w:p>
            <w:pPr>
              <w:spacing w:after="0" w:line="20" w:lineRule="exact"/>
              <w:rPr>
                <w:sz w:val="1"/>
                <w:szCs w:val="1"/>
                <w:color w:val="auto"/>
              </w:rPr>
            </w:pPr>
          </w:p>
        </w:tc>
        <w:tc>
          <w:tcPr>
            <w:tcW w:w="1160" w:type="dxa"/>
            <w:vAlign w:val="bottom"/>
            <w:tcBorders>
              <w:bottom w:val="single" w:sz="8" w:color="DBDBDB"/>
            </w:tcBorders>
          </w:tcPr>
          <w:p>
            <w:pPr>
              <w:spacing w:after="0" w:line="20" w:lineRule="exact"/>
              <w:rPr>
                <w:sz w:val="1"/>
                <w:szCs w:val="1"/>
                <w:color w:val="auto"/>
              </w:rPr>
            </w:pPr>
          </w:p>
        </w:tc>
        <w:tc>
          <w:tcPr>
            <w:tcW w:w="220" w:type="dxa"/>
            <w:vAlign w:val="bottom"/>
            <w:tcBorders>
              <w:bottom w:val="single" w:sz="8" w:color="DBDBDB"/>
            </w:tcBorders>
          </w:tcPr>
          <w:p>
            <w:pPr>
              <w:spacing w:after="0" w:line="20" w:lineRule="exact"/>
              <w:rPr>
                <w:sz w:val="1"/>
                <w:szCs w:val="1"/>
                <w:color w:val="auto"/>
              </w:rPr>
            </w:pPr>
          </w:p>
        </w:tc>
        <w:tc>
          <w:tcPr>
            <w:tcW w:w="1300" w:type="dxa"/>
            <w:vAlign w:val="bottom"/>
            <w:tcBorders>
              <w:bottom w:val="single" w:sz="8" w:color="DBDBDB"/>
            </w:tcBorders>
          </w:tcPr>
          <w:p>
            <w:pPr>
              <w:spacing w:after="0" w:line="20" w:lineRule="exact"/>
              <w:rPr>
                <w:sz w:val="1"/>
                <w:szCs w:val="1"/>
                <w:color w:val="auto"/>
              </w:rPr>
            </w:pPr>
          </w:p>
        </w:tc>
        <w:tc>
          <w:tcPr>
            <w:tcW w:w="5660" w:type="dxa"/>
            <w:vAlign w:val="bottom"/>
            <w:tcBorders>
              <w:bottom w:val="single" w:sz="8" w:color="DBDBDB"/>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shd w:val="clear" w:color="auto" w:fill="DBDBDB"/>
          </w:tcPr>
          <w:p>
            <w:pPr>
              <w:spacing w:after="0"/>
              <w:rPr>
                <w:sz w:val="19"/>
                <w:szCs w:val="19"/>
                <w:color w:val="auto"/>
              </w:rPr>
            </w:pPr>
          </w:p>
        </w:tc>
        <w:tc>
          <w:tcPr>
            <w:tcW w:w="116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1300" w:type="dxa"/>
            <w:vAlign w:val="bottom"/>
            <w:shd w:val="clear" w:color="auto" w:fill="DBDBDB"/>
          </w:tcPr>
          <w:p>
            <w:pPr>
              <w:spacing w:after="0"/>
              <w:rPr>
                <w:sz w:val="19"/>
                <w:szCs w:val="19"/>
                <w:color w:val="auto"/>
              </w:rPr>
            </w:pPr>
          </w:p>
        </w:tc>
        <w:tc>
          <w:tcPr>
            <w:tcW w:w="566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340" w:type="dxa"/>
            <w:vAlign w:val="bottom"/>
            <w:gridSpan w:val="4"/>
          </w:tcPr>
          <w:p>
            <w:pPr>
              <w:spacing w:after="0"/>
              <w:rPr>
                <w:sz w:val="20"/>
                <w:szCs w:val="20"/>
                <w:color w:val="auto"/>
              </w:rPr>
            </w:pPr>
            <w:r>
              <w:rPr>
                <w:rFonts w:ascii="Arial" w:cs="Arial" w:eastAsia="Arial" w:hAnsi="Arial"/>
                <w:sz w:val="18"/>
                <w:szCs w:val="18"/>
                <w:color w:val="auto"/>
              </w:rPr>
              <w:t>Non-core items - expense (income):</w:t>
            </w: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DBDBDB"/>
          </w:tcPr>
          <w:p>
            <w:pPr>
              <w:spacing w:after="0"/>
              <w:rPr>
                <w:sz w:val="19"/>
                <w:szCs w:val="19"/>
                <w:color w:val="auto"/>
              </w:rPr>
            </w:pPr>
          </w:p>
        </w:tc>
        <w:tc>
          <w:tcPr>
            <w:tcW w:w="8340" w:type="dxa"/>
            <w:vAlign w:val="bottom"/>
            <w:gridSpan w:val="4"/>
            <w:shd w:val="clear" w:color="auto" w:fill="DBDBDB"/>
          </w:tcPr>
          <w:p>
            <w:pPr>
              <w:spacing w:after="0"/>
              <w:rPr>
                <w:sz w:val="20"/>
                <w:szCs w:val="20"/>
                <w:color w:val="auto"/>
              </w:rPr>
            </w:pPr>
            <w:r>
              <w:rPr>
                <w:rFonts w:ascii="Arial" w:cs="Arial" w:eastAsia="Arial" w:hAnsi="Arial"/>
                <w:sz w:val="18"/>
                <w:szCs w:val="18"/>
                <w:color w:val="auto"/>
              </w:rPr>
              <w:t>Gain on divestitures, net</w:t>
            </w: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(8.6)</w:t>
            </w:r>
          </w:p>
        </w:tc>
        <w:tc>
          <w:tcPr>
            <w:tcW w:w="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320" w:type="dxa"/>
            <w:vAlign w:val="bottom"/>
            <w:gridSpan w:val="2"/>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40" w:type="dxa"/>
            <w:vAlign w:val="bottom"/>
            <w:gridSpan w:val="4"/>
          </w:tcPr>
          <w:p>
            <w:pPr>
              <w:spacing w:after="0"/>
              <w:rPr>
                <w:sz w:val="20"/>
                <w:szCs w:val="20"/>
                <w:color w:val="auto"/>
              </w:rPr>
            </w:pPr>
            <w:r>
              <w:rPr>
                <w:rFonts w:ascii="Arial" w:cs="Arial" w:eastAsia="Arial" w:hAnsi="Arial"/>
                <w:sz w:val="18"/>
                <w:szCs w:val="18"/>
                <w:color w:val="auto"/>
              </w:rPr>
              <w:t>Gain on sale of real estate</w:t>
            </w:r>
          </w:p>
        </w:tc>
        <w:tc>
          <w:tcPr>
            <w:tcW w:w="180" w:type="dxa"/>
            <w:vAlign w:val="bottom"/>
          </w:tcPr>
          <w:p>
            <w:pPr>
              <w:spacing w:after="0"/>
              <w:rPr>
                <w:sz w:val="19"/>
                <w:szCs w:val="19"/>
                <w:color w:val="auto"/>
              </w:rPr>
            </w:pPr>
          </w:p>
        </w:tc>
        <w:tc>
          <w:tcPr>
            <w:tcW w:w="13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9"/>
        </w:trPr>
        <w:tc>
          <w:tcPr>
            <w:tcW w:w="20" w:type="dxa"/>
            <w:vAlign w:val="bottom"/>
            <w:shd w:val="clear" w:color="auto" w:fill="DBDBDB"/>
          </w:tcPr>
          <w:p>
            <w:pPr>
              <w:spacing w:after="0"/>
              <w:rPr>
                <w:sz w:val="19"/>
                <w:szCs w:val="19"/>
                <w:color w:val="auto"/>
              </w:rPr>
            </w:pPr>
          </w:p>
        </w:tc>
        <w:tc>
          <w:tcPr>
            <w:tcW w:w="8340" w:type="dxa"/>
            <w:vAlign w:val="bottom"/>
            <w:gridSpan w:val="4"/>
            <w:shd w:val="clear" w:color="auto" w:fill="DBDBDB"/>
          </w:tcPr>
          <w:p>
            <w:pPr>
              <w:spacing w:after="0"/>
              <w:rPr>
                <w:sz w:val="20"/>
                <w:szCs w:val="20"/>
                <w:color w:val="auto"/>
              </w:rPr>
            </w:pPr>
            <w:r>
              <w:rPr>
                <w:rFonts w:ascii="Arial" w:cs="Arial" w:eastAsia="Arial" w:hAnsi="Arial"/>
                <w:sz w:val="18"/>
                <w:szCs w:val="18"/>
                <w:color w:val="auto"/>
              </w:rPr>
              <w:t>Proceeds from franchise termination</w:t>
            </w:r>
          </w:p>
        </w:tc>
        <w:tc>
          <w:tcPr>
            <w:tcW w:w="1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w:t>
            </w:r>
          </w:p>
        </w:tc>
        <w:tc>
          <w:tcPr>
            <w:tcW w:w="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40" w:type="dxa"/>
            <w:vAlign w:val="bottom"/>
            <w:gridSpan w:val="4"/>
          </w:tcPr>
          <w:p>
            <w:pPr>
              <w:spacing w:after="0"/>
              <w:rPr>
                <w:sz w:val="20"/>
                <w:szCs w:val="20"/>
                <w:color w:val="auto"/>
              </w:rPr>
            </w:pPr>
            <w:r>
              <w:rPr>
                <w:rFonts w:ascii="Arial" w:cs="Arial" w:eastAsia="Arial" w:hAnsi="Arial"/>
                <w:sz w:val="18"/>
                <w:szCs w:val="18"/>
                <w:color w:val="auto"/>
              </w:rPr>
              <w:t>Legal settlements</w:t>
            </w:r>
          </w:p>
        </w:tc>
        <w:tc>
          <w:tcPr>
            <w:tcW w:w="180" w:type="dxa"/>
            <w:vAlign w:val="bottom"/>
          </w:tcPr>
          <w:p>
            <w:pPr>
              <w:spacing w:after="0"/>
              <w:rPr>
                <w:sz w:val="19"/>
                <w:szCs w:val="19"/>
                <w:color w:val="auto"/>
              </w:rPr>
            </w:pPr>
          </w:p>
        </w:tc>
        <w:tc>
          <w:tcPr>
            <w:tcW w:w="13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9"/>
        </w:trPr>
        <w:tc>
          <w:tcPr>
            <w:tcW w:w="20" w:type="dxa"/>
            <w:vAlign w:val="bottom"/>
            <w:shd w:val="clear" w:color="auto" w:fill="DBDBDB"/>
          </w:tcPr>
          <w:p>
            <w:pPr>
              <w:spacing w:after="0"/>
              <w:rPr>
                <w:sz w:val="19"/>
                <w:szCs w:val="19"/>
                <w:color w:val="auto"/>
              </w:rPr>
            </w:pPr>
          </w:p>
        </w:tc>
        <w:tc>
          <w:tcPr>
            <w:tcW w:w="8340" w:type="dxa"/>
            <w:vAlign w:val="bottom"/>
            <w:gridSpan w:val="4"/>
            <w:shd w:val="clear" w:color="auto" w:fill="DBDBDB"/>
          </w:tcPr>
          <w:p>
            <w:pPr>
              <w:spacing w:after="0"/>
              <w:rPr>
                <w:sz w:val="20"/>
                <w:szCs w:val="20"/>
                <w:color w:val="auto"/>
              </w:rPr>
            </w:pPr>
            <w:r>
              <w:rPr>
                <w:rFonts w:ascii="Arial" w:cs="Arial" w:eastAsia="Arial" w:hAnsi="Arial"/>
                <w:sz w:val="18"/>
                <w:szCs w:val="18"/>
                <w:color w:val="auto"/>
              </w:rPr>
              <w:t>Franchise rights and goodwill impairments</w:t>
            </w:r>
          </w:p>
        </w:tc>
        <w:tc>
          <w:tcPr>
            <w:tcW w:w="1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149.5</w:t>
            </w:r>
          </w:p>
        </w:tc>
        <w:tc>
          <w:tcPr>
            <w:tcW w:w="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117.2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340" w:type="dxa"/>
            <w:vAlign w:val="bottom"/>
            <w:gridSpan w:val="4"/>
          </w:tcPr>
          <w:p>
            <w:pPr>
              <w:spacing w:after="0"/>
              <w:rPr>
                <w:sz w:val="20"/>
                <w:szCs w:val="20"/>
                <w:color w:val="auto"/>
              </w:rPr>
            </w:pPr>
            <w:r>
              <w:rPr>
                <w:rFonts w:ascii="Arial" w:cs="Arial" w:eastAsia="Arial" w:hAnsi="Arial"/>
                <w:sz w:val="18"/>
                <w:szCs w:val="18"/>
                <w:color w:val="auto"/>
              </w:rPr>
              <w:t>Hail damage</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0"/>
        </w:trPr>
        <w:tc>
          <w:tcPr>
            <w:tcW w:w="20" w:type="dxa"/>
            <w:vAlign w:val="bottom"/>
            <w:shd w:val="clear" w:color="auto" w:fill="DBDBDB"/>
          </w:tcPr>
          <w:p>
            <w:pPr>
              <w:spacing w:after="0"/>
              <w:rPr>
                <w:sz w:val="19"/>
                <w:szCs w:val="19"/>
                <w:color w:val="auto"/>
              </w:rPr>
            </w:pPr>
          </w:p>
        </w:tc>
        <w:tc>
          <w:tcPr>
            <w:tcW w:w="8340" w:type="dxa"/>
            <w:vAlign w:val="bottom"/>
            <w:gridSpan w:val="4"/>
            <w:shd w:val="clear" w:color="auto" w:fill="DBDBDB"/>
          </w:tcPr>
          <w:p>
            <w:pPr>
              <w:spacing w:after="0"/>
              <w:rPr>
                <w:sz w:val="20"/>
                <w:szCs w:val="20"/>
                <w:color w:val="auto"/>
              </w:rPr>
            </w:pPr>
            <w:r>
              <w:rPr>
                <w:rFonts w:ascii="Arial" w:cs="Arial" w:eastAsia="Arial" w:hAnsi="Arial"/>
                <w:sz w:val="18"/>
                <w:szCs w:val="18"/>
                <w:color w:val="auto"/>
              </w:rPr>
              <w:t>Hurricane Milton losses</w:t>
            </w:r>
          </w:p>
        </w:tc>
        <w:tc>
          <w:tcPr>
            <w:tcW w:w="1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6.4</w:t>
            </w:r>
          </w:p>
        </w:tc>
        <w:tc>
          <w:tcPr>
            <w:tcW w:w="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340" w:type="dxa"/>
            <w:vAlign w:val="bottom"/>
            <w:gridSpan w:val="4"/>
          </w:tcPr>
          <w:p>
            <w:pPr>
              <w:spacing w:after="0"/>
              <w:rPr>
                <w:sz w:val="20"/>
                <w:szCs w:val="20"/>
                <w:color w:val="auto"/>
              </w:rPr>
            </w:pPr>
            <w:r>
              <w:rPr>
                <w:rFonts w:ascii="Arial" w:cs="Arial" w:eastAsia="Arial" w:hAnsi="Arial"/>
                <w:sz w:val="18"/>
                <w:szCs w:val="18"/>
                <w:color w:val="auto"/>
              </w:rPr>
              <w:t>Professional fees associated with acquisition</w:t>
            </w:r>
          </w:p>
        </w:tc>
        <w:tc>
          <w:tcPr>
            <w:tcW w:w="180" w:type="dxa"/>
            <w:vAlign w:val="bottom"/>
          </w:tcPr>
          <w:p>
            <w:pPr>
              <w:spacing w:after="0"/>
              <w:rPr>
                <w:sz w:val="19"/>
                <w:szCs w:val="19"/>
                <w:color w:val="auto"/>
              </w:rPr>
            </w:pPr>
          </w:p>
        </w:tc>
        <w:tc>
          <w:tcPr>
            <w:tcW w:w="13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9"/>
        </w:trPr>
        <w:tc>
          <w:tcPr>
            <w:tcW w:w="20" w:type="dxa"/>
            <w:vAlign w:val="bottom"/>
            <w:shd w:val="clear" w:color="auto" w:fill="DBDBDB"/>
          </w:tcPr>
          <w:p>
            <w:pPr>
              <w:spacing w:after="0"/>
              <w:rPr>
                <w:sz w:val="19"/>
                <w:szCs w:val="19"/>
                <w:color w:val="auto"/>
              </w:rPr>
            </w:pPr>
          </w:p>
        </w:tc>
        <w:tc>
          <w:tcPr>
            <w:tcW w:w="8340" w:type="dxa"/>
            <w:vAlign w:val="bottom"/>
            <w:gridSpan w:val="4"/>
            <w:shd w:val="clear" w:color="auto" w:fill="DBDBDB"/>
          </w:tcPr>
          <w:p>
            <w:pPr>
              <w:spacing w:after="0"/>
              <w:rPr>
                <w:sz w:val="20"/>
                <w:szCs w:val="20"/>
                <w:color w:val="auto"/>
              </w:rPr>
            </w:pPr>
            <w:r>
              <w:rPr>
                <w:rFonts w:ascii="Arial" w:cs="Arial" w:eastAsia="Arial" w:hAnsi="Arial"/>
                <w:sz w:val="18"/>
                <w:szCs w:val="18"/>
                <w:color w:val="auto"/>
              </w:rPr>
              <w:t>Fixed assets write-off</w:t>
            </w:r>
          </w:p>
        </w:tc>
        <w:tc>
          <w:tcPr>
            <w:tcW w:w="180" w:type="dxa"/>
            <w:vAlign w:val="bottom"/>
            <w:shd w:val="clear" w:color="auto" w:fill="DBDBDB"/>
          </w:tcPr>
          <w:p>
            <w:pPr>
              <w:spacing w:after="0"/>
              <w:rPr>
                <w:sz w:val="19"/>
                <w:szCs w:val="19"/>
                <w:color w:val="auto"/>
              </w:rPr>
            </w:pPr>
          </w:p>
        </w:tc>
        <w:tc>
          <w:tcPr>
            <w:tcW w:w="1300" w:type="dxa"/>
            <w:vAlign w:val="bottom"/>
            <w:gridSpan w:val="3"/>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gridSpan w:val="4"/>
          </w:tcPr>
          <w:p>
            <w:pPr>
              <w:spacing w:after="0"/>
              <w:rPr>
                <w:sz w:val="20"/>
                <w:szCs w:val="20"/>
                <w:color w:val="auto"/>
              </w:rPr>
            </w:pPr>
            <w:r>
              <w:rPr>
                <w:rFonts w:ascii="Arial" w:cs="Arial" w:eastAsia="Arial" w:hAnsi="Arial"/>
                <w:sz w:val="18"/>
                <w:szCs w:val="18"/>
                <w:color w:val="auto"/>
              </w:rPr>
              <w:t>Total non-core items</w:t>
            </w:r>
          </w:p>
        </w:tc>
        <w:tc>
          <w:tcPr>
            <w:tcW w:w="1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152.4</w:t>
            </w:r>
          </w:p>
        </w:tc>
        <w:tc>
          <w:tcPr>
            <w:tcW w:w="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107.8</w:t>
            </w:r>
          </w:p>
        </w:tc>
        <w:tc>
          <w:tcPr>
            <w:tcW w:w="0" w:type="dxa"/>
            <w:vAlign w:val="bottom"/>
          </w:tcPr>
          <w:p>
            <w:pPr>
              <w:spacing w:after="0"/>
              <w:rPr>
                <w:sz w:val="1"/>
                <w:szCs w:val="1"/>
                <w:color w:val="auto"/>
              </w:rPr>
            </w:pPr>
          </w:p>
        </w:tc>
      </w:tr>
      <w:tr>
        <w:trPr>
          <w:trHeight w:val="257"/>
        </w:trPr>
        <w:tc>
          <w:tcPr>
            <w:tcW w:w="20" w:type="dxa"/>
            <w:vAlign w:val="bottom"/>
            <w:shd w:val="clear" w:color="auto" w:fill="DBDBDB"/>
          </w:tcPr>
          <w:p>
            <w:pPr>
              <w:spacing w:after="0"/>
              <w:rPr>
                <w:sz w:val="22"/>
                <w:szCs w:val="22"/>
                <w:color w:val="auto"/>
              </w:rPr>
            </w:pPr>
          </w:p>
        </w:tc>
        <w:tc>
          <w:tcPr>
            <w:tcW w:w="1160" w:type="dxa"/>
            <w:vAlign w:val="bottom"/>
            <w:shd w:val="clear" w:color="auto" w:fill="DBDBDB"/>
          </w:tcPr>
          <w:p>
            <w:pPr>
              <w:spacing w:after="0"/>
              <w:rPr>
                <w:sz w:val="22"/>
                <w:szCs w:val="22"/>
                <w:color w:val="auto"/>
              </w:rPr>
            </w:pPr>
          </w:p>
        </w:tc>
        <w:tc>
          <w:tcPr>
            <w:tcW w:w="1520" w:type="dxa"/>
            <w:vAlign w:val="bottom"/>
            <w:gridSpan w:val="2"/>
            <w:shd w:val="clear" w:color="auto" w:fill="DBDBDB"/>
          </w:tcPr>
          <w:p>
            <w:pPr>
              <w:spacing w:after="0"/>
              <w:rPr>
                <w:sz w:val="22"/>
                <w:szCs w:val="22"/>
                <w:color w:val="auto"/>
              </w:rPr>
            </w:pPr>
          </w:p>
        </w:tc>
        <w:tc>
          <w:tcPr>
            <w:tcW w:w="5660" w:type="dxa"/>
            <w:vAlign w:val="bottom"/>
            <w:shd w:val="clear" w:color="auto" w:fill="DBDBDB"/>
          </w:tcPr>
          <w:p>
            <w:pPr>
              <w:spacing w:after="0"/>
              <w:rPr>
                <w:sz w:val="22"/>
                <w:szCs w:val="22"/>
                <w:color w:val="auto"/>
              </w:rPr>
            </w:pPr>
          </w:p>
        </w:tc>
        <w:tc>
          <w:tcPr>
            <w:tcW w:w="180" w:type="dxa"/>
            <w:vAlign w:val="bottom"/>
            <w:tcBorders>
              <w:bottom w:val="single" w:sz="8" w:color="auto"/>
            </w:tcBorders>
            <w:shd w:val="clear" w:color="auto" w:fill="DBDBDB"/>
          </w:tcPr>
          <w:p>
            <w:pPr>
              <w:spacing w:after="0"/>
              <w:rPr>
                <w:sz w:val="22"/>
                <w:szCs w:val="22"/>
                <w:color w:val="auto"/>
              </w:rPr>
            </w:pPr>
          </w:p>
        </w:tc>
        <w:tc>
          <w:tcPr>
            <w:tcW w:w="1200" w:type="dxa"/>
            <w:vAlign w:val="bottom"/>
            <w:tcBorders>
              <w:bottom w:val="single" w:sz="8" w:color="auto"/>
            </w:tcBorders>
            <w:shd w:val="clear" w:color="auto" w:fill="DBDBDB"/>
          </w:tcPr>
          <w:p>
            <w:pPr>
              <w:spacing w:after="0"/>
              <w:rPr>
                <w:sz w:val="22"/>
                <w:szCs w:val="22"/>
                <w:color w:val="auto"/>
              </w:rPr>
            </w:pPr>
          </w:p>
        </w:tc>
        <w:tc>
          <w:tcPr>
            <w:tcW w:w="20" w:type="dxa"/>
            <w:vAlign w:val="bottom"/>
            <w:tcBorders>
              <w:bottom w:val="single" w:sz="8" w:color="auto"/>
            </w:tcBorders>
            <w:shd w:val="clear" w:color="auto" w:fill="DBDBDB"/>
          </w:tcPr>
          <w:p>
            <w:pPr>
              <w:spacing w:after="0"/>
              <w:rPr>
                <w:sz w:val="22"/>
                <w:szCs w:val="22"/>
                <w:color w:val="auto"/>
              </w:rPr>
            </w:pPr>
          </w:p>
        </w:tc>
        <w:tc>
          <w:tcPr>
            <w:tcW w:w="80" w:type="dxa"/>
            <w:vAlign w:val="bottom"/>
            <w:shd w:val="clear" w:color="auto" w:fill="DBDBDB"/>
          </w:tcPr>
          <w:p>
            <w:pPr>
              <w:spacing w:after="0"/>
              <w:rPr>
                <w:sz w:val="22"/>
                <w:szCs w:val="22"/>
                <w:color w:val="auto"/>
              </w:rPr>
            </w:pPr>
          </w:p>
        </w:tc>
        <w:tc>
          <w:tcPr>
            <w:tcW w:w="20" w:type="dxa"/>
            <w:vAlign w:val="bottom"/>
            <w:tcBorders>
              <w:bottom w:val="single" w:sz="8" w:color="auto"/>
            </w:tcBorders>
            <w:shd w:val="clear" w:color="auto" w:fill="DBDBDB"/>
          </w:tcPr>
          <w:p>
            <w:pPr>
              <w:spacing w:after="0"/>
              <w:rPr>
                <w:sz w:val="22"/>
                <w:szCs w:val="22"/>
                <w:color w:val="auto"/>
              </w:rPr>
            </w:pPr>
          </w:p>
        </w:tc>
        <w:tc>
          <w:tcPr>
            <w:tcW w:w="300" w:type="dxa"/>
            <w:vAlign w:val="bottom"/>
            <w:tcBorders>
              <w:bottom w:val="single" w:sz="8" w:color="auto"/>
            </w:tcBorders>
            <w:shd w:val="clear" w:color="auto" w:fill="DBDBDB"/>
          </w:tcPr>
          <w:p>
            <w:pPr>
              <w:spacing w:after="0"/>
              <w:rPr>
                <w:sz w:val="22"/>
                <w:szCs w:val="22"/>
                <w:color w:val="auto"/>
              </w:rPr>
            </w:pPr>
          </w:p>
        </w:tc>
        <w:tc>
          <w:tcPr>
            <w:tcW w:w="1080" w:type="dxa"/>
            <w:vAlign w:val="bottom"/>
            <w:tcBorders>
              <w:bottom w:val="single" w:sz="8" w:color="auto"/>
            </w:tcBorders>
            <w:shd w:val="clear" w:color="auto" w:fill="DBDBDB"/>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gridSpan w:val="4"/>
          </w:tcPr>
          <w:p>
            <w:pPr>
              <w:spacing w:after="0"/>
              <w:rPr>
                <w:sz w:val="20"/>
                <w:szCs w:val="20"/>
                <w:color w:val="auto"/>
              </w:rPr>
            </w:pPr>
            <w:r>
              <w:rPr>
                <w:rFonts w:ascii="Arial" w:cs="Arial" w:eastAsia="Arial" w:hAnsi="Arial"/>
                <w:sz w:val="18"/>
                <w:szCs w:val="18"/>
                <w:color w:val="auto"/>
              </w:rPr>
              <w:t>Adjusted EBITDA</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982.0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1,135.2</w:t>
            </w:r>
          </w:p>
        </w:tc>
        <w:tc>
          <w:tcPr>
            <w:tcW w:w="0" w:type="dxa"/>
            <w:vAlign w:val="bottom"/>
          </w:tcPr>
          <w:p>
            <w:pPr>
              <w:spacing w:after="0"/>
              <w:rPr>
                <w:sz w:val="1"/>
                <w:szCs w:val="1"/>
                <w:color w:val="auto"/>
              </w:rPr>
            </w:pPr>
          </w:p>
        </w:tc>
      </w:tr>
      <w:tr>
        <w:trPr>
          <w:trHeight w:val="750"/>
        </w:trPr>
        <w:tc>
          <w:tcPr>
            <w:tcW w:w="20" w:type="dxa"/>
            <w:vAlign w:val="bottom"/>
          </w:tcPr>
          <w:p>
            <w:pPr>
              <w:spacing w:after="0"/>
              <w:rPr>
                <w:sz w:val="24"/>
                <w:szCs w:val="24"/>
                <w:color w:val="auto"/>
              </w:rPr>
            </w:pPr>
          </w:p>
        </w:tc>
        <w:tc>
          <w:tcPr>
            <w:tcW w:w="8340" w:type="dxa"/>
            <w:vAlign w:val="bottom"/>
            <w:gridSpan w:val="4"/>
            <w:vMerge w:val="restart"/>
          </w:tcPr>
          <w:p>
            <w:pPr>
              <w:spacing w:after="0"/>
              <w:rPr>
                <w:sz w:val="20"/>
                <w:szCs w:val="20"/>
                <w:color w:val="auto"/>
              </w:rPr>
            </w:pPr>
            <w:r>
              <w:rPr>
                <w:rFonts w:ascii="Arial" w:cs="Arial" w:eastAsia="Arial" w:hAnsi="Arial"/>
                <w:sz w:val="18"/>
                <w:szCs w:val="18"/>
                <w:color w:val="auto"/>
              </w:rPr>
              <w:t>Reconciliation of Adjusted Operating Margin:</w:t>
            </w:r>
          </w:p>
        </w:tc>
        <w:tc>
          <w:tcPr>
            <w:tcW w:w="180" w:type="dxa"/>
            <w:vAlign w:val="bottom"/>
          </w:tcPr>
          <w:p>
            <w:pPr>
              <w:spacing w:after="0"/>
              <w:rPr>
                <w:sz w:val="24"/>
                <w:szCs w:val="24"/>
                <w:color w:val="auto"/>
              </w:rPr>
            </w:pPr>
          </w:p>
        </w:tc>
        <w:tc>
          <w:tcPr>
            <w:tcW w:w="2700" w:type="dxa"/>
            <w:vAlign w:val="bottom"/>
            <w:gridSpan w:val="6"/>
          </w:tcPr>
          <w:p>
            <w:pPr>
              <w:jc w:val="center"/>
              <w:ind w:right="90"/>
              <w:spacing w:after="0"/>
              <w:rPr>
                <w:sz w:val="20"/>
                <w:szCs w:val="20"/>
                <w:color w:val="auto"/>
              </w:rPr>
            </w:pPr>
            <w:r>
              <w:rPr>
                <w:rFonts w:ascii="Arial" w:cs="Arial" w:eastAsia="Arial" w:hAnsi="Arial"/>
                <w:sz w:val="18"/>
                <w:szCs w:val="18"/>
                <w:color w:val="auto"/>
                <w:w w:val="99"/>
              </w:rPr>
              <w:t>For the Twelve Months Ended</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40" w:type="dxa"/>
            <w:vAlign w:val="bottom"/>
            <w:gridSpan w:val="4"/>
            <w:vMerge w:val="continue"/>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700" w:type="dxa"/>
            <w:vAlign w:val="bottom"/>
            <w:tcBorders>
              <w:bottom w:val="single" w:sz="8" w:color="auto"/>
            </w:tcBorders>
            <w:gridSpan w:val="6"/>
          </w:tcPr>
          <w:p>
            <w:pPr>
              <w:jc w:val="center"/>
              <w:ind w:right="90"/>
              <w:spacing w:after="0"/>
              <w:rPr>
                <w:sz w:val="20"/>
                <w:szCs w:val="20"/>
                <w:color w:val="auto"/>
              </w:rPr>
            </w:pPr>
            <w:r>
              <w:rPr>
                <w:rFonts w:ascii="Arial" w:cs="Arial" w:eastAsia="Arial" w:hAnsi="Arial"/>
                <w:sz w:val="18"/>
                <w:szCs w:val="18"/>
                <w:color w:val="auto"/>
                <w:w w:val="99"/>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6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color w:val="auto"/>
              </w:rPr>
              <w:t>2024</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00" w:type="dxa"/>
            <w:vAlign w:val="bottom"/>
            <w:gridSpan w:val="6"/>
          </w:tcPr>
          <w:p>
            <w:pPr>
              <w:jc w:val="center"/>
              <w:ind w:right="90"/>
              <w:spacing w:after="0"/>
              <w:rPr>
                <w:sz w:val="20"/>
                <w:szCs w:val="20"/>
                <w:color w:val="auto"/>
              </w:rPr>
            </w:pPr>
            <w:r>
              <w:rPr>
                <w:rFonts w:ascii="Arial" w:cs="Arial" w:eastAsia="Arial" w:hAnsi="Arial"/>
                <w:sz w:val="16"/>
                <w:szCs w:val="16"/>
                <w:color w:val="auto"/>
              </w:rPr>
              <w:t>(Dollars in millions)</w:t>
            </w:r>
          </w:p>
        </w:tc>
        <w:tc>
          <w:tcPr>
            <w:tcW w:w="0" w:type="dxa"/>
            <w:vAlign w:val="bottom"/>
          </w:tcPr>
          <w:p>
            <w:pPr>
              <w:spacing w:after="0"/>
              <w:rPr>
                <w:sz w:val="1"/>
                <w:szCs w:val="1"/>
                <w:color w:val="auto"/>
              </w:rPr>
            </w:pPr>
          </w:p>
        </w:tc>
      </w:tr>
      <w:tr>
        <w:trPr>
          <w:trHeight w:val="210"/>
        </w:trPr>
        <w:tc>
          <w:tcPr>
            <w:tcW w:w="20" w:type="dxa"/>
            <w:vAlign w:val="bottom"/>
            <w:shd w:val="clear" w:color="auto" w:fill="DBDBDB"/>
          </w:tcPr>
          <w:p>
            <w:pPr>
              <w:spacing w:after="0"/>
              <w:rPr>
                <w:sz w:val="18"/>
                <w:szCs w:val="18"/>
                <w:color w:val="auto"/>
              </w:rPr>
            </w:pPr>
          </w:p>
        </w:tc>
        <w:tc>
          <w:tcPr>
            <w:tcW w:w="8340" w:type="dxa"/>
            <w:vAlign w:val="bottom"/>
            <w:gridSpan w:val="4"/>
            <w:shd w:val="clear" w:color="auto" w:fill="DBDBDB"/>
          </w:tcPr>
          <w:p>
            <w:pPr>
              <w:spacing w:after="0" w:line="189" w:lineRule="exact"/>
              <w:rPr>
                <w:sz w:val="20"/>
                <w:szCs w:val="20"/>
                <w:color w:val="auto"/>
              </w:rPr>
            </w:pPr>
            <w:r>
              <w:rPr>
                <w:rFonts w:ascii="Arial" w:cs="Arial" w:eastAsia="Arial" w:hAnsi="Arial"/>
                <w:sz w:val="18"/>
                <w:szCs w:val="18"/>
                <w:color w:val="auto"/>
              </w:rPr>
              <w:t>Adjusted income from operations:</w:t>
            </w:r>
          </w:p>
        </w:tc>
        <w:tc>
          <w:tcPr>
            <w:tcW w:w="18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c>
          <w:tcPr>
            <w:tcW w:w="2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10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DBDBDB"/>
            </w:tcBorders>
          </w:tcPr>
          <w:p>
            <w:pPr>
              <w:spacing w:after="0"/>
              <w:rPr>
                <w:sz w:val="19"/>
                <w:szCs w:val="19"/>
                <w:color w:val="auto"/>
              </w:rPr>
            </w:pPr>
          </w:p>
        </w:tc>
        <w:tc>
          <w:tcPr>
            <w:tcW w:w="2680" w:type="dxa"/>
            <w:vAlign w:val="bottom"/>
            <w:tcBorders>
              <w:top w:val="single" w:sz="8" w:color="auto"/>
            </w:tcBorders>
            <w:gridSpan w:val="3"/>
          </w:tcPr>
          <w:p>
            <w:pPr>
              <w:ind w:left="340"/>
              <w:spacing w:after="0"/>
              <w:rPr>
                <w:sz w:val="20"/>
                <w:szCs w:val="20"/>
                <w:color w:val="auto"/>
              </w:rPr>
            </w:pPr>
            <w:r>
              <w:rPr>
                <w:rFonts w:ascii="Arial" w:cs="Arial" w:eastAsia="Arial" w:hAnsi="Arial"/>
                <w:sz w:val="18"/>
                <w:szCs w:val="18"/>
                <w:color w:val="auto"/>
              </w:rPr>
              <w:t>Income from operations</w:t>
            </w:r>
          </w:p>
        </w:tc>
        <w:tc>
          <w:tcPr>
            <w:tcW w:w="5660" w:type="dxa"/>
            <w:vAlign w:val="bottom"/>
            <w:tcBorders>
              <w:top w:val="single" w:sz="8" w:color="DBDBDB"/>
            </w:tcBorders>
          </w:tcPr>
          <w:p>
            <w:pPr>
              <w:spacing w:after="0"/>
              <w:rPr>
                <w:sz w:val="19"/>
                <w:szCs w:val="19"/>
                <w:color w:val="auto"/>
              </w:rPr>
            </w:pPr>
          </w:p>
        </w:tc>
        <w:tc>
          <w:tcPr>
            <w:tcW w:w="180" w:type="dxa"/>
            <w:vAlign w:val="bottom"/>
            <w:tcBorders>
              <w:top w:val="single" w:sz="8" w:color="DBDBDB"/>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DBDBDB"/>
            </w:tcBorders>
          </w:tcPr>
          <w:p>
            <w:pPr>
              <w:jc w:val="right"/>
              <w:spacing w:after="0"/>
              <w:rPr>
                <w:sz w:val="20"/>
                <w:szCs w:val="20"/>
                <w:color w:val="auto"/>
              </w:rPr>
            </w:pPr>
            <w:r>
              <w:rPr>
                <w:rFonts w:ascii="Arial" w:cs="Arial" w:eastAsia="Arial" w:hAnsi="Arial"/>
                <w:sz w:val="18"/>
                <w:szCs w:val="18"/>
                <w:color w:val="auto"/>
              </w:rPr>
              <w:t>835.6</w:t>
            </w:r>
          </w:p>
        </w:tc>
        <w:tc>
          <w:tcPr>
            <w:tcW w:w="20" w:type="dxa"/>
            <w:vAlign w:val="bottom"/>
            <w:tcBorders>
              <w:top w:val="single" w:sz="8" w:color="DBDBDB"/>
            </w:tcBorders>
          </w:tcPr>
          <w:p>
            <w:pPr>
              <w:spacing w:after="0"/>
              <w:rPr>
                <w:sz w:val="19"/>
                <w:szCs w:val="19"/>
                <w:color w:val="auto"/>
              </w:rPr>
            </w:pPr>
          </w:p>
        </w:tc>
        <w:tc>
          <w:tcPr>
            <w:tcW w:w="80" w:type="dxa"/>
            <w:vAlign w:val="bottom"/>
            <w:tcBorders>
              <w:top w:val="single" w:sz="8" w:color="DBDBDB"/>
            </w:tcBorders>
          </w:tcPr>
          <w:p>
            <w:pPr>
              <w:spacing w:after="0"/>
              <w:rPr>
                <w:sz w:val="19"/>
                <w:szCs w:val="19"/>
                <w:color w:val="auto"/>
              </w:rPr>
            </w:pPr>
          </w:p>
        </w:tc>
        <w:tc>
          <w:tcPr>
            <w:tcW w:w="320" w:type="dxa"/>
            <w:vAlign w:val="bottom"/>
            <w:tcBorders>
              <w:top w:val="single" w:sz="8" w:color="DBDBDB"/>
            </w:tcBorders>
            <w:gridSpan w:val="2"/>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DBDBDB"/>
            </w:tcBorders>
          </w:tcPr>
          <w:p>
            <w:pPr>
              <w:jc w:val="right"/>
              <w:spacing w:after="0"/>
              <w:rPr>
                <w:sz w:val="20"/>
                <w:szCs w:val="20"/>
                <w:color w:val="auto"/>
              </w:rPr>
            </w:pPr>
            <w:r>
              <w:rPr>
                <w:rFonts w:ascii="Arial" w:cs="Arial" w:eastAsia="Arial" w:hAnsi="Arial"/>
                <w:sz w:val="18"/>
                <w:szCs w:val="18"/>
                <w:color w:val="auto"/>
              </w:rPr>
              <w:t>953.5</w:t>
            </w:r>
          </w:p>
        </w:tc>
        <w:tc>
          <w:tcPr>
            <w:tcW w:w="0" w:type="dxa"/>
            <w:vAlign w:val="bottom"/>
          </w:tcPr>
          <w:p>
            <w:pPr>
              <w:spacing w:after="0"/>
              <w:rPr>
                <w:sz w:val="1"/>
                <w:szCs w:val="1"/>
                <w:color w:val="auto"/>
              </w:rPr>
            </w:pPr>
          </w:p>
        </w:tc>
      </w:tr>
      <w:tr>
        <w:trPr>
          <w:trHeight w:val="230"/>
        </w:trPr>
        <w:tc>
          <w:tcPr>
            <w:tcW w:w="20" w:type="dxa"/>
            <w:vAlign w:val="bottom"/>
            <w:shd w:val="clear" w:color="auto" w:fill="DBDBDB"/>
          </w:tcPr>
          <w:p>
            <w:pPr>
              <w:spacing w:after="0"/>
              <w:rPr>
                <w:sz w:val="19"/>
                <w:szCs w:val="19"/>
                <w:color w:val="auto"/>
              </w:rPr>
            </w:pPr>
          </w:p>
        </w:tc>
        <w:tc>
          <w:tcPr>
            <w:tcW w:w="8340" w:type="dxa"/>
            <w:vAlign w:val="bottom"/>
            <w:gridSpan w:val="4"/>
            <w:shd w:val="clear" w:color="auto" w:fill="DBDBDB"/>
          </w:tcPr>
          <w:p>
            <w:pPr>
              <w:ind w:left="440"/>
              <w:spacing w:after="0"/>
              <w:rPr>
                <w:sz w:val="20"/>
                <w:szCs w:val="20"/>
                <w:color w:val="auto"/>
              </w:rPr>
            </w:pPr>
            <w:r>
              <w:rPr>
                <w:rFonts w:ascii="Arial" w:cs="Arial" w:eastAsia="Arial" w:hAnsi="Arial"/>
                <w:sz w:val="18"/>
                <w:szCs w:val="18"/>
                <w:color w:val="auto"/>
              </w:rPr>
              <w:t>Gain on sale of real estate</w:t>
            </w:r>
          </w:p>
        </w:tc>
        <w:tc>
          <w:tcPr>
            <w:tcW w:w="180" w:type="dxa"/>
            <w:vAlign w:val="bottom"/>
            <w:shd w:val="clear" w:color="auto" w:fill="DBDBDB"/>
          </w:tcPr>
          <w:p>
            <w:pPr>
              <w:spacing w:after="0"/>
              <w:rPr>
                <w:sz w:val="19"/>
                <w:szCs w:val="19"/>
                <w:color w:val="auto"/>
              </w:rPr>
            </w:pPr>
          </w:p>
        </w:tc>
        <w:tc>
          <w:tcPr>
            <w:tcW w:w="1300" w:type="dxa"/>
            <w:vAlign w:val="bottom"/>
            <w:gridSpan w:val="3"/>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40" w:type="dxa"/>
            <w:vAlign w:val="bottom"/>
            <w:gridSpan w:val="4"/>
          </w:tcPr>
          <w:p>
            <w:pPr>
              <w:ind w:left="440"/>
              <w:spacing w:after="0"/>
              <w:rPr>
                <w:sz w:val="20"/>
                <w:szCs w:val="20"/>
                <w:color w:val="auto"/>
              </w:rPr>
            </w:pPr>
            <w:r>
              <w:rPr>
                <w:rFonts w:ascii="Arial" w:cs="Arial" w:eastAsia="Arial" w:hAnsi="Arial"/>
                <w:sz w:val="18"/>
                <w:szCs w:val="18"/>
                <w:color w:val="auto"/>
              </w:rPr>
              <w:t>Proceeds from franchise termination</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DBDBDB"/>
          </w:tcPr>
          <w:p>
            <w:pPr>
              <w:spacing w:after="0"/>
              <w:rPr>
                <w:sz w:val="19"/>
                <w:szCs w:val="19"/>
                <w:color w:val="auto"/>
              </w:rPr>
            </w:pPr>
          </w:p>
        </w:tc>
        <w:tc>
          <w:tcPr>
            <w:tcW w:w="8340" w:type="dxa"/>
            <w:vAlign w:val="bottom"/>
            <w:gridSpan w:val="4"/>
            <w:shd w:val="clear" w:color="auto" w:fill="DBDBDB"/>
          </w:tcPr>
          <w:p>
            <w:pPr>
              <w:ind w:left="440"/>
              <w:spacing w:after="0"/>
              <w:rPr>
                <w:sz w:val="20"/>
                <w:szCs w:val="20"/>
                <w:color w:val="auto"/>
              </w:rPr>
            </w:pPr>
            <w:r>
              <w:rPr>
                <w:rFonts w:ascii="Arial" w:cs="Arial" w:eastAsia="Arial" w:hAnsi="Arial"/>
                <w:sz w:val="18"/>
                <w:szCs w:val="18"/>
                <w:color w:val="auto"/>
              </w:rPr>
              <w:t>Legal settlements</w:t>
            </w:r>
          </w:p>
        </w:tc>
        <w:tc>
          <w:tcPr>
            <w:tcW w:w="180" w:type="dxa"/>
            <w:vAlign w:val="bottom"/>
            <w:shd w:val="clear" w:color="auto" w:fill="DBDBDB"/>
          </w:tcPr>
          <w:p>
            <w:pPr>
              <w:spacing w:after="0"/>
              <w:rPr>
                <w:sz w:val="19"/>
                <w:szCs w:val="19"/>
                <w:color w:val="auto"/>
              </w:rPr>
            </w:pPr>
          </w:p>
        </w:tc>
        <w:tc>
          <w:tcPr>
            <w:tcW w:w="1300" w:type="dxa"/>
            <w:vAlign w:val="bottom"/>
            <w:gridSpan w:val="3"/>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40" w:type="dxa"/>
            <w:vAlign w:val="bottom"/>
            <w:gridSpan w:val="4"/>
          </w:tcPr>
          <w:p>
            <w:pPr>
              <w:ind w:left="440"/>
              <w:spacing w:after="0"/>
              <w:rPr>
                <w:sz w:val="20"/>
                <w:szCs w:val="20"/>
                <w:color w:val="auto"/>
              </w:rPr>
            </w:pPr>
            <w:r>
              <w:rPr>
                <w:rFonts w:ascii="Arial" w:cs="Arial" w:eastAsia="Arial" w:hAnsi="Arial"/>
                <w:sz w:val="18"/>
                <w:szCs w:val="18"/>
                <w:color w:val="auto"/>
              </w:rPr>
              <w:t>Franchise rights and goodwill impairments</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149.5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117.2</w:t>
            </w:r>
          </w:p>
        </w:tc>
        <w:tc>
          <w:tcPr>
            <w:tcW w:w="0" w:type="dxa"/>
            <w:vAlign w:val="bottom"/>
          </w:tcPr>
          <w:p>
            <w:pPr>
              <w:spacing w:after="0"/>
              <w:rPr>
                <w:sz w:val="1"/>
                <w:szCs w:val="1"/>
                <w:color w:val="auto"/>
              </w:rPr>
            </w:pPr>
          </w:p>
        </w:tc>
      </w:tr>
      <w:tr>
        <w:trPr>
          <w:trHeight w:val="230"/>
        </w:trPr>
        <w:tc>
          <w:tcPr>
            <w:tcW w:w="20" w:type="dxa"/>
            <w:vAlign w:val="bottom"/>
            <w:shd w:val="clear" w:color="auto" w:fill="DBDBDB"/>
          </w:tcPr>
          <w:p>
            <w:pPr>
              <w:spacing w:after="0"/>
              <w:rPr>
                <w:sz w:val="19"/>
                <w:szCs w:val="19"/>
                <w:color w:val="auto"/>
              </w:rPr>
            </w:pPr>
          </w:p>
        </w:tc>
        <w:tc>
          <w:tcPr>
            <w:tcW w:w="8340" w:type="dxa"/>
            <w:vAlign w:val="bottom"/>
            <w:gridSpan w:val="4"/>
            <w:shd w:val="clear" w:color="auto" w:fill="DBDBDB"/>
          </w:tcPr>
          <w:p>
            <w:pPr>
              <w:ind w:left="440"/>
              <w:spacing w:after="0"/>
              <w:rPr>
                <w:sz w:val="20"/>
                <w:szCs w:val="20"/>
                <w:color w:val="auto"/>
              </w:rPr>
            </w:pPr>
            <w:r>
              <w:rPr>
                <w:rFonts w:ascii="Arial" w:cs="Arial" w:eastAsia="Arial" w:hAnsi="Arial"/>
                <w:sz w:val="18"/>
                <w:szCs w:val="18"/>
                <w:color w:val="auto"/>
              </w:rPr>
              <w:t>Hail damage</w:t>
            </w:r>
          </w:p>
        </w:tc>
        <w:tc>
          <w:tcPr>
            <w:tcW w:w="1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7.1</w:t>
            </w:r>
          </w:p>
        </w:tc>
        <w:tc>
          <w:tcPr>
            <w:tcW w:w="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40" w:type="dxa"/>
            <w:vAlign w:val="bottom"/>
            <w:gridSpan w:val="4"/>
          </w:tcPr>
          <w:p>
            <w:pPr>
              <w:ind w:left="440"/>
              <w:spacing w:after="0"/>
              <w:rPr>
                <w:sz w:val="20"/>
                <w:szCs w:val="20"/>
                <w:color w:val="auto"/>
              </w:rPr>
            </w:pPr>
            <w:r>
              <w:rPr>
                <w:rFonts w:ascii="Arial" w:cs="Arial" w:eastAsia="Arial" w:hAnsi="Arial"/>
                <w:sz w:val="18"/>
                <w:szCs w:val="18"/>
                <w:color w:val="auto"/>
              </w:rPr>
              <w:t>Hurricane Milton losses</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DBDBDB"/>
          </w:tcPr>
          <w:p>
            <w:pPr>
              <w:spacing w:after="0"/>
              <w:rPr>
                <w:sz w:val="19"/>
                <w:szCs w:val="19"/>
                <w:color w:val="auto"/>
              </w:rPr>
            </w:pPr>
          </w:p>
        </w:tc>
        <w:tc>
          <w:tcPr>
            <w:tcW w:w="8340" w:type="dxa"/>
            <w:vAlign w:val="bottom"/>
            <w:gridSpan w:val="4"/>
            <w:shd w:val="clear" w:color="auto" w:fill="DBDBDB"/>
          </w:tcPr>
          <w:p>
            <w:pPr>
              <w:ind w:left="440"/>
              <w:spacing w:after="0"/>
              <w:rPr>
                <w:sz w:val="20"/>
                <w:szCs w:val="20"/>
                <w:color w:val="auto"/>
              </w:rPr>
            </w:pPr>
            <w:r>
              <w:rPr>
                <w:rFonts w:ascii="Arial" w:cs="Arial" w:eastAsia="Arial" w:hAnsi="Arial"/>
                <w:sz w:val="18"/>
                <w:szCs w:val="18"/>
                <w:color w:val="auto"/>
              </w:rPr>
              <w:t>Professional fees associated with acquisition</w:t>
            </w:r>
          </w:p>
        </w:tc>
        <w:tc>
          <w:tcPr>
            <w:tcW w:w="180" w:type="dxa"/>
            <w:vAlign w:val="bottom"/>
            <w:shd w:val="clear" w:color="auto" w:fill="DBDBDB"/>
          </w:tcPr>
          <w:p>
            <w:pPr>
              <w:spacing w:after="0"/>
              <w:rPr>
                <w:sz w:val="19"/>
                <w:szCs w:val="19"/>
                <w:color w:val="auto"/>
              </w:rPr>
            </w:pPr>
          </w:p>
        </w:tc>
        <w:tc>
          <w:tcPr>
            <w:tcW w:w="1300" w:type="dxa"/>
            <w:vAlign w:val="bottom"/>
            <w:gridSpan w:val="3"/>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40" w:type="dxa"/>
            <w:vAlign w:val="bottom"/>
            <w:gridSpan w:val="4"/>
          </w:tcPr>
          <w:p>
            <w:pPr>
              <w:ind w:left="440"/>
              <w:spacing w:after="0"/>
              <w:rPr>
                <w:sz w:val="20"/>
                <w:szCs w:val="20"/>
                <w:color w:val="auto"/>
              </w:rPr>
            </w:pPr>
            <w:r>
              <w:rPr>
                <w:rFonts w:ascii="Arial" w:cs="Arial" w:eastAsia="Arial" w:hAnsi="Arial"/>
                <w:sz w:val="18"/>
                <w:szCs w:val="18"/>
                <w:color w:val="auto"/>
              </w:rPr>
              <w:t>Fixed assets write-off</w:t>
            </w:r>
          </w:p>
        </w:tc>
        <w:tc>
          <w:tcPr>
            <w:tcW w:w="180" w:type="dxa"/>
            <w:vAlign w:val="bottom"/>
          </w:tcPr>
          <w:p>
            <w:pPr>
              <w:spacing w:after="0"/>
              <w:rPr>
                <w:sz w:val="19"/>
                <w:szCs w:val="19"/>
                <w:color w:val="auto"/>
              </w:rPr>
            </w:pPr>
          </w:p>
        </w:tc>
        <w:tc>
          <w:tcPr>
            <w:tcW w:w="13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8"/>
        </w:trPr>
        <w:tc>
          <w:tcPr>
            <w:tcW w:w="20" w:type="dxa"/>
            <w:vAlign w:val="bottom"/>
            <w:tcBorders>
              <w:top w:val="single" w:sz="8" w:color="DBDBDB"/>
              <w:bottom w:val="single" w:sz="8" w:color="DBDBDB"/>
            </w:tcBorders>
            <w:shd w:val="clear" w:color="auto" w:fill="DBDBDB"/>
          </w:tcPr>
          <w:p>
            <w:pPr>
              <w:spacing w:after="0"/>
              <w:rPr>
                <w:sz w:val="21"/>
                <w:szCs w:val="21"/>
                <w:color w:val="auto"/>
              </w:rPr>
            </w:pPr>
          </w:p>
        </w:tc>
        <w:tc>
          <w:tcPr>
            <w:tcW w:w="8340" w:type="dxa"/>
            <w:vAlign w:val="bottom"/>
            <w:tcBorders>
              <w:top w:val="single" w:sz="8" w:color="DBDBDB"/>
              <w:bottom w:val="single" w:sz="8" w:color="DBDBDB"/>
            </w:tcBorders>
            <w:gridSpan w:val="4"/>
            <w:shd w:val="clear" w:color="auto" w:fill="DBDBDB"/>
          </w:tcPr>
          <w:p>
            <w:pPr>
              <w:ind w:left="340"/>
              <w:spacing w:after="0"/>
              <w:rPr>
                <w:sz w:val="20"/>
                <w:szCs w:val="20"/>
                <w:color w:val="auto"/>
              </w:rPr>
            </w:pPr>
            <w:r>
              <w:rPr>
                <w:rFonts w:ascii="Arial" w:cs="Arial" w:eastAsia="Arial" w:hAnsi="Arial"/>
                <w:sz w:val="18"/>
                <w:szCs w:val="18"/>
                <w:color w:val="auto"/>
              </w:rPr>
              <w:t>Adjusted income from operations</w:t>
            </w:r>
          </w:p>
        </w:tc>
        <w:tc>
          <w:tcPr>
            <w:tcW w:w="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996.7</w:t>
            </w:r>
          </w:p>
        </w:tc>
        <w:tc>
          <w:tcPr>
            <w:tcW w:w="20" w:type="dxa"/>
            <w:vAlign w:val="bottom"/>
            <w:tcBorders>
              <w:top w:val="single" w:sz="8" w:color="DBDBDB"/>
              <w:bottom w:val="single" w:sz="8" w:color="DBDBDB"/>
            </w:tcBorders>
            <w:shd w:val="clear" w:color="auto" w:fill="DBDBDB"/>
          </w:tcPr>
          <w:p>
            <w:pPr>
              <w:spacing w:after="0"/>
              <w:rPr>
                <w:sz w:val="21"/>
                <w:szCs w:val="21"/>
                <w:color w:val="auto"/>
              </w:rPr>
            </w:pPr>
          </w:p>
        </w:tc>
        <w:tc>
          <w:tcPr>
            <w:tcW w:w="80" w:type="dxa"/>
            <w:vAlign w:val="bottom"/>
            <w:tcBorders>
              <w:top w:val="single" w:sz="8" w:color="DBDBDB"/>
              <w:bottom w:val="single" w:sz="8" w:color="DBDBDB"/>
            </w:tcBorders>
            <w:shd w:val="clear" w:color="auto" w:fill="DBDBDB"/>
          </w:tcPr>
          <w:p>
            <w:pPr>
              <w:spacing w:after="0"/>
              <w:rPr>
                <w:sz w:val="21"/>
                <w:szCs w:val="21"/>
                <w:color w:val="auto"/>
              </w:rPr>
            </w:pPr>
          </w:p>
        </w:tc>
        <w:tc>
          <w:tcPr>
            <w:tcW w:w="20" w:type="dxa"/>
            <w:vAlign w:val="bottom"/>
            <w:tcBorders>
              <w:top w:val="single" w:sz="8" w:color="DBDBDB"/>
              <w:bottom w:val="single" w:sz="8" w:color="DBDBDB"/>
            </w:tcBorders>
            <w:shd w:val="clear" w:color="auto" w:fill="DBDBDB"/>
          </w:tcPr>
          <w:p>
            <w:pPr>
              <w:spacing w:after="0"/>
              <w:rPr>
                <w:sz w:val="21"/>
                <w:szCs w:val="21"/>
                <w:color w:val="auto"/>
              </w:rPr>
            </w:pPr>
          </w:p>
        </w:tc>
        <w:tc>
          <w:tcPr>
            <w:tcW w:w="300" w:type="dxa"/>
            <w:vAlign w:val="bottom"/>
            <w:tcBorders>
              <w:top w:val="single" w:sz="8" w:color="auto"/>
              <w:bottom w:val="single" w:sz="8" w:color="auto"/>
            </w:tcBorders>
            <w:shd w:val="clear" w:color="auto" w:fill="DBDBDB"/>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1,074.9</w:t>
            </w:r>
          </w:p>
        </w:tc>
        <w:tc>
          <w:tcPr>
            <w:tcW w:w="0" w:type="dxa"/>
            <w:vAlign w:val="bottom"/>
          </w:tcPr>
          <w:p>
            <w:pPr>
              <w:spacing w:after="0"/>
              <w:rPr>
                <w:sz w:val="1"/>
                <w:szCs w:val="1"/>
                <w:color w:val="auto"/>
              </w:rPr>
            </w:pPr>
          </w:p>
        </w:tc>
      </w:tr>
      <w:tr>
        <w:trPr>
          <w:trHeight w:val="20"/>
        </w:trPr>
        <w:tc>
          <w:tcPr>
            <w:tcW w:w="20" w:type="dxa"/>
            <w:vAlign w:val="bottom"/>
            <w:tcBorders>
              <w:top w:val="single" w:sz="8" w:color="DBDBDB"/>
            </w:tcBorders>
          </w:tcPr>
          <w:p>
            <w:pPr>
              <w:spacing w:after="0" w:line="20" w:lineRule="exact"/>
              <w:rPr>
                <w:sz w:val="1"/>
                <w:szCs w:val="1"/>
                <w:color w:val="auto"/>
              </w:rPr>
            </w:pPr>
          </w:p>
        </w:tc>
        <w:tc>
          <w:tcPr>
            <w:tcW w:w="1160" w:type="dxa"/>
            <w:vAlign w:val="bottom"/>
            <w:tcBorders>
              <w:top w:val="single" w:sz="8" w:color="DBDBDB"/>
            </w:tcBorders>
          </w:tcPr>
          <w:p>
            <w:pPr>
              <w:spacing w:after="0" w:line="20" w:lineRule="exact"/>
              <w:rPr>
                <w:sz w:val="1"/>
                <w:szCs w:val="1"/>
                <w:color w:val="auto"/>
              </w:rPr>
            </w:pPr>
          </w:p>
        </w:tc>
        <w:tc>
          <w:tcPr>
            <w:tcW w:w="1520" w:type="dxa"/>
            <w:vAlign w:val="bottom"/>
            <w:tcBorders>
              <w:top w:val="single" w:sz="8" w:color="DBDBDB"/>
            </w:tcBorders>
            <w:gridSpan w:val="2"/>
          </w:tcPr>
          <w:p>
            <w:pPr>
              <w:spacing w:after="0" w:line="20" w:lineRule="exact"/>
              <w:rPr>
                <w:sz w:val="1"/>
                <w:szCs w:val="1"/>
                <w:color w:val="auto"/>
              </w:rPr>
            </w:pPr>
          </w:p>
        </w:tc>
        <w:tc>
          <w:tcPr>
            <w:tcW w:w="566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20" w:type="dxa"/>
            <w:vAlign w:val="bottom"/>
            <w:tcBorders>
              <w:top w:val="single" w:sz="8" w:color="DBDBDB"/>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108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5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DBDBDB"/>
          </w:tcPr>
          <w:p>
            <w:pPr>
              <w:spacing w:after="0"/>
              <w:rPr>
                <w:sz w:val="18"/>
                <w:szCs w:val="18"/>
                <w:color w:val="auto"/>
              </w:rPr>
            </w:pPr>
          </w:p>
        </w:tc>
        <w:tc>
          <w:tcPr>
            <w:tcW w:w="8340" w:type="dxa"/>
            <w:vAlign w:val="bottom"/>
            <w:gridSpan w:val="4"/>
            <w:shd w:val="clear" w:color="auto" w:fill="DBDBDB"/>
          </w:tcPr>
          <w:p>
            <w:pPr>
              <w:spacing w:after="0" w:line="189" w:lineRule="exact"/>
              <w:rPr>
                <w:sz w:val="20"/>
                <w:szCs w:val="20"/>
                <w:color w:val="auto"/>
              </w:rPr>
            </w:pPr>
            <w:r>
              <w:rPr>
                <w:rFonts w:ascii="Arial" w:cs="Arial" w:eastAsia="Arial" w:hAnsi="Arial"/>
                <w:sz w:val="18"/>
                <w:szCs w:val="18"/>
                <w:color w:val="auto"/>
              </w:rPr>
              <w:t>Total Revenue</w:t>
            </w:r>
          </w:p>
        </w:tc>
        <w:tc>
          <w:tcPr>
            <w:tcW w:w="180" w:type="dxa"/>
            <w:vAlign w:val="bottom"/>
            <w:shd w:val="clear" w:color="auto" w:fill="DBDBDB"/>
          </w:tcPr>
          <w:p>
            <w:pPr>
              <w:jc w:val="right"/>
              <w:spacing w:after="0" w:line="189"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DBDBDB"/>
          </w:tcPr>
          <w:p>
            <w:pPr>
              <w:jc w:val="right"/>
              <w:spacing w:after="0" w:line="189" w:lineRule="exact"/>
              <w:rPr>
                <w:sz w:val="20"/>
                <w:szCs w:val="20"/>
                <w:color w:val="auto"/>
              </w:rPr>
            </w:pPr>
            <w:r>
              <w:rPr>
                <w:rFonts w:ascii="Arial" w:cs="Arial" w:eastAsia="Arial" w:hAnsi="Arial"/>
                <w:sz w:val="18"/>
                <w:szCs w:val="18"/>
                <w:color w:val="auto"/>
              </w:rPr>
              <w:t>17,188.6</w:t>
            </w:r>
          </w:p>
        </w:tc>
        <w:tc>
          <w:tcPr>
            <w:tcW w:w="2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320" w:type="dxa"/>
            <w:vAlign w:val="bottom"/>
            <w:gridSpan w:val="2"/>
            <w:shd w:val="clear" w:color="auto" w:fill="DBDBDB"/>
          </w:tcPr>
          <w:p>
            <w:pPr>
              <w:jc w:val="right"/>
              <w:ind w:right="110"/>
              <w:spacing w:after="0" w:line="189" w:lineRule="exact"/>
              <w:rPr>
                <w:sz w:val="20"/>
                <w:szCs w:val="20"/>
                <w:color w:val="auto"/>
              </w:rPr>
            </w:pPr>
            <w:r>
              <w:rPr>
                <w:rFonts w:ascii="Arial" w:cs="Arial" w:eastAsia="Arial" w:hAnsi="Arial"/>
                <w:sz w:val="18"/>
                <w:szCs w:val="18"/>
                <w:color w:val="auto"/>
                <w:w w:val="99"/>
              </w:rPr>
              <w:t>$</w:t>
            </w:r>
          </w:p>
        </w:tc>
        <w:tc>
          <w:tcPr>
            <w:tcW w:w="1080" w:type="dxa"/>
            <w:vAlign w:val="bottom"/>
            <w:shd w:val="clear" w:color="auto" w:fill="DBDBDB"/>
          </w:tcPr>
          <w:p>
            <w:pPr>
              <w:jc w:val="right"/>
              <w:spacing w:after="0" w:line="189" w:lineRule="exact"/>
              <w:rPr>
                <w:sz w:val="20"/>
                <w:szCs w:val="20"/>
                <w:color w:val="auto"/>
              </w:rPr>
            </w:pPr>
            <w:r>
              <w:rPr>
                <w:rFonts w:ascii="Arial" w:cs="Arial" w:eastAsia="Arial" w:hAnsi="Arial"/>
                <w:sz w:val="18"/>
                <w:szCs w:val="18"/>
                <w:color w:val="auto"/>
              </w:rPr>
              <w:t>14,802.7</w:t>
            </w:r>
          </w:p>
        </w:tc>
        <w:tc>
          <w:tcPr>
            <w:tcW w:w="0" w:type="dxa"/>
            <w:vAlign w:val="bottom"/>
          </w:tcPr>
          <w:p>
            <w:pPr>
              <w:spacing w:after="0"/>
              <w:rPr>
                <w:sz w:val="1"/>
                <w:szCs w:val="1"/>
                <w:color w:val="auto"/>
              </w:rPr>
            </w:pPr>
          </w:p>
        </w:tc>
      </w:tr>
      <w:tr>
        <w:trPr>
          <w:trHeight w:val="257"/>
        </w:trPr>
        <w:tc>
          <w:tcPr>
            <w:tcW w:w="20" w:type="dxa"/>
            <w:vAlign w:val="bottom"/>
            <w:tcBorders>
              <w:top w:val="single" w:sz="8" w:color="DBDBDB"/>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1520" w:type="dxa"/>
            <w:vAlign w:val="bottom"/>
            <w:tcBorders>
              <w:top w:val="single" w:sz="8" w:color="DBDBDB"/>
            </w:tcBorders>
            <w:gridSpan w:val="2"/>
          </w:tcPr>
          <w:p>
            <w:pPr>
              <w:spacing w:after="0"/>
              <w:rPr>
                <w:sz w:val="22"/>
                <w:szCs w:val="22"/>
                <w:color w:val="auto"/>
              </w:rPr>
            </w:pPr>
          </w:p>
        </w:tc>
        <w:tc>
          <w:tcPr>
            <w:tcW w:w="5660" w:type="dxa"/>
            <w:vAlign w:val="bottom"/>
            <w:tcBorders>
              <w:top w:val="single" w:sz="8" w:color="DBDBDB"/>
            </w:tcBorders>
          </w:tcPr>
          <w:p>
            <w:pPr>
              <w:spacing w:after="0"/>
              <w:rPr>
                <w:sz w:val="22"/>
                <w:szCs w:val="22"/>
                <w:color w:val="auto"/>
              </w:rPr>
            </w:pPr>
          </w:p>
        </w:tc>
        <w:tc>
          <w:tcPr>
            <w:tcW w:w="180" w:type="dxa"/>
            <w:vAlign w:val="bottom"/>
            <w:tcBorders>
              <w:top w:val="single" w:sz="8" w:color="DBDBDB"/>
            </w:tcBorders>
          </w:tcPr>
          <w:p>
            <w:pPr>
              <w:spacing w:after="0"/>
              <w:rPr>
                <w:sz w:val="22"/>
                <w:szCs w:val="22"/>
                <w:color w:val="auto"/>
              </w:rPr>
            </w:pPr>
          </w:p>
        </w:tc>
        <w:tc>
          <w:tcPr>
            <w:tcW w:w="1200" w:type="dxa"/>
            <w:vAlign w:val="bottom"/>
            <w:tcBorders>
              <w:top w:val="single" w:sz="8" w:color="DBDBDB"/>
            </w:tcBorders>
          </w:tcPr>
          <w:p>
            <w:pPr>
              <w:spacing w:after="0"/>
              <w:rPr>
                <w:sz w:val="22"/>
                <w:szCs w:val="22"/>
                <w:color w:val="auto"/>
              </w:rPr>
            </w:pPr>
          </w:p>
        </w:tc>
        <w:tc>
          <w:tcPr>
            <w:tcW w:w="20" w:type="dxa"/>
            <w:vAlign w:val="bottom"/>
            <w:tcBorders>
              <w:top w:val="single" w:sz="8" w:color="DBDBDB"/>
            </w:tcBorders>
          </w:tcPr>
          <w:p>
            <w:pPr>
              <w:spacing w:after="0"/>
              <w:rPr>
                <w:sz w:val="22"/>
                <w:szCs w:val="22"/>
                <w:color w:val="auto"/>
              </w:rPr>
            </w:pPr>
          </w:p>
        </w:tc>
        <w:tc>
          <w:tcPr>
            <w:tcW w:w="80" w:type="dxa"/>
            <w:vAlign w:val="bottom"/>
            <w:tcBorders>
              <w:top w:val="single" w:sz="8" w:color="DBDBDB"/>
            </w:tcBorders>
          </w:tcPr>
          <w:p>
            <w:pPr>
              <w:spacing w:after="0"/>
              <w:rPr>
                <w:sz w:val="22"/>
                <w:szCs w:val="22"/>
                <w:color w:val="auto"/>
              </w:rPr>
            </w:pPr>
          </w:p>
        </w:tc>
        <w:tc>
          <w:tcPr>
            <w:tcW w:w="20" w:type="dxa"/>
            <w:vAlign w:val="bottom"/>
            <w:tcBorders>
              <w:top w:val="single" w:sz="8" w:color="DBDBDB"/>
            </w:tcBorders>
          </w:tcPr>
          <w:p>
            <w:pPr>
              <w:spacing w:after="0"/>
              <w:rPr>
                <w:sz w:val="22"/>
                <w:szCs w:val="22"/>
                <w:color w:val="auto"/>
              </w:rPr>
            </w:pPr>
          </w:p>
        </w:tc>
        <w:tc>
          <w:tcPr>
            <w:tcW w:w="300" w:type="dxa"/>
            <w:vAlign w:val="bottom"/>
            <w:tcBorders>
              <w:top w:val="single" w:sz="8" w:color="DBDBDB"/>
            </w:tcBorders>
          </w:tcPr>
          <w:p>
            <w:pPr>
              <w:spacing w:after="0"/>
              <w:rPr>
                <w:sz w:val="22"/>
                <w:szCs w:val="22"/>
                <w:color w:val="auto"/>
              </w:rPr>
            </w:pPr>
          </w:p>
        </w:tc>
        <w:tc>
          <w:tcPr>
            <w:tcW w:w="1080" w:type="dxa"/>
            <w:vAlign w:val="bottom"/>
            <w:tcBorders>
              <w:top w:val="single" w:sz="8" w:color="DBDBDB"/>
            </w:tcBorders>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DBDBDB"/>
          </w:tcPr>
          <w:p>
            <w:pPr>
              <w:spacing w:after="0"/>
              <w:rPr>
                <w:sz w:val="19"/>
                <w:szCs w:val="19"/>
                <w:color w:val="auto"/>
              </w:rPr>
            </w:pPr>
          </w:p>
        </w:tc>
        <w:tc>
          <w:tcPr>
            <w:tcW w:w="8340" w:type="dxa"/>
            <w:vAlign w:val="bottom"/>
            <w:gridSpan w:val="4"/>
            <w:shd w:val="clear" w:color="auto" w:fill="DBDBDB"/>
          </w:tcPr>
          <w:p>
            <w:pPr>
              <w:ind w:left="340"/>
              <w:spacing w:after="0"/>
              <w:rPr>
                <w:sz w:val="20"/>
                <w:szCs w:val="20"/>
                <w:color w:val="auto"/>
              </w:rPr>
            </w:pPr>
            <w:r>
              <w:rPr>
                <w:rFonts w:ascii="Arial" w:cs="Arial" w:eastAsia="Arial" w:hAnsi="Arial"/>
                <w:sz w:val="18"/>
                <w:szCs w:val="18"/>
                <w:color w:val="auto"/>
              </w:rPr>
              <w:t>Operating Margin</w:t>
            </w:r>
          </w:p>
        </w:tc>
        <w:tc>
          <w:tcPr>
            <w:tcW w:w="180" w:type="dxa"/>
            <w:vAlign w:val="bottom"/>
            <w:shd w:val="clear" w:color="auto" w:fill="DBDBDB"/>
          </w:tcPr>
          <w:p>
            <w:pPr>
              <w:spacing w:after="0"/>
              <w:rPr>
                <w:sz w:val="19"/>
                <w:szCs w:val="19"/>
                <w:color w:val="auto"/>
              </w:rPr>
            </w:pPr>
          </w:p>
        </w:tc>
        <w:tc>
          <w:tcPr>
            <w:tcW w:w="1200" w:type="dxa"/>
            <w:vAlign w:val="bottom"/>
            <w:shd w:val="clear" w:color="auto" w:fill="DBDBDB"/>
          </w:tcPr>
          <w:p>
            <w:pPr>
              <w:jc w:val="right"/>
              <w:ind w:right="31"/>
              <w:spacing w:after="0"/>
              <w:rPr>
                <w:sz w:val="20"/>
                <w:szCs w:val="20"/>
                <w:color w:val="auto"/>
              </w:rPr>
            </w:pPr>
            <w:r>
              <w:rPr>
                <w:rFonts w:ascii="Arial" w:cs="Arial" w:eastAsia="Arial" w:hAnsi="Arial"/>
                <w:sz w:val="18"/>
                <w:szCs w:val="18"/>
                <w:color w:val="auto"/>
              </w:rPr>
              <w:t>4.9%</w:t>
            </w:r>
          </w:p>
        </w:tc>
        <w:tc>
          <w:tcPr>
            <w:tcW w:w="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8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340" w:type="dxa"/>
            <w:vAlign w:val="bottom"/>
            <w:gridSpan w:val="4"/>
          </w:tcPr>
          <w:p>
            <w:pPr>
              <w:ind w:left="340"/>
              <w:spacing w:after="0"/>
              <w:rPr>
                <w:sz w:val="20"/>
                <w:szCs w:val="20"/>
                <w:color w:val="auto"/>
              </w:rPr>
            </w:pPr>
            <w:r>
              <w:rPr>
                <w:rFonts w:ascii="Arial" w:cs="Arial" w:eastAsia="Arial" w:hAnsi="Arial"/>
                <w:sz w:val="18"/>
                <w:szCs w:val="18"/>
                <w:color w:val="auto"/>
              </w:rPr>
              <w:t>Adjusted Operating Margin</w:t>
            </w:r>
          </w:p>
        </w:tc>
        <w:tc>
          <w:tcPr>
            <w:tcW w:w="180" w:type="dxa"/>
            <w:vAlign w:val="bottom"/>
          </w:tcPr>
          <w:p>
            <w:pPr>
              <w:spacing w:after="0"/>
              <w:rPr>
                <w:sz w:val="20"/>
                <w:szCs w:val="20"/>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724"/>
        </w:trPr>
        <w:tc>
          <w:tcPr>
            <w:tcW w:w="8360" w:type="dxa"/>
            <w:vAlign w:val="bottom"/>
            <w:gridSpan w:val="5"/>
          </w:tcPr>
          <w:p>
            <w:pPr>
              <w:jc w:val="right"/>
              <w:ind w:right="2640"/>
              <w:spacing w:after="0"/>
              <w:rPr>
                <w:sz w:val="20"/>
                <w:szCs w:val="20"/>
                <w:color w:val="auto"/>
              </w:rPr>
            </w:pPr>
            <w:r>
              <w:rPr>
                <w:rFonts w:ascii="Arial" w:cs="Arial" w:eastAsia="Arial" w:hAnsi="Arial"/>
                <w:sz w:val="18"/>
                <w:szCs w:val="18"/>
                <w:color w:val="auto"/>
              </w:rPr>
              <w:t>62</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bottom w:val="single" w:sz="8" w:color="9A9A9A"/>
            </w:tcBorders>
          </w:tcPr>
          <w:p>
            <w:pPr>
              <w:spacing w:after="0"/>
              <w:rPr>
                <w:sz w:val="19"/>
                <w:szCs w:val="19"/>
                <w:color w:val="auto"/>
              </w:rPr>
            </w:pPr>
          </w:p>
        </w:tc>
        <w:tc>
          <w:tcPr>
            <w:tcW w:w="1160" w:type="dxa"/>
            <w:vAlign w:val="bottom"/>
            <w:tcBorders>
              <w:bottom w:val="single" w:sz="8" w:color="9A9A9A"/>
            </w:tcBorders>
          </w:tcPr>
          <w:p>
            <w:pPr>
              <w:spacing w:after="0"/>
              <w:rPr>
                <w:sz w:val="19"/>
                <w:szCs w:val="19"/>
                <w:color w:val="auto"/>
              </w:rPr>
            </w:pPr>
          </w:p>
        </w:tc>
        <w:tc>
          <w:tcPr>
            <w:tcW w:w="220" w:type="dxa"/>
            <w:vAlign w:val="bottom"/>
            <w:tcBorders>
              <w:bottom w:val="single" w:sz="8" w:color="9A9A9A"/>
            </w:tcBorders>
          </w:tcPr>
          <w:p>
            <w:pPr>
              <w:spacing w:after="0"/>
              <w:rPr>
                <w:sz w:val="19"/>
                <w:szCs w:val="19"/>
                <w:color w:val="auto"/>
              </w:rPr>
            </w:pPr>
          </w:p>
        </w:tc>
        <w:tc>
          <w:tcPr>
            <w:tcW w:w="1300" w:type="dxa"/>
            <w:vAlign w:val="bottom"/>
            <w:tcBorders>
              <w:bottom w:val="single" w:sz="8" w:color="9A9A9A"/>
            </w:tcBorders>
          </w:tcPr>
          <w:p>
            <w:pPr>
              <w:spacing w:after="0"/>
              <w:rPr>
                <w:sz w:val="19"/>
                <w:szCs w:val="19"/>
                <w:color w:val="auto"/>
              </w:rPr>
            </w:pPr>
          </w:p>
        </w:tc>
        <w:tc>
          <w:tcPr>
            <w:tcW w:w="5660" w:type="dxa"/>
            <w:vAlign w:val="bottom"/>
            <w:tcBorders>
              <w:bottom w:val="single" w:sz="8" w:color="9A9A9A"/>
            </w:tcBorders>
          </w:tcPr>
          <w:p>
            <w:pPr>
              <w:spacing w:after="0"/>
              <w:rPr>
                <w:sz w:val="19"/>
                <w:szCs w:val="19"/>
                <w:color w:val="auto"/>
              </w:rPr>
            </w:pPr>
          </w:p>
        </w:tc>
        <w:tc>
          <w:tcPr>
            <w:tcW w:w="180" w:type="dxa"/>
            <w:vAlign w:val="bottom"/>
            <w:tcBorders>
              <w:bottom w:val="single" w:sz="8" w:color="9A9A9A"/>
            </w:tcBorders>
          </w:tcPr>
          <w:p>
            <w:pPr>
              <w:spacing w:after="0"/>
              <w:rPr>
                <w:sz w:val="19"/>
                <w:szCs w:val="19"/>
                <w:color w:val="auto"/>
              </w:rPr>
            </w:pPr>
          </w:p>
        </w:tc>
        <w:tc>
          <w:tcPr>
            <w:tcW w:w="120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300" w:type="dxa"/>
            <w:vAlign w:val="bottom"/>
            <w:tcBorders>
              <w:bottom w:val="single" w:sz="8" w:color="9A9A9A"/>
            </w:tcBorders>
          </w:tcPr>
          <w:p>
            <w:pPr>
              <w:spacing w:after="0"/>
              <w:rPr>
                <w:sz w:val="19"/>
                <w:szCs w:val="19"/>
                <w:color w:val="auto"/>
              </w:rPr>
            </w:pPr>
          </w:p>
        </w:tc>
        <w:tc>
          <w:tcPr>
            <w:tcW w:w="108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07"/>
        </w:trPr>
        <w:tc>
          <w:tcPr>
            <w:tcW w:w="8180" w:type="dxa"/>
            <w:vAlign w:val="bottom"/>
            <w:gridSpan w:val="4"/>
          </w:tcPr>
          <w:p>
            <w:pPr>
              <w:spacing w:after="0"/>
              <w:rPr>
                <w:sz w:val="20"/>
                <w:szCs w:val="20"/>
                <w:color w:val="auto"/>
              </w:rPr>
            </w:pPr>
            <w:r>
              <w:rPr>
                <w:rFonts w:ascii="Arial" w:cs="Arial" w:eastAsia="Arial" w:hAnsi="Arial"/>
                <w:sz w:val="18"/>
                <w:szCs w:val="18"/>
                <w:color w:val="0000FF"/>
              </w:rPr>
              <w:t>Table of Contents</w:t>
            </w: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3060" w:type="dxa"/>
            <w:vAlign w:val="bottom"/>
            <w:gridSpan w:val="5"/>
            <w:vMerge w:val="restart"/>
          </w:tcPr>
          <w:p>
            <w:pPr>
              <w:jc w:val="center"/>
              <w:spacing w:after="0"/>
              <w:rPr>
                <w:sz w:val="20"/>
                <w:szCs w:val="20"/>
                <w:color w:val="auto"/>
              </w:rPr>
            </w:pPr>
            <w:r>
              <w:rPr>
                <w:rFonts w:ascii="Arial" w:cs="Arial" w:eastAsia="Arial" w:hAnsi="Arial"/>
                <w:sz w:val="18"/>
                <w:szCs w:val="18"/>
                <w:color w:val="auto"/>
                <w:w w:val="99"/>
              </w:rPr>
              <w:t>For the Twelve Months Ended</w:t>
            </w:r>
          </w:p>
        </w:tc>
        <w:tc>
          <w:tcPr>
            <w:tcW w:w="0" w:type="dxa"/>
            <w:vAlign w:val="bottom"/>
          </w:tcPr>
          <w:p>
            <w:pPr>
              <w:spacing w:after="0" w:line="20" w:lineRule="exact"/>
              <w:rPr>
                <w:sz w:val="1"/>
                <w:szCs w:val="1"/>
                <w:color w:val="auto"/>
              </w:rPr>
            </w:pPr>
          </w:p>
        </w:tc>
      </w:tr>
      <w:tr>
        <w:trPr>
          <w:trHeight w:val="763"/>
        </w:trPr>
        <w:tc>
          <w:tcPr>
            <w:tcW w:w="20" w:type="dxa"/>
            <w:vAlign w:val="bottom"/>
          </w:tcPr>
          <w:p>
            <w:pPr>
              <w:spacing w:after="0"/>
              <w:rPr>
                <w:sz w:val="24"/>
                <w:szCs w:val="24"/>
                <w:color w:val="auto"/>
              </w:rPr>
            </w:pPr>
          </w:p>
        </w:tc>
        <w:tc>
          <w:tcPr>
            <w:tcW w:w="8160" w:type="dxa"/>
            <w:vAlign w:val="bottom"/>
            <w:gridSpan w:val="3"/>
            <w:vMerge w:val="restart"/>
          </w:tcPr>
          <w:p>
            <w:pPr>
              <w:spacing w:after="0"/>
              <w:rPr>
                <w:sz w:val="20"/>
                <w:szCs w:val="20"/>
                <w:color w:val="auto"/>
              </w:rPr>
            </w:pPr>
            <w:r>
              <w:rPr>
                <w:rFonts w:ascii="Arial" w:cs="Arial" w:eastAsia="Arial" w:hAnsi="Arial"/>
                <w:sz w:val="18"/>
                <w:szCs w:val="18"/>
                <w:color w:val="auto"/>
              </w:rPr>
              <w:t>Reconciliation of adjusted diluted EPS:</w:t>
            </w:r>
          </w:p>
        </w:tc>
        <w:tc>
          <w:tcPr>
            <w:tcW w:w="3060" w:type="dxa"/>
            <w:vAlign w:val="bottom"/>
            <w:gridSpan w:val="5"/>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60" w:type="dxa"/>
            <w:vAlign w:val="bottom"/>
            <w:gridSpan w:val="3"/>
            <w:vMerge w:val="continue"/>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rPr>
              <w:t>December 31,</w:t>
            </w:r>
          </w:p>
        </w:tc>
        <w:tc>
          <w:tcPr>
            <w:tcW w:w="9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2024</w:t>
            </w:r>
          </w:p>
        </w:tc>
        <w:tc>
          <w:tcPr>
            <w:tcW w:w="5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99"/>
              </w:rPr>
              <w:t>2023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3060" w:type="dxa"/>
            <w:vAlign w:val="bottom"/>
            <w:gridSpan w:val="5"/>
          </w:tcPr>
          <w:p>
            <w:pPr>
              <w:jc w:val="center"/>
              <w:spacing w:after="0"/>
              <w:rPr>
                <w:sz w:val="20"/>
                <w:szCs w:val="20"/>
                <w:color w:val="auto"/>
              </w:rPr>
            </w:pPr>
            <w:r>
              <w:rPr>
                <w:rFonts w:ascii="Arial" w:cs="Arial" w:eastAsia="Arial" w:hAnsi="Arial"/>
                <w:sz w:val="16"/>
                <w:szCs w:val="16"/>
                <w:color w:val="auto"/>
              </w:rPr>
              <w:t>(In millions, except per share data)</w:t>
            </w:r>
          </w:p>
        </w:tc>
        <w:tc>
          <w:tcPr>
            <w:tcW w:w="0" w:type="dxa"/>
            <w:vAlign w:val="bottom"/>
          </w:tcPr>
          <w:p>
            <w:pPr>
              <w:spacing w:after="0"/>
              <w:rPr>
                <w:sz w:val="1"/>
                <w:szCs w:val="1"/>
                <w:color w:val="auto"/>
              </w:rPr>
            </w:pPr>
          </w:p>
        </w:tc>
      </w:tr>
      <w:tr>
        <w:trPr>
          <w:trHeight w:val="230"/>
        </w:trPr>
        <w:tc>
          <w:tcPr>
            <w:tcW w:w="20" w:type="dxa"/>
            <w:vAlign w:val="bottom"/>
            <w:shd w:val="clear" w:color="auto" w:fill="DBDBDB"/>
          </w:tcPr>
          <w:p>
            <w:pPr>
              <w:spacing w:after="0"/>
              <w:rPr>
                <w:sz w:val="20"/>
                <w:szCs w:val="20"/>
                <w:color w:val="auto"/>
              </w:rPr>
            </w:pPr>
          </w:p>
        </w:tc>
        <w:tc>
          <w:tcPr>
            <w:tcW w:w="8160" w:type="dxa"/>
            <w:vAlign w:val="bottom"/>
            <w:gridSpan w:val="3"/>
            <w:shd w:val="clear" w:color="auto" w:fill="DBDBDB"/>
          </w:tcPr>
          <w:p>
            <w:pPr>
              <w:ind w:left="340"/>
              <w:spacing w:after="0"/>
              <w:rPr>
                <w:sz w:val="20"/>
                <w:szCs w:val="20"/>
                <w:color w:val="auto"/>
              </w:rPr>
            </w:pPr>
            <w:r>
              <w:rPr>
                <w:rFonts w:ascii="Arial" w:cs="Arial" w:eastAsia="Arial" w:hAnsi="Arial"/>
                <w:sz w:val="18"/>
                <w:szCs w:val="18"/>
                <w:color w:val="auto"/>
              </w:rPr>
              <w:t>Net Income</w:t>
            </w:r>
          </w:p>
        </w:tc>
        <w:tc>
          <w:tcPr>
            <w:tcW w:w="940" w:type="dxa"/>
            <w:vAlign w:val="bottom"/>
            <w:shd w:val="clear" w:color="auto" w:fill="DBDBDB"/>
          </w:tcPr>
          <w:p>
            <w:pPr>
              <w:jc w:val="right"/>
              <w:ind w:right="731"/>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7"/>
              </w:rPr>
              <w:t>430.3</w:t>
            </w:r>
          </w:p>
        </w:tc>
        <w:tc>
          <w:tcPr>
            <w:tcW w:w="120" w:type="dxa"/>
            <w:vAlign w:val="bottom"/>
            <w:shd w:val="clear" w:color="auto" w:fill="DBDBDB"/>
          </w:tcPr>
          <w:p>
            <w:pPr>
              <w:spacing w:after="0"/>
              <w:rPr>
                <w:sz w:val="20"/>
                <w:szCs w:val="20"/>
                <w:color w:val="auto"/>
              </w:rPr>
            </w:pPr>
          </w:p>
        </w:tc>
        <w:tc>
          <w:tcPr>
            <w:tcW w:w="520" w:type="dxa"/>
            <w:vAlign w:val="bottom"/>
            <w:shd w:val="clear" w:color="auto" w:fill="DBDBDB"/>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602.5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420" w:type="dxa"/>
            <w:vAlign w:val="bottom"/>
            <w:gridSpan w:val="2"/>
          </w:tcPr>
          <w:p>
            <w:pPr>
              <w:spacing w:after="0"/>
              <w:rPr>
                <w:sz w:val="22"/>
                <w:szCs w:val="22"/>
                <w:color w:val="auto"/>
              </w:rPr>
            </w:pPr>
          </w:p>
        </w:tc>
        <w:tc>
          <w:tcPr>
            <w:tcW w:w="47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shd w:val="clear" w:color="auto" w:fill="DBDBDB"/>
          </w:tcPr>
          <w:p>
            <w:pPr>
              <w:spacing w:after="0"/>
              <w:rPr>
                <w:sz w:val="22"/>
                <w:szCs w:val="22"/>
                <w:color w:val="auto"/>
              </w:rPr>
            </w:pPr>
          </w:p>
        </w:tc>
        <w:tc>
          <w:tcPr>
            <w:tcW w:w="3420" w:type="dxa"/>
            <w:vAlign w:val="bottom"/>
            <w:gridSpan w:val="2"/>
            <w:shd w:val="clear" w:color="auto" w:fill="DBDBDB"/>
          </w:tcPr>
          <w:p>
            <w:pPr>
              <w:spacing w:after="0"/>
              <w:rPr>
                <w:sz w:val="22"/>
                <w:szCs w:val="22"/>
                <w:color w:val="auto"/>
              </w:rPr>
            </w:pPr>
          </w:p>
        </w:tc>
        <w:tc>
          <w:tcPr>
            <w:tcW w:w="4740" w:type="dxa"/>
            <w:vAlign w:val="bottom"/>
            <w:shd w:val="clear" w:color="auto" w:fill="DBDBDB"/>
          </w:tcPr>
          <w:p>
            <w:pPr>
              <w:spacing w:after="0"/>
              <w:rPr>
                <w:sz w:val="22"/>
                <w:szCs w:val="22"/>
                <w:color w:val="auto"/>
              </w:rPr>
            </w:pPr>
          </w:p>
        </w:tc>
        <w:tc>
          <w:tcPr>
            <w:tcW w:w="940" w:type="dxa"/>
            <w:vAlign w:val="bottom"/>
            <w:shd w:val="clear" w:color="auto" w:fill="DBDBDB"/>
          </w:tcPr>
          <w:p>
            <w:pPr>
              <w:spacing w:after="0"/>
              <w:rPr>
                <w:sz w:val="22"/>
                <w:szCs w:val="22"/>
                <w:color w:val="auto"/>
              </w:rPr>
            </w:pPr>
          </w:p>
        </w:tc>
        <w:tc>
          <w:tcPr>
            <w:tcW w:w="520" w:type="dxa"/>
            <w:vAlign w:val="bottom"/>
            <w:shd w:val="clear" w:color="auto" w:fill="DBDBDB"/>
          </w:tcPr>
          <w:p>
            <w:pPr>
              <w:spacing w:after="0"/>
              <w:rPr>
                <w:sz w:val="22"/>
                <w:szCs w:val="22"/>
                <w:color w:val="auto"/>
              </w:rPr>
            </w:pPr>
          </w:p>
        </w:tc>
        <w:tc>
          <w:tcPr>
            <w:tcW w:w="120" w:type="dxa"/>
            <w:vAlign w:val="bottom"/>
            <w:shd w:val="clear" w:color="auto" w:fill="DBDBDB"/>
          </w:tcPr>
          <w:p>
            <w:pPr>
              <w:spacing w:after="0"/>
              <w:rPr>
                <w:sz w:val="22"/>
                <w:szCs w:val="22"/>
                <w:color w:val="auto"/>
              </w:rPr>
            </w:pPr>
          </w:p>
        </w:tc>
        <w:tc>
          <w:tcPr>
            <w:tcW w:w="520" w:type="dxa"/>
            <w:vAlign w:val="bottom"/>
            <w:shd w:val="clear" w:color="auto" w:fill="DBDBDB"/>
          </w:tcPr>
          <w:p>
            <w:pPr>
              <w:spacing w:after="0"/>
              <w:rPr>
                <w:sz w:val="22"/>
                <w:szCs w:val="22"/>
                <w:color w:val="auto"/>
              </w:rPr>
            </w:pPr>
          </w:p>
        </w:tc>
        <w:tc>
          <w:tcPr>
            <w:tcW w:w="960" w:type="dxa"/>
            <w:vAlign w:val="bottom"/>
            <w:shd w:val="clear" w:color="auto" w:fill="DBDBDB"/>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160" w:type="dxa"/>
            <w:vAlign w:val="bottom"/>
            <w:gridSpan w:val="3"/>
          </w:tcPr>
          <w:p>
            <w:pPr>
              <w:ind w:left="340"/>
              <w:spacing w:after="0"/>
              <w:rPr>
                <w:sz w:val="20"/>
                <w:szCs w:val="20"/>
                <w:color w:val="auto"/>
              </w:rPr>
            </w:pPr>
            <w:r>
              <w:rPr>
                <w:rFonts w:ascii="Arial" w:cs="Arial" w:eastAsia="Arial" w:hAnsi="Arial"/>
                <w:sz w:val="18"/>
                <w:szCs w:val="18"/>
                <w:color w:val="auto"/>
              </w:rPr>
              <w:t>Non-core items - (income) expense:</w:t>
            </w:r>
          </w:p>
        </w:tc>
        <w:tc>
          <w:tcPr>
            <w:tcW w:w="9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DBDBDB"/>
          </w:tcPr>
          <w:p>
            <w:pPr>
              <w:spacing w:after="0"/>
              <w:rPr>
                <w:sz w:val="19"/>
                <w:szCs w:val="19"/>
                <w:color w:val="auto"/>
              </w:rPr>
            </w:pPr>
          </w:p>
        </w:tc>
        <w:tc>
          <w:tcPr>
            <w:tcW w:w="8160" w:type="dxa"/>
            <w:vAlign w:val="bottom"/>
            <w:gridSpan w:val="3"/>
            <w:shd w:val="clear" w:color="auto" w:fill="DBDBDB"/>
          </w:tcPr>
          <w:p>
            <w:pPr>
              <w:ind w:left="440"/>
              <w:spacing w:after="0"/>
              <w:rPr>
                <w:sz w:val="20"/>
                <w:szCs w:val="20"/>
                <w:color w:val="auto"/>
              </w:rPr>
            </w:pPr>
            <w:r>
              <w:rPr>
                <w:rFonts w:ascii="Arial" w:cs="Arial" w:eastAsia="Arial" w:hAnsi="Arial"/>
                <w:sz w:val="18"/>
                <w:szCs w:val="18"/>
                <w:color w:val="auto"/>
              </w:rPr>
              <w:t>Gain on divestitures, net</w:t>
            </w:r>
          </w:p>
        </w:tc>
        <w:tc>
          <w:tcPr>
            <w:tcW w:w="940" w:type="dxa"/>
            <w:vAlign w:val="bottom"/>
            <w:shd w:val="clear" w:color="auto" w:fill="DBDBDB"/>
          </w:tcPr>
          <w:p>
            <w:pPr>
              <w:spacing w:after="0"/>
              <w:rPr>
                <w:sz w:val="19"/>
                <w:szCs w:val="19"/>
                <w:color w:val="auto"/>
              </w:rPr>
            </w:pPr>
          </w:p>
        </w:tc>
        <w:tc>
          <w:tcPr>
            <w:tcW w:w="5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(8.6)</w:t>
            </w:r>
          </w:p>
        </w:tc>
        <w:tc>
          <w:tcPr>
            <w:tcW w:w="12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60" w:type="dxa"/>
            <w:vAlign w:val="bottom"/>
            <w:gridSpan w:val="3"/>
          </w:tcPr>
          <w:p>
            <w:pPr>
              <w:ind w:left="440"/>
              <w:spacing w:after="0"/>
              <w:rPr>
                <w:sz w:val="20"/>
                <w:szCs w:val="20"/>
                <w:color w:val="auto"/>
              </w:rPr>
            </w:pPr>
            <w:r>
              <w:rPr>
                <w:rFonts w:ascii="Arial" w:cs="Arial" w:eastAsia="Arial" w:hAnsi="Arial"/>
                <w:sz w:val="18"/>
                <w:szCs w:val="18"/>
                <w:color w:val="auto"/>
              </w:rPr>
              <w:t>Gain on sale of real estate</w:t>
            </w:r>
          </w:p>
        </w:tc>
        <w:tc>
          <w:tcPr>
            <w:tcW w:w="94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9"/>
        </w:trPr>
        <w:tc>
          <w:tcPr>
            <w:tcW w:w="20" w:type="dxa"/>
            <w:vAlign w:val="bottom"/>
            <w:shd w:val="clear" w:color="auto" w:fill="DBDBDB"/>
          </w:tcPr>
          <w:p>
            <w:pPr>
              <w:spacing w:after="0"/>
              <w:rPr>
                <w:sz w:val="19"/>
                <w:szCs w:val="19"/>
                <w:color w:val="auto"/>
              </w:rPr>
            </w:pPr>
          </w:p>
        </w:tc>
        <w:tc>
          <w:tcPr>
            <w:tcW w:w="8160" w:type="dxa"/>
            <w:vAlign w:val="bottom"/>
            <w:gridSpan w:val="3"/>
            <w:shd w:val="clear" w:color="auto" w:fill="DBDBDB"/>
          </w:tcPr>
          <w:p>
            <w:pPr>
              <w:ind w:left="440"/>
              <w:spacing w:after="0"/>
              <w:rPr>
                <w:sz w:val="20"/>
                <w:szCs w:val="20"/>
                <w:color w:val="auto"/>
              </w:rPr>
            </w:pPr>
            <w:r>
              <w:rPr>
                <w:rFonts w:ascii="Arial" w:cs="Arial" w:eastAsia="Arial" w:hAnsi="Arial"/>
                <w:sz w:val="18"/>
                <w:szCs w:val="18"/>
                <w:color w:val="auto"/>
              </w:rPr>
              <w:t>Proceeds from franchise termination</w:t>
            </w:r>
          </w:p>
        </w:tc>
        <w:tc>
          <w:tcPr>
            <w:tcW w:w="940" w:type="dxa"/>
            <w:vAlign w:val="bottom"/>
            <w:shd w:val="clear" w:color="auto" w:fill="DBDBDB"/>
          </w:tcPr>
          <w:p>
            <w:pPr>
              <w:spacing w:after="0"/>
              <w:rPr>
                <w:sz w:val="19"/>
                <w:szCs w:val="19"/>
                <w:color w:val="auto"/>
              </w:rPr>
            </w:pPr>
          </w:p>
        </w:tc>
        <w:tc>
          <w:tcPr>
            <w:tcW w:w="5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60" w:type="dxa"/>
            <w:vAlign w:val="bottom"/>
            <w:gridSpan w:val="3"/>
          </w:tcPr>
          <w:p>
            <w:pPr>
              <w:ind w:left="440"/>
              <w:spacing w:after="0"/>
              <w:rPr>
                <w:sz w:val="20"/>
                <w:szCs w:val="20"/>
                <w:color w:val="auto"/>
              </w:rPr>
            </w:pPr>
            <w:r>
              <w:rPr>
                <w:rFonts w:ascii="Arial" w:cs="Arial" w:eastAsia="Arial" w:hAnsi="Arial"/>
                <w:sz w:val="18"/>
                <w:szCs w:val="18"/>
                <w:color w:val="auto"/>
              </w:rPr>
              <w:t>Legal settlements</w:t>
            </w:r>
          </w:p>
        </w:tc>
        <w:tc>
          <w:tcPr>
            <w:tcW w:w="94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9"/>
        </w:trPr>
        <w:tc>
          <w:tcPr>
            <w:tcW w:w="20" w:type="dxa"/>
            <w:vAlign w:val="bottom"/>
            <w:shd w:val="clear" w:color="auto" w:fill="DBDBDB"/>
          </w:tcPr>
          <w:p>
            <w:pPr>
              <w:spacing w:after="0"/>
              <w:rPr>
                <w:sz w:val="19"/>
                <w:szCs w:val="19"/>
                <w:color w:val="auto"/>
              </w:rPr>
            </w:pPr>
          </w:p>
        </w:tc>
        <w:tc>
          <w:tcPr>
            <w:tcW w:w="8160" w:type="dxa"/>
            <w:vAlign w:val="bottom"/>
            <w:gridSpan w:val="3"/>
            <w:shd w:val="clear" w:color="auto" w:fill="DBDBDB"/>
          </w:tcPr>
          <w:p>
            <w:pPr>
              <w:ind w:left="440"/>
              <w:spacing w:after="0"/>
              <w:rPr>
                <w:sz w:val="20"/>
                <w:szCs w:val="20"/>
                <w:color w:val="auto"/>
              </w:rPr>
            </w:pPr>
            <w:r>
              <w:rPr>
                <w:rFonts w:ascii="Arial" w:cs="Arial" w:eastAsia="Arial" w:hAnsi="Arial"/>
                <w:sz w:val="18"/>
                <w:szCs w:val="18"/>
                <w:color w:val="auto"/>
              </w:rPr>
              <w:t>Franchise rights and goodwill impairments</w:t>
            </w:r>
          </w:p>
        </w:tc>
        <w:tc>
          <w:tcPr>
            <w:tcW w:w="940" w:type="dxa"/>
            <w:vAlign w:val="bottom"/>
            <w:shd w:val="clear" w:color="auto" w:fill="DBDBDB"/>
          </w:tcPr>
          <w:p>
            <w:pPr>
              <w:spacing w:after="0"/>
              <w:rPr>
                <w:sz w:val="19"/>
                <w:szCs w:val="19"/>
                <w:color w:val="auto"/>
              </w:rPr>
            </w:pPr>
          </w:p>
        </w:tc>
        <w:tc>
          <w:tcPr>
            <w:tcW w:w="52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7"/>
              </w:rPr>
              <w:t>149.5</w:t>
            </w:r>
          </w:p>
        </w:tc>
        <w:tc>
          <w:tcPr>
            <w:tcW w:w="12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117.2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160" w:type="dxa"/>
            <w:vAlign w:val="bottom"/>
            <w:gridSpan w:val="3"/>
          </w:tcPr>
          <w:p>
            <w:pPr>
              <w:ind w:left="440"/>
              <w:spacing w:after="0"/>
              <w:rPr>
                <w:sz w:val="20"/>
                <w:szCs w:val="20"/>
                <w:color w:val="auto"/>
              </w:rPr>
            </w:pPr>
            <w:r>
              <w:rPr>
                <w:rFonts w:ascii="Arial" w:cs="Arial" w:eastAsia="Arial" w:hAnsi="Arial"/>
                <w:sz w:val="18"/>
                <w:szCs w:val="18"/>
                <w:color w:val="auto"/>
              </w:rPr>
              <w:t>Hail damage</w:t>
            </w:r>
          </w:p>
        </w:tc>
        <w:tc>
          <w:tcPr>
            <w:tcW w:w="9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0"/>
        </w:trPr>
        <w:tc>
          <w:tcPr>
            <w:tcW w:w="20" w:type="dxa"/>
            <w:vAlign w:val="bottom"/>
            <w:shd w:val="clear" w:color="auto" w:fill="DBDBDB"/>
          </w:tcPr>
          <w:p>
            <w:pPr>
              <w:spacing w:after="0"/>
              <w:rPr>
                <w:sz w:val="19"/>
                <w:szCs w:val="19"/>
                <w:color w:val="auto"/>
              </w:rPr>
            </w:pPr>
          </w:p>
        </w:tc>
        <w:tc>
          <w:tcPr>
            <w:tcW w:w="8160" w:type="dxa"/>
            <w:vAlign w:val="bottom"/>
            <w:gridSpan w:val="3"/>
            <w:shd w:val="clear" w:color="auto" w:fill="DBDBDB"/>
          </w:tcPr>
          <w:p>
            <w:pPr>
              <w:ind w:left="440"/>
              <w:spacing w:after="0"/>
              <w:rPr>
                <w:sz w:val="20"/>
                <w:szCs w:val="20"/>
                <w:color w:val="auto"/>
              </w:rPr>
            </w:pPr>
            <w:r>
              <w:rPr>
                <w:rFonts w:ascii="Arial" w:cs="Arial" w:eastAsia="Arial" w:hAnsi="Arial"/>
                <w:sz w:val="18"/>
                <w:szCs w:val="18"/>
                <w:color w:val="auto"/>
              </w:rPr>
              <w:t>Hurricane Milton losses</w:t>
            </w:r>
          </w:p>
        </w:tc>
        <w:tc>
          <w:tcPr>
            <w:tcW w:w="940" w:type="dxa"/>
            <w:vAlign w:val="bottom"/>
            <w:shd w:val="clear" w:color="auto" w:fill="DBDBDB"/>
          </w:tcPr>
          <w:p>
            <w:pPr>
              <w:spacing w:after="0"/>
              <w:rPr>
                <w:sz w:val="19"/>
                <w:szCs w:val="19"/>
                <w:color w:val="auto"/>
              </w:rPr>
            </w:pPr>
          </w:p>
        </w:tc>
        <w:tc>
          <w:tcPr>
            <w:tcW w:w="5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6.4</w:t>
            </w:r>
          </w:p>
        </w:tc>
        <w:tc>
          <w:tcPr>
            <w:tcW w:w="12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160" w:type="dxa"/>
            <w:vAlign w:val="bottom"/>
            <w:gridSpan w:val="3"/>
          </w:tcPr>
          <w:p>
            <w:pPr>
              <w:ind w:left="440"/>
              <w:spacing w:after="0"/>
              <w:rPr>
                <w:sz w:val="20"/>
                <w:szCs w:val="20"/>
                <w:color w:val="auto"/>
              </w:rPr>
            </w:pPr>
            <w:r>
              <w:rPr>
                <w:rFonts w:ascii="Arial" w:cs="Arial" w:eastAsia="Arial" w:hAnsi="Arial"/>
                <w:sz w:val="18"/>
                <w:szCs w:val="18"/>
                <w:color w:val="auto"/>
              </w:rPr>
              <w:t>Professional fees associated with acquisition</w:t>
            </w:r>
          </w:p>
        </w:tc>
        <w:tc>
          <w:tcPr>
            <w:tcW w:w="94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9"/>
        </w:trPr>
        <w:tc>
          <w:tcPr>
            <w:tcW w:w="20" w:type="dxa"/>
            <w:vAlign w:val="bottom"/>
            <w:shd w:val="clear" w:color="auto" w:fill="DBDBDB"/>
          </w:tcPr>
          <w:p>
            <w:pPr>
              <w:spacing w:after="0"/>
              <w:rPr>
                <w:sz w:val="19"/>
                <w:szCs w:val="19"/>
                <w:color w:val="auto"/>
              </w:rPr>
            </w:pPr>
          </w:p>
        </w:tc>
        <w:tc>
          <w:tcPr>
            <w:tcW w:w="8160" w:type="dxa"/>
            <w:vAlign w:val="bottom"/>
            <w:gridSpan w:val="3"/>
            <w:shd w:val="clear" w:color="auto" w:fill="DBDBDB"/>
          </w:tcPr>
          <w:p>
            <w:pPr>
              <w:ind w:left="440"/>
              <w:spacing w:after="0"/>
              <w:rPr>
                <w:sz w:val="20"/>
                <w:szCs w:val="20"/>
                <w:color w:val="auto"/>
              </w:rPr>
            </w:pPr>
            <w:r>
              <w:rPr>
                <w:rFonts w:ascii="Arial" w:cs="Arial" w:eastAsia="Arial" w:hAnsi="Arial"/>
                <w:sz w:val="18"/>
                <w:szCs w:val="18"/>
                <w:color w:val="auto"/>
              </w:rPr>
              <w:t>Fixed assets write-off</w:t>
            </w:r>
          </w:p>
        </w:tc>
        <w:tc>
          <w:tcPr>
            <w:tcW w:w="940" w:type="dxa"/>
            <w:vAlign w:val="bottom"/>
            <w:shd w:val="clear" w:color="auto" w:fill="DBDBDB"/>
          </w:tcPr>
          <w:p>
            <w:pPr>
              <w:spacing w:after="0"/>
              <w:rPr>
                <w:sz w:val="19"/>
                <w:szCs w:val="19"/>
                <w:color w:val="auto"/>
              </w:rPr>
            </w:pPr>
          </w:p>
        </w:tc>
        <w:tc>
          <w:tcPr>
            <w:tcW w:w="6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shd w:val="clear" w:color="auto" w:fill="DBDBDB"/>
          </w:tcPr>
          <w:p>
            <w:pPr>
              <w:spacing w:after="0"/>
              <w:rPr>
                <w:sz w:val="19"/>
                <w:szCs w:val="19"/>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20" w:type="dxa"/>
            <w:vAlign w:val="bottom"/>
            <w:tcBorders>
              <w:bottom w:val="single" w:sz="8" w:color="DBDBDB"/>
            </w:tcBorders>
          </w:tcPr>
          <w:p>
            <w:pPr>
              <w:spacing w:after="0"/>
              <w:rPr>
                <w:sz w:val="19"/>
                <w:szCs w:val="19"/>
                <w:color w:val="auto"/>
              </w:rPr>
            </w:pPr>
          </w:p>
        </w:tc>
        <w:tc>
          <w:tcPr>
            <w:tcW w:w="8160" w:type="dxa"/>
            <w:vAlign w:val="bottom"/>
            <w:tcBorders>
              <w:bottom w:val="single" w:sz="8" w:color="DBDBDB"/>
            </w:tcBorders>
            <w:gridSpan w:val="3"/>
          </w:tcPr>
          <w:p>
            <w:pPr>
              <w:ind w:left="440"/>
              <w:spacing w:after="0"/>
              <w:rPr>
                <w:sz w:val="20"/>
                <w:szCs w:val="20"/>
                <w:color w:val="auto"/>
              </w:rPr>
            </w:pPr>
            <w:r>
              <w:rPr>
                <w:rFonts w:ascii="Arial" w:cs="Arial" w:eastAsia="Arial" w:hAnsi="Arial"/>
                <w:sz w:val="18"/>
                <w:szCs w:val="18"/>
                <w:color w:val="auto"/>
              </w:rPr>
              <w:t>Income tax effect on non-core items above</w:t>
            </w:r>
          </w:p>
        </w:tc>
        <w:tc>
          <w:tcPr>
            <w:tcW w:w="9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w:t>
            </w:r>
          </w:p>
        </w:tc>
        <w:tc>
          <w:tcPr>
            <w:tcW w:w="120" w:type="dxa"/>
            <w:vAlign w:val="bottom"/>
            <w:tcBorders>
              <w:bottom w:val="single" w:sz="8" w:color="DBDBDB"/>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23"/>
        </w:trPr>
        <w:tc>
          <w:tcPr>
            <w:tcW w:w="20" w:type="dxa"/>
            <w:vAlign w:val="bottom"/>
            <w:shd w:val="clear" w:color="auto" w:fill="DBDBDB"/>
          </w:tcPr>
          <w:p>
            <w:pPr>
              <w:spacing w:after="0"/>
              <w:rPr>
                <w:sz w:val="19"/>
                <w:szCs w:val="19"/>
                <w:color w:val="auto"/>
              </w:rPr>
            </w:pPr>
          </w:p>
        </w:tc>
        <w:tc>
          <w:tcPr>
            <w:tcW w:w="8160" w:type="dxa"/>
            <w:vAlign w:val="bottom"/>
            <w:gridSpan w:val="3"/>
            <w:shd w:val="clear" w:color="auto" w:fill="DBDBDB"/>
          </w:tcPr>
          <w:p>
            <w:pPr>
              <w:ind w:left="980"/>
              <w:spacing w:after="0"/>
              <w:rPr>
                <w:sz w:val="20"/>
                <w:szCs w:val="20"/>
                <w:color w:val="auto"/>
              </w:rPr>
            </w:pPr>
            <w:r>
              <w:rPr>
                <w:rFonts w:ascii="Arial" w:cs="Arial" w:eastAsia="Arial" w:hAnsi="Arial"/>
                <w:sz w:val="18"/>
                <w:szCs w:val="18"/>
                <w:color w:val="auto"/>
              </w:rPr>
              <w:t>Total non-core items</w:t>
            </w:r>
          </w:p>
        </w:tc>
        <w:tc>
          <w:tcPr>
            <w:tcW w:w="940" w:type="dxa"/>
            <w:vAlign w:val="bottom"/>
            <w:tcBorders>
              <w:bottom w:val="single" w:sz="8" w:color="auto"/>
            </w:tcBorders>
            <w:shd w:val="clear" w:color="auto" w:fill="DBDBDB"/>
          </w:tcPr>
          <w:p>
            <w:pPr>
              <w:jc w:val="right"/>
              <w:ind w:right="731"/>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7"/>
              </w:rPr>
              <w:t>114.8</w:t>
            </w:r>
          </w:p>
        </w:tc>
        <w:tc>
          <w:tcPr>
            <w:tcW w:w="120" w:type="dxa"/>
            <w:vAlign w:val="bottom"/>
            <w:shd w:val="clear" w:color="auto" w:fill="DBDBDB"/>
          </w:tcPr>
          <w:p>
            <w:pPr>
              <w:spacing w:after="0"/>
              <w:rPr>
                <w:sz w:val="19"/>
                <w:szCs w:val="19"/>
                <w:color w:val="auto"/>
              </w:rPr>
            </w:pPr>
          </w:p>
        </w:tc>
        <w:tc>
          <w:tcPr>
            <w:tcW w:w="520" w:type="dxa"/>
            <w:vAlign w:val="bottom"/>
            <w:tcBorders>
              <w:bottom w:val="single" w:sz="8" w:color="auto"/>
            </w:tcBorders>
            <w:shd w:val="clear" w:color="auto" w:fill="DBDBDB"/>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60" w:type="dxa"/>
            <w:vAlign w:val="bottom"/>
            <w:gridSpan w:val="3"/>
          </w:tcPr>
          <w:p>
            <w:pPr>
              <w:ind w:left="440"/>
              <w:spacing w:after="0"/>
              <w:rPr>
                <w:sz w:val="20"/>
                <w:szCs w:val="20"/>
                <w:color w:val="auto"/>
              </w:rPr>
            </w:pPr>
            <w:r>
              <w:rPr>
                <w:rFonts w:ascii="Arial" w:cs="Arial" w:eastAsia="Arial" w:hAnsi="Arial"/>
                <w:sz w:val="18"/>
                <w:szCs w:val="18"/>
                <w:color w:val="auto"/>
              </w:rPr>
              <w:t>Adjusted net income</w:t>
            </w:r>
          </w:p>
        </w:tc>
        <w:tc>
          <w:tcPr>
            <w:tcW w:w="940" w:type="dxa"/>
            <w:vAlign w:val="bottom"/>
            <w:tcBorders>
              <w:bottom w:val="single" w:sz="8" w:color="auto"/>
            </w:tcBorders>
          </w:tcPr>
          <w:p>
            <w:pPr>
              <w:jc w:val="right"/>
              <w:ind w:right="731"/>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545.1</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683.6</w:t>
            </w:r>
          </w:p>
        </w:tc>
        <w:tc>
          <w:tcPr>
            <w:tcW w:w="0" w:type="dxa"/>
            <w:vAlign w:val="bottom"/>
          </w:tcPr>
          <w:p>
            <w:pPr>
              <w:spacing w:after="0"/>
              <w:rPr>
                <w:sz w:val="1"/>
                <w:szCs w:val="1"/>
                <w:color w:val="auto"/>
              </w:rPr>
            </w:pPr>
          </w:p>
        </w:tc>
      </w:tr>
      <w:tr>
        <w:trPr>
          <w:trHeight w:val="20"/>
        </w:trPr>
        <w:tc>
          <w:tcPr>
            <w:tcW w:w="20" w:type="dxa"/>
            <w:vAlign w:val="bottom"/>
            <w:tcBorders>
              <w:bottom w:val="single" w:sz="8" w:color="DBDBDB"/>
            </w:tcBorders>
          </w:tcPr>
          <w:p>
            <w:pPr>
              <w:spacing w:after="0" w:line="20" w:lineRule="exact"/>
              <w:rPr>
                <w:sz w:val="1"/>
                <w:szCs w:val="1"/>
                <w:color w:val="auto"/>
              </w:rPr>
            </w:pPr>
          </w:p>
        </w:tc>
        <w:tc>
          <w:tcPr>
            <w:tcW w:w="1380" w:type="dxa"/>
            <w:vAlign w:val="bottom"/>
            <w:tcBorders>
              <w:bottom w:val="single" w:sz="8" w:color="DBDBDB"/>
            </w:tcBorders>
          </w:tcPr>
          <w:p>
            <w:pPr>
              <w:spacing w:after="0" w:line="20" w:lineRule="exact"/>
              <w:rPr>
                <w:sz w:val="1"/>
                <w:szCs w:val="1"/>
                <w:color w:val="auto"/>
              </w:rPr>
            </w:pPr>
          </w:p>
        </w:tc>
        <w:tc>
          <w:tcPr>
            <w:tcW w:w="2040" w:type="dxa"/>
            <w:vAlign w:val="bottom"/>
            <w:tcBorders>
              <w:bottom w:val="single" w:sz="8" w:color="DBDBDB"/>
            </w:tcBorders>
          </w:tcPr>
          <w:p>
            <w:pPr>
              <w:spacing w:after="0" w:line="20" w:lineRule="exact"/>
              <w:rPr>
                <w:sz w:val="1"/>
                <w:szCs w:val="1"/>
                <w:color w:val="auto"/>
              </w:rPr>
            </w:pPr>
          </w:p>
        </w:tc>
        <w:tc>
          <w:tcPr>
            <w:tcW w:w="4740" w:type="dxa"/>
            <w:vAlign w:val="bottom"/>
            <w:tcBorders>
              <w:bottom w:val="single" w:sz="8" w:color="DBDBDB"/>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shd w:val="clear" w:color="auto" w:fill="DBDBDB"/>
          </w:tcPr>
          <w:p>
            <w:pPr>
              <w:spacing w:after="0"/>
              <w:rPr>
                <w:sz w:val="19"/>
                <w:szCs w:val="19"/>
                <w:color w:val="auto"/>
              </w:rPr>
            </w:pPr>
          </w:p>
        </w:tc>
        <w:tc>
          <w:tcPr>
            <w:tcW w:w="1380" w:type="dxa"/>
            <w:vAlign w:val="bottom"/>
            <w:shd w:val="clear" w:color="auto" w:fill="DBDBDB"/>
          </w:tcPr>
          <w:p>
            <w:pPr>
              <w:spacing w:after="0"/>
              <w:rPr>
                <w:sz w:val="19"/>
                <w:szCs w:val="19"/>
                <w:color w:val="auto"/>
              </w:rPr>
            </w:pPr>
          </w:p>
        </w:tc>
        <w:tc>
          <w:tcPr>
            <w:tcW w:w="2040" w:type="dxa"/>
            <w:vAlign w:val="bottom"/>
            <w:shd w:val="clear" w:color="auto" w:fill="DBDBDB"/>
          </w:tcPr>
          <w:p>
            <w:pPr>
              <w:spacing w:after="0"/>
              <w:rPr>
                <w:sz w:val="19"/>
                <w:szCs w:val="19"/>
                <w:color w:val="auto"/>
              </w:rPr>
            </w:pPr>
          </w:p>
        </w:tc>
        <w:tc>
          <w:tcPr>
            <w:tcW w:w="474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420" w:type="dxa"/>
            <w:vAlign w:val="bottom"/>
            <w:gridSpan w:val="2"/>
          </w:tcPr>
          <w:p>
            <w:pPr>
              <w:spacing w:after="0"/>
              <w:rPr>
                <w:sz w:val="22"/>
                <w:szCs w:val="22"/>
                <w:color w:val="auto"/>
              </w:rPr>
            </w:pPr>
          </w:p>
        </w:tc>
        <w:tc>
          <w:tcPr>
            <w:tcW w:w="47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DBDBDB"/>
            </w:tcBorders>
            <w:shd w:val="clear" w:color="auto" w:fill="DBDBDB"/>
          </w:tcPr>
          <w:p>
            <w:pPr>
              <w:spacing w:after="0"/>
              <w:rPr>
                <w:sz w:val="18"/>
                <w:szCs w:val="18"/>
                <w:color w:val="auto"/>
              </w:rPr>
            </w:pPr>
          </w:p>
        </w:tc>
        <w:tc>
          <w:tcPr>
            <w:tcW w:w="3420" w:type="dxa"/>
            <w:vAlign w:val="bottom"/>
            <w:tcBorders>
              <w:bottom w:val="single" w:sz="8" w:color="auto"/>
            </w:tcBorders>
            <w:gridSpan w:val="2"/>
            <w:shd w:val="clear" w:color="auto" w:fill="DBDBDB"/>
          </w:tcPr>
          <w:p>
            <w:pPr>
              <w:spacing w:after="0" w:line="189" w:lineRule="exact"/>
              <w:rPr>
                <w:sz w:val="20"/>
                <w:szCs w:val="20"/>
                <w:color w:val="auto"/>
              </w:rPr>
            </w:pPr>
            <w:r>
              <w:rPr>
                <w:rFonts w:ascii="Arial" w:cs="Arial" w:eastAsia="Arial" w:hAnsi="Arial"/>
                <w:sz w:val="18"/>
                <w:szCs w:val="18"/>
                <w:color w:val="auto"/>
                <w:w w:val="99"/>
              </w:rPr>
              <w:t>Adjusted diluted earnings per share (EPS):</w:t>
            </w:r>
          </w:p>
        </w:tc>
        <w:tc>
          <w:tcPr>
            <w:tcW w:w="4740" w:type="dxa"/>
            <w:vAlign w:val="bottom"/>
            <w:tcBorders>
              <w:bottom w:val="single" w:sz="8" w:color="DBDBDB"/>
            </w:tcBorders>
            <w:shd w:val="clear" w:color="auto" w:fill="DBDBDB"/>
          </w:tcPr>
          <w:p>
            <w:pPr>
              <w:spacing w:after="0"/>
              <w:rPr>
                <w:sz w:val="18"/>
                <w:szCs w:val="18"/>
                <w:color w:val="auto"/>
              </w:rPr>
            </w:pPr>
          </w:p>
        </w:tc>
        <w:tc>
          <w:tcPr>
            <w:tcW w:w="940" w:type="dxa"/>
            <w:vAlign w:val="bottom"/>
            <w:tcBorders>
              <w:bottom w:val="single" w:sz="8" w:color="DBDBDB"/>
            </w:tcBorders>
            <w:shd w:val="clear" w:color="auto" w:fill="DBDBDB"/>
          </w:tcPr>
          <w:p>
            <w:pPr>
              <w:spacing w:after="0"/>
              <w:rPr>
                <w:sz w:val="18"/>
                <w:szCs w:val="18"/>
                <w:color w:val="auto"/>
              </w:rPr>
            </w:pPr>
          </w:p>
        </w:tc>
        <w:tc>
          <w:tcPr>
            <w:tcW w:w="520" w:type="dxa"/>
            <w:vAlign w:val="bottom"/>
            <w:tcBorders>
              <w:bottom w:val="single" w:sz="8" w:color="DBDBDB"/>
            </w:tcBorders>
            <w:shd w:val="clear" w:color="auto" w:fill="DBDBDB"/>
          </w:tcPr>
          <w:p>
            <w:pPr>
              <w:spacing w:after="0"/>
              <w:rPr>
                <w:sz w:val="18"/>
                <w:szCs w:val="18"/>
                <w:color w:val="auto"/>
              </w:rPr>
            </w:pPr>
          </w:p>
        </w:tc>
        <w:tc>
          <w:tcPr>
            <w:tcW w:w="120" w:type="dxa"/>
            <w:vAlign w:val="bottom"/>
            <w:tcBorders>
              <w:bottom w:val="single" w:sz="8" w:color="DBDBDB"/>
            </w:tcBorders>
            <w:shd w:val="clear" w:color="auto" w:fill="DBDBDB"/>
          </w:tcPr>
          <w:p>
            <w:pPr>
              <w:spacing w:after="0"/>
              <w:rPr>
                <w:sz w:val="18"/>
                <w:szCs w:val="18"/>
                <w:color w:val="auto"/>
              </w:rPr>
            </w:pPr>
          </w:p>
        </w:tc>
        <w:tc>
          <w:tcPr>
            <w:tcW w:w="520" w:type="dxa"/>
            <w:vAlign w:val="bottom"/>
            <w:tcBorders>
              <w:bottom w:val="single" w:sz="8" w:color="DBDBDB"/>
            </w:tcBorders>
            <w:shd w:val="clear" w:color="auto" w:fill="DBDBDB"/>
          </w:tcPr>
          <w:p>
            <w:pPr>
              <w:spacing w:after="0"/>
              <w:rPr>
                <w:sz w:val="18"/>
                <w:szCs w:val="18"/>
                <w:color w:val="auto"/>
              </w:rPr>
            </w:pPr>
          </w:p>
        </w:tc>
        <w:tc>
          <w:tcPr>
            <w:tcW w:w="960" w:type="dxa"/>
            <w:vAlign w:val="bottom"/>
            <w:tcBorders>
              <w:bottom w:val="single" w:sz="8" w:color="DBDBDB"/>
            </w:tcBorders>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60" w:type="dxa"/>
            <w:vAlign w:val="bottom"/>
            <w:gridSpan w:val="3"/>
          </w:tcPr>
          <w:p>
            <w:pPr>
              <w:ind w:left="440"/>
              <w:spacing w:after="0"/>
              <w:rPr>
                <w:sz w:val="20"/>
                <w:szCs w:val="20"/>
                <w:color w:val="auto"/>
              </w:rPr>
            </w:pPr>
            <w:r>
              <w:rPr>
                <w:rFonts w:ascii="Arial" w:cs="Arial" w:eastAsia="Arial" w:hAnsi="Arial"/>
                <w:sz w:val="18"/>
                <w:szCs w:val="18"/>
                <w:color w:val="auto"/>
              </w:rPr>
              <w:t>Diluted EPS</w:t>
            </w:r>
          </w:p>
        </w:tc>
        <w:tc>
          <w:tcPr>
            <w:tcW w:w="940" w:type="dxa"/>
            <w:vAlign w:val="bottom"/>
          </w:tcPr>
          <w:p>
            <w:pPr>
              <w:jc w:val="right"/>
              <w:ind w:right="731"/>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7"/>
              </w:rPr>
              <w:t>21.50</w:t>
            </w:r>
          </w:p>
        </w:tc>
        <w:tc>
          <w:tcPr>
            <w:tcW w:w="12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28.74</w:t>
            </w:r>
          </w:p>
        </w:tc>
        <w:tc>
          <w:tcPr>
            <w:tcW w:w="0" w:type="dxa"/>
            <w:vAlign w:val="bottom"/>
          </w:tcPr>
          <w:p>
            <w:pPr>
              <w:spacing w:after="0"/>
              <w:rPr>
                <w:sz w:val="1"/>
                <w:szCs w:val="1"/>
                <w:color w:val="auto"/>
              </w:rPr>
            </w:pPr>
          </w:p>
        </w:tc>
      </w:tr>
      <w:tr>
        <w:trPr>
          <w:trHeight w:val="256"/>
        </w:trPr>
        <w:tc>
          <w:tcPr>
            <w:tcW w:w="20" w:type="dxa"/>
            <w:vAlign w:val="bottom"/>
            <w:shd w:val="clear" w:color="auto" w:fill="DBDBDB"/>
          </w:tcPr>
          <w:p>
            <w:pPr>
              <w:spacing w:after="0"/>
              <w:rPr>
                <w:sz w:val="22"/>
                <w:szCs w:val="22"/>
                <w:color w:val="auto"/>
              </w:rPr>
            </w:pPr>
          </w:p>
        </w:tc>
        <w:tc>
          <w:tcPr>
            <w:tcW w:w="3420" w:type="dxa"/>
            <w:vAlign w:val="bottom"/>
            <w:gridSpan w:val="2"/>
            <w:shd w:val="clear" w:color="auto" w:fill="DBDBDB"/>
          </w:tcPr>
          <w:p>
            <w:pPr>
              <w:spacing w:after="0"/>
              <w:rPr>
                <w:sz w:val="22"/>
                <w:szCs w:val="22"/>
                <w:color w:val="auto"/>
              </w:rPr>
            </w:pPr>
          </w:p>
        </w:tc>
        <w:tc>
          <w:tcPr>
            <w:tcW w:w="4740" w:type="dxa"/>
            <w:vAlign w:val="bottom"/>
            <w:shd w:val="clear" w:color="auto" w:fill="DBDBDB"/>
          </w:tcPr>
          <w:p>
            <w:pPr>
              <w:spacing w:after="0"/>
              <w:rPr>
                <w:sz w:val="22"/>
                <w:szCs w:val="22"/>
                <w:color w:val="auto"/>
              </w:rPr>
            </w:pPr>
          </w:p>
        </w:tc>
        <w:tc>
          <w:tcPr>
            <w:tcW w:w="940" w:type="dxa"/>
            <w:vAlign w:val="bottom"/>
            <w:shd w:val="clear" w:color="auto" w:fill="DBDBDB"/>
          </w:tcPr>
          <w:p>
            <w:pPr>
              <w:spacing w:after="0"/>
              <w:rPr>
                <w:sz w:val="22"/>
                <w:szCs w:val="22"/>
                <w:color w:val="auto"/>
              </w:rPr>
            </w:pPr>
          </w:p>
        </w:tc>
        <w:tc>
          <w:tcPr>
            <w:tcW w:w="520" w:type="dxa"/>
            <w:vAlign w:val="bottom"/>
            <w:shd w:val="clear" w:color="auto" w:fill="DBDBDB"/>
          </w:tcPr>
          <w:p>
            <w:pPr>
              <w:spacing w:after="0"/>
              <w:rPr>
                <w:sz w:val="22"/>
                <w:szCs w:val="22"/>
                <w:color w:val="auto"/>
              </w:rPr>
            </w:pPr>
          </w:p>
        </w:tc>
        <w:tc>
          <w:tcPr>
            <w:tcW w:w="120" w:type="dxa"/>
            <w:vAlign w:val="bottom"/>
            <w:shd w:val="clear" w:color="auto" w:fill="DBDBDB"/>
          </w:tcPr>
          <w:p>
            <w:pPr>
              <w:spacing w:after="0"/>
              <w:rPr>
                <w:sz w:val="22"/>
                <w:szCs w:val="22"/>
                <w:color w:val="auto"/>
              </w:rPr>
            </w:pPr>
          </w:p>
        </w:tc>
        <w:tc>
          <w:tcPr>
            <w:tcW w:w="520" w:type="dxa"/>
            <w:vAlign w:val="bottom"/>
            <w:shd w:val="clear" w:color="auto" w:fill="DBDBDB"/>
          </w:tcPr>
          <w:p>
            <w:pPr>
              <w:spacing w:after="0"/>
              <w:rPr>
                <w:sz w:val="22"/>
                <w:szCs w:val="22"/>
                <w:color w:val="auto"/>
              </w:rPr>
            </w:pPr>
          </w:p>
        </w:tc>
        <w:tc>
          <w:tcPr>
            <w:tcW w:w="960" w:type="dxa"/>
            <w:vAlign w:val="bottom"/>
            <w:shd w:val="clear" w:color="auto" w:fill="DBDBDB"/>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DBDBDB"/>
            </w:tcBorders>
          </w:tcPr>
          <w:p>
            <w:pPr>
              <w:spacing w:after="0"/>
              <w:rPr>
                <w:sz w:val="19"/>
                <w:szCs w:val="19"/>
                <w:color w:val="auto"/>
              </w:rPr>
            </w:pPr>
          </w:p>
        </w:tc>
        <w:tc>
          <w:tcPr>
            <w:tcW w:w="8160" w:type="dxa"/>
            <w:vAlign w:val="bottom"/>
            <w:tcBorders>
              <w:bottom w:val="single" w:sz="8" w:color="DBDBDB"/>
            </w:tcBorders>
            <w:gridSpan w:val="3"/>
          </w:tcPr>
          <w:p>
            <w:pPr>
              <w:ind w:left="340"/>
              <w:spacing w:after="0"/>
              <w:rPr>
                <w:sz w:val="20"/>
                <w:szCs w:val="20"/>
                <w:color w:val="auto"/>
              </w:rPr>
            </w:pPr>
            <w:r>
              <w:rPr>
                <w:rFonts w:ascii="Arial" w:cs="Arial" w:eastAsia="Arial" w:hAnsi="Arial"/>
                <w:sz w:val="18"/>
                <w:szCs w:val="18"/>
                <w:color w:val="auto"/>
              </w:rPr>
              <w:t>Total non-core items</w:t>
            </w:r>
          </w:p>
        </w:tc>
        <w:tc>
          <w:tcPr>
            <w:tcW w:w="940" w:type="dxa"/>
            <w:vAlign w:val="bottom"/>
            <w:tcBorders>
              <w:bottom w:val="single" w:sz="8" w:color="auto"/>
            </w:tcBorders>
          </w:tcPr>
          <w:p>
            <w:pPr>
              <w:jc w:val="right"/>
              <w:ind w:right="731"/>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w:t>
            </w:r>
          </w:p>
        </w:tc>
        <w:tc>
          <w:tcPr>
            <w:tcW w:w="120" w:type="dxa"/>
            <w:vAlign w:val="bottom"/>
            <w:tcBorders>
              <w:bottom w:val="single" w:sz="8" w:color="DBDBDB"/>
            </w:tcBorders>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48"/>
        </w:trPr>
        <w:tc>
          <w:tcPr>
            <w:tcW w:w="20" w:type="dxa"/>
            <w:vAlign w:val="bottom"/>
            <w:tcBorders>
              <w:bottom w:val="single" w:sz="8" w:color="DBDBDB"/>
            </w:tcBorders>
            <w:shd w:val="clear" w:color="auto" w:fill="DBDBDB"/>
          </w:tcPr>
          <w:p>
            <w:pPr>
              <w:spacing w:after="0"/>
              <w:rPr>
                <w:sz w:val="21"/>
                <w:szCs w:val="21"/>
                <w:color w:val="auto"/>
              </w:rPr>
            </w:pPr>
          </w:p>
        </w:tc>
        <w:tc>
          <w:tcPr>
            <w:tcW w:w="8160" w:type="dxa"/>
            <w:vAlign w:val="bottom"/>
            <w:tcBorders>
              <w:bottom w:val="single" w:sz="8" w:color="DBDBDB"/>
            </w:tcBorders>
            <w:gridSpan w:val="3"/>
            <w:shd w:val="clear" w:color="auto" w:fill="DBDBDB"/>
          </w:tcPr>
          <w:p>
            <w:pPr>
              <w:ind w:left="540"/>
              <w:spacing w:after="0"/>
              <w:rPr>
                <w:sz w:val="20"/>
                <w:szCs w:val="20"/>
                <w:color w:val="auto"/>
              </w:rPr>
            </w:pPr>
            <w:r>
              <w:rPr>
                <w:rFonts w:ascii="Arial" w:cs="Arial" w:eastAsia="Arial" w:hAnsi="Arial"/>
                <w:sz w:val="18"/>
                <w:szCs w:val="18"/>
                <w:color w:val="auto"/>
              </w:rPr>
              <w:t>Adjusted diluted EPS</w:t>
            </w:r>
          </w:p>
        </w:tc>
        <w:tc>
          <w:tcPr>
            <w:tcW w:w="940" w:type="dxa"/>
            <w:vAlign w:val="bottom"/>
            <w:tcBorders>
              <w:bottom w:val="single" w:sz="8" w:color="auto"/>
            </w:tcBorders>
            <w:shd w:val="clear" w:color="auto" w:fill="DBDBDB"/>
          </w:tcPr>
          <w:p>
            <w:pPr>
              <w:jc w:val="right"/>
              <w:ind w:right="731"/>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7"/>
              </w:rPr>
              <w:t>27.24</w:t>
            </w:r>
          </w:p>
        </w:tc>
        <w:tc>
          <w:tcPr>
            <w:tcW w:w="120" w:type="dxa"/>
            <w:vAlign w:val="bottom"/>
            <w:tcBorders>
              <w:bottom w:val="single" w:sz="8" w:color="DBDBDB"/>
            </w:tcBorders>
            <w:shd w:val="clear" w:color="auto" w:fill="DBDBDB"/>
          </w:tcPr>
          <w:p>
            <w:pPr>
              <w:spacing w:after="0"/>
              <w:rPr>
                <w:sz w:val="21"/>
                <w:szCs w:val="21"/>
                <w:color w:val="auto"/>
              </w:rPr>
            </w:pPr>
          </w:p>
        </w:tc>
        <w:tc>
          <w:tcPr>
            <w:tcW w:w="520" w:type="dxa"/>
            <w:vAlign w:val="bottom"/>
            <w:tcBorders>
              <w:bottom w:val="single" w:sz="8" w:color="auto"/>
            </w:tcBorders>
            <w:shd w:val="clear" w:color="auto" w:fill="DBDBDB"/>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32.60</w:t>
            </w:r>
          </w:p>
        </w:tc>
        <w:tc>
          <w:tcPr>
            <w:tcW w:w="0" w:type="dxa"/>
            <w:vAlign w:val="bottom"/>
          </w:tcPr>
          <w:p>
            <w:pPr>
              <w:spacing w:after="0"/>
              <w:rPr>
                <w:sz w:val="1"/>
                <w:szCs w:val="1"/>
                <w:color w:val="auto"/>
              </w:rPr>
            </w:pPr>
          </w:p>
        </w:tc>
      </w:tr>
      <w:tr>
        <w:trPr>
          <w:trHeight w:val="20"/>
        </w:trPr>
        <w:tc>
          <w:tcPr>
            <w:tcW w:w="20" w:type="dxa"/>
            <w:vAlign w:val="bottom"/>
            <w:tcBorders>
              <w:top w:val="single" w:sz="8" w:color="DBDBDB"/>
            </w:tcBorders>
          </w:tcPr>
          <w:p>
            <w:pPr>
              <w:spacing w:after="0" w:line="20" w:lineRule="exact"/>
              <w:rPr>
                <w:sz w:val="1"/>
                <w:szCs w:val="1"/>
                <w:color w:val="auto"/>
              </w:rPr>
            </w:pPr>
          </w:p>
        </w:tc>
        <w:tc>
          <w:tcPr>
            <w:tcW w:w="3420" w:type="dxa"/>
            <w:vAlign w:val="bottom"/>
            <w:tcBorders>
              <w:top w:val="single" w:sz="8" w:color="DBDBDB"/>
            </w:tcBorders>
            <w:gridSpan w:val="2"/>
          </w:tcPr>
          <w:p>
            <w:pPr>
              <w:spacing w:after="0" w:line="20" w:lineRule="exact"/>
              <w:rPr>
                <w:sz w:val="1"/>
                <w:szCs w:val="1"/>
                <w:color w:val="auto"/>
              </w:rPr>
            </w:pPr>
          </w:p>
        </w:tc>
        <w:tc>
          <w:tcPr>
            <w:tcW w:w="4740" w:type="dxa"/>
            <w:vAlign w:val="bottom"/>
            <w:tcBorders>
              <w:top w:val="single" w:sz="8" w:color="DBDBDB"/>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5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520" w:type="dxa"/>
            <w:vAlign w:val="bottom"/>
            <w:tcBorders>
              <w:top w:val="single" w:sz="8" w:color="DBDBDB"/>
              <w:bottom w:val="single" w:sz="8" w:color="auto"/>
            </w:tcBorders>
          </w:tcPr>
          <w:p>
            <w:pPr>
              <w:spacing w:after="0" w:line="20" w:lineRule="exact"/>
              <w:rPr>
                <w:sz w:val="1"/>
                <w:szCs w:val="1"/>
                <w:color w:val="auto"/>
              </w:rPr>
            </w:pPr>
          </w:p>
        </w:tc>
        <w:tc>
          <w:tcPr>
            <w:tcW w:w="9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47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Borders>
              <w:bottom w:val="single" w:sz="8" w:color="DBDBDB"/>
            </w:tcBorders>
            <w:shd w:val="clear" w:color="auto" w:fill="DBDBDB"/>
          </w:tcPr>
          <w:p>
            <w:pPr>
              <w:spacing w:after="0"/>
              <w:rPr>
                <w:sz w:val="21"/>
                <w:szCs w:val="21"/>
                <w:color w:val="auto"/>
              </w:rPr>
            </w:pPr>
          </w:p>
        </w:tc>
        <w:tc>
          <w:tcPr>
            <w:tcW w:w="8160" w:type="dxa"/>
            <w:vAlign w:val="bottom"/>
            <w:tcBorders>
              <w:bottom w:val="single" w:sz="8" w:color="DBDBDB"/>
            </w:tcBorders>
            <w:gridSpan w:val="3"/>
            <w:shd w:val="clear" w:color="auto" w:fill="DBDBDB"/>
          </w:tcPr>
          <w:p>
            <w:pPr>
              <w:ind w:left="340"/>
              <w:spacing w:after="0"/>
              <w:rPr>
                <w:sz w:val="20"/>
                <w:szCs w:val="20"/>
                <w:color w:val="auto"/>
              </w:rPr>
            </w:pPr>
            <w:r>
              <w:rPr>
                <w:rFonts w:ascii="Arial" w:cs="Arial" w:eastAsia="Arial" w:hAnsi="Arial"/>
                <w:sz w:val="18"/>
                <w:szCs w:val="18"/>
                <w:color w:val="auto"/>
              </w:rPr>
              <w:t>Weighted average common shares outstanding - diluted</w:t>
            </w:r>
          </w:p>
        </w:tc>
        <w:tc>
          <w:tcPr>
            <w:tcW w:w="940" w:type="dxa"/>
            <w:vAlign w:val="bottom"/>
            <w:tcBorders>
              <w:bottom w:val="single" w:sz="8" w:color="auto"/>
            </w:tcBorders>
            <w:shd w:val="clear" w:color="auto" w:fill="DBDBDB"/>
          </w:tcPr>
          <w:p>
            <w:pPr>
              <w:spacing w:after="0"/>
              <w:rPr>
                <w:sz w:val="21"/>
                <w:szCs w:val="21"/>
                <w:color w:val="auto"/>
              </w:rPr>
            </w:pPr>
          </w:p>
        </w:tc>
        <w:tc>
          <w:tcPr>
            <w:tcW w:w="5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DBDBDB"/>
            </w:tcBorders>
            <w:shd w:val="clear" w:color="auto" w:fill="DBDBDB"/>
          </w:tcPr>
          <w:p>
            <w:pPr>
              <w:spacing w:after="0"/>
              <w:rPr>
                <w:sz w:val="21"/>
                <w:szCs w:val="21"/>
                <w:color w:val="auto"/>
              </w:rPr>
            </w:pPr>
          </w:p>
        </w:tc>
        <w:tc>
          <w:tcPr>
            <w:tcW w:w="520" w:type="dxa"/>
            <w:vAlign w:val="bottom"/>
            <w:tcBorders>
              <w:bottom w:val="single" w:sz="8" w:color="auto"/>
            </w:tcBorders>
            <w:shd w:val="clear" w:color="auto" w:fill="DBDBDB"/>
          </w:tcPr>
          <w:p>
            <w:pPr>
              <w:spacing w:after="0"/>
              <w:rPr>
                <w:sz w:val="21"/>
                <w:szCs w:val="21"/>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0"/>
        </w:trPr>
        <w:tc>
          <w:tcPr>
            <w:tcW w:w="20" w:type="dxa"/>
            <w:vAlign w:val="bottom"/>
            <w:tcBorders>
              <w:top w:val="single" w:sz="8" w:color="DBDBDB"/>
            </w:tcBorders>
          </w:tcPr>
          <w:p>
            <w:pPr>
              <w:spacing w:after="0" w:line="20" w:lineRule="exact"/>
              <w:rPr>
                <w:sz w:val="1"/>
                <w:szCs w:val="1"/>
                <w:color w:val="auto"/>
              </w:rPr>
            </w:pPr>
          </w:p>
        </w:tc>
        <w:tc>
          <w:tcPr>
            <w:tcW w:w="1380" w:type="dxa"/>
            <w:vAlign w:val="bottom"/>
            <w:tcBorders>
              <w:top w:val="single" w:sz="8" w:color="DBDBDB"/>
            </w:tcBorders>
          </w:tcPr>
          <w:p>
            <w:pPr>
              <w:spacing w:after="0" w:line="20" w:lineRule="exact"/>
              <w:rPr>
                <w:sz w:val="1"/>
                <w:szCs w:val="1"/>
                <w:color w:val="auto"/>
              </w:rPr>
            </w:pPr>
          </w:p>
        </w:tc>
        <w:tc>
          <w:tcPr>
            <w:tcW w:w="2040" w:type="dxa"/>
            <w:vAlign w:val="bottom"/>
            <w:tcBorders>
              <w:top w:val="single" w:sz="8" w:color="DBDBDB"/>
            </w:tcBorders>
          </w:tcPr>
          <w:p>
            <w:pPr>
              <w:spacing w:after="0" w:line="20" w:lineRule="exact"/>
              <w:rPr>
                <w:sz w:val="1"/>
                <w:szCs w:val="1"/>
                <w:color w:val="auto"/>
              </w:rPr>
            </w:pPr>
          </w:p>
        </w:tc>
        <w:tc>
          <w:tcPr>
            <w:tcW w:w="4740" w:type="dxa"/>
            <w:vAlign w:val="bottom"/>
            <w:tcBorders>
              <w:top w:val="single" w:sz="8" w:color="DBDBDB"/>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5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520" w:type="dxa"/>
            <w:vAlign w:val="bottom"/>
            <w:tcBorders>
              <w:top w:val="single" w:sz="8" w:color="DBDBDB"/>
              <w:bottom w:val="single" w:sz="8" w:color="auto"/>
            </w:tcBorders>
          </w:tcPr>
          <w:p>
            <w:pPr>
              <w:spacing w:after="0" w:line="20" w:lineRule="exact"/>
              <w:rPr>
                <w:sz w:val="1"/>
                <w:szCs w:val="1"/>
                <w:color w:val="auto"/>
              </w:rPr>
            </w:pPr>
          </w:p>
        </w:tc>
        <w:tc>
          <w:tcPr>
            <w:tcW w:w="9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7" w:name="page68"/>
    <w:bookmarkEnd w:id="67"/>
    <w:p>
      <w:pPr>
        <w:spacing w:after="0"/>
        <w:rPr>
          <w:sz w:val="20"/>
          <w:szCs w:val="20"/>
          <w:color w:val="auto"/>
        </w:rPr>
      </w:pPr>
      <w:r>
        <w:rPr>
          <w:rFonts w:ascii="Arial" w:cs="Arial" w:eastAsia="Arial" w:hAnsi="Arial"/>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367665</wp:posOffset>
            </wp:positionV>
            <wp:extent cx="6172200" cy="798068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172200" cy="7980680"/>
                    </a:xfrm>
                    <a:prstGeom prst="rect">
                      <a:avLst/>
                    </a:prstGeom>
                    <a:noFill/>
                  </pic:spPr>
                </pic:pic>
              </a:graphicData>
            </a:graphic>
          </wp:anchor>
        </w:drawing>
      </w:r>
    </w:p>
    <w:p>
      <w:pPr>
        <w:sectPr>
          <w:pgSz w:w="11900" w:h="16838" w:orient="portrait"/>
          <w:cols w:equalWidth="0" w:num="1">
            <w:col w:w="10139"/>
          </w:cols>
          <w:pgMar w:left="320" w:top="12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2" w:right="1440" w:bottom="1440" w:gutter="0" w:footer="0" w:header="0"/>
          <w:type w:val="continuous"/>
        </w:sectPr>
      </w:pPr>
    </w:p>
    <w:bookmarkStart w:id="68" w:name="page69"/>
    <w:bookmarkEnd w:id="68"/>
    <w:p>
      <w:pPr>
        <w:spacing w:after="0"/>
        <w:rPr>
          <w:sz w:val="20"/>
          <w:szCs w:val="20"/>
          <w:color w:val="auto"/>
        </w:rPr>
      </w:pPr>
      <w:r>
        <w:rPr>
          <w:rFonts w:ascii="Arial" w:cs="Arial" w:eastAsia="Arial" w:hAnsi="Arial"/>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367665</wp:posOffset>
            </wp:positionV>
            <wp:extent cx="6172200" cy="798068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172200" cy="7980680"/>
                    </a:xfrm>
                    <a:prstGeom prst="rect">
                      <a:avLst/>
                    </a:prstGeom>
                    <a:noFill/>
                  </pic:spPr>
                </pic:pic>
              </a:graphicData>
            </a:graphic>
          </wp:anchor>
        </w:drawing>
      </w:r>
    </w:p>
    <w:p>
      <w:pPr>
        <w:sectPr>
          <w:pgSz w:w="11900" w:h="16838" w:orient="portrait"/>
          <w:cols w:equalWidth="0" w:num="1">
            <w:col w:w="10139"/>
          </w:cols>
          <w:pgMar w:left="320" w:top="12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65</w:t>
      </w:r>
    </w:p>
    <w:sectPr>
      <w:pgSz w:w="11900" w:h="16838" w:orient="portrait"/>
      <w:cols w:equalWidth="0" w:num="1">
        <w:col w:w="10139"/>
      </w:cols>
      <w:pgMar w:left="320" w:top="12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440BADFC"/>
    <w:multiLevelType w:val="hybridMultilevel"/>
    <w:lvl w:ilvl="0">
      <w:lvlJc w:val="left"/>
      <w:lvlText w:val="☑"/>
      <w:numFmt w:val="bullet"/>
      <w:start w:val="1"/>
    </w:lvl>
  </w:abstractNum>
  <w:abstractNum w:abstractNumId="1">
    <w:nsid w:val="5072367"/>
    <w:multiLevelType w:val="hybridMultilevel"/>
    <w:lvl w:ilvl="0">
      <w:lvlJc w:val="left"/>
      <w:lvlText w:val="☐"/>
      <w:numFmt w:val="bullet"/>
      <w:start w:val="1"/>
    </w:lvl>
  </w:abstractNum>
  <w:abstractNum w:abstractNumId="2">
    <w:nsid w:val="3804823E"/>
    <w:multiLevelType w:val="hybridMultilevel"/>
    <w:lvl w:ilvl="0">
      <w:lvlJc w:val="left"/>
      <w:lvlText w:val="☐"/>
      <w:numFmt w:val="bullet"/>
      <w:start w:val="1"/>
    </w:lvl>
  </w:abstractNum>
  <w:abstractNum w:abstractNumId="3">
    <w:nsid w:val="77465F01"/>
    <w:multiLevelType w:val="hybridMultilevel"/>
    <w:lvl w:ilvl="0">
      <w:lvlJc w:val="left"/>
      <w:lvlText w:val="☑"/>
      <w:numFmt w:val="bullet"/>
      <w:start w:val="1"/>
    </w:lvl>
  </w:abstractNum>
  <w:abstractNum w:abstractNumId="4">
    <w:nsid w:val="7724C67E"/>
    <w:multiLevelType w:val="hybridMultilevel"/>
    <w:lvl w:ilvl="0">
      <w:lvlJc w:val="left"/>
      <w:lvlText w:val="☐"/>
      <w:numFmt w:val="bullet"/>
      <w:start w:val="1"/>
    </w:lvl>
  </w:abstractNum>
  <w:abstractNum w:abstractNumId="5">
    <w:nsid w:val="5C482A97"/>
    <w:multiLevelType w:val="hybridMultilevel"/>
    <w:lvl w:ilvl="0">
      <w:lvlJc w:val="left"/>
      <w:lvlText w:val="☑"/>
      <w:numFmt w:val="bullet"/>
      <w:start w:val="1"/>
    </w:lvl>
  </w:abstractNum>
  <w:abstractNum w:abstractNumId="6">
    <w:nsid w:val="2463B9EA"/>
    <w:multiLevelType w:val="hybridMultilevel"/>
    <w:lvl w:ilvl="0">
      <w:lvlJc w:val="left"/>
      <w:lvlText w:val="☐"/>
      <w:numFmt w:val="bullet"/>
      <w:start w:val="1"/>
    </w:lvl>
  </w:abstractNum>
  <w:abstractNum w:abstractNumId="7">
    <w:nsid w:val="5E884ADC"/>
    <w:multiLevelType w:val="hybridMultilevel"/>
    <w:lvl w:ilvl="0">
      <w:lvlJc w:val="left"/>
      <w:lvlText w:val="%1"/>
      <w:numFmt w:val="decimal"/>
      <w:start w:val="21"/>
    </w:lvl>
  </w:abstractNum>
  <w:abstractNum w:abstractNumId="8">
    <w:nsid w:val="51EAD36B"/>
    <w:multiLevelType w:val="hybridMultilevel"/>
    <w:lvl w:ilvl="0">
      <w:lvlJc w:val="left"/>
      <w:lvlText w:val="%1"/>
      <w:numFmt w:val="decimal"/>
      <w:start w:val="21"/>
    </w:lvl>
  </w:abstractNum>
  <w:abstractNum w:abstractNumId="9">
    <w:nsid w:val="2D517796"/>
    <w:multiLevelType w:val="hybridMultilevel"/>
    <w:lvl w:ilvl="0">
      <w:lvlJc w:val="left"/>
      <w:lvlText w:val="*"/>
      <w:numFmt w:val="bullet"/>
      <w:start w:val="1"/>
    </w:lvl>
  </w:abstractNum>
  <w:abstractNum w:abstractNumId="10">
    <w:nsid w:val="580BD78F"/>
    <w:multiLevelType w:val="hybridMultilevel"/>
    <w:lvl w:ilvl="0">
      <w:lvlJc w:val="left"/>
      <w:lvlText w:val="("/>
      <w:numFmt w:val="bullet"/>
      <w:start w:val="1"/>
    </w:lvl>
  </w:abstractNum>
  <w:abstractNum w:abstractNumId="11">
    <w:nsid w:val="153EA438"/>
    <w:multiLevelType w:val="hybridMultilevel"/>
    <w:lvl w:ilvl="0">
      <w:lvlJc w:val="left"/>
      <w:lvlText w:val=":"/>
      <w:numFmt w:val="bullet"/>
      <w:start w:val="1"/>
    </w:lvl>
  </w:abstractNum>
  <w:abstractNum w:abstractNumId="12">
    <w:nsid w:val="3855585C"/>
    <w:multiLevelType w:val="hybridMultilevel"/>
    <w:lvl w:ilvl="0">
      <w:lvlJc w:val="left"/>
      <w:lvlText w:val="m"/>
      <w:numFmt w:val="bullet"/>
      <w:start w:val="1"/>
    </w:lvl>
  </w:abstractNum>
  <w:abstractNum w:abstractNumId="13">
    <w:nsid w:val="70A64E2A"/>
    <w:multiLevelType w:val="hybridMultilevel"/>
    <w:lvl w:ilvl="0">
      <w:lvlJc w:val="left"/>
      <w:lvlText w:val="\endash "/>
      <w:numFmt w:val="bullet"/>
      <w:start w:val="1"/>
    </w:lvl>
  </w:abstractNum>
  <w:abstractNum w:abstractNumId="14">
    <w:nsid w:val="6A2342EC"/>
    <w:multiLevelType w:val="hybridMultilevel"/>
    <w:lvl w:ilvl="0">
      <w:lvlJc w:val="left"/>
      <w:lvlText w:val="(†)"/>
      <w:numFmt w:val="bullet"/>
      <w:start w:val="1"/>
    </w:lvl>
  </w:abstractNum>
  <w:abstractNum w:abstractNumId="15">
    <w:nsid w:val="2A487CB0"/>
    <w:multiLevelType w:val="hybridMultilevel"/>
    <w:lvl w:ilvl="0">
      <w:lvlJc w:val="left"/>
      <w:lvlText w:val="(%1)"/>
      <w:numFmt w:val="decimal"/>
      <w:start w:val="1"/>
    </w:lvl>
  </w:abstractNum>
  <w:abstractNum w:abstractNumId="16">
    <w:nsid w:val="1D4ED43B"/>
    <w:multiLevelType w:val="hybridMultilevel"/>
    <w:lvl w:ilvl="0">
      <w:lvlJc w:val="left"/>
      <w:lvlText w:val="\endash "/>
      <w:numFmt w:val="bullet"/>
      <w:start w:val="1"/>
    </w:lvl>
  </w:abstractNum>
  <w:abstractNum w:abstractNumId="17">
    <w:nsid w:val="725A06FB"/>
    <w:multiLevelType w:val="hybridMultilevel"/>
    <w:lvl w:ilvl="0">
      <w:lvlJc w:val="left"/>
      <w:lvlText w:val="\endash "/>
      <w:numFmt w:val="bullet"/>
      <w:start w:val="1"/>
    </w:lvl>
  </w:abstractNum>
  <w:abstractNum w:abstractNumId="18">
    <w:nsid w:val="2CD89A32"/>
    <w:multiLevelType w:val="hybridMultilevel"/>
    <w:lvl w:ilvl="0">
      <w:lvlJc w:val="left"/>
      <w:lvlText w:val="\endash "/>
      <w:numFmt w:val="bullet"/>
      <w:start w:val="1"/>
    </w:lvl>
  </w:abstractNum>
  <w:abstractNum w:abstractNumId="19">
    <w:nsid w:val="57E4CCAF"/>
    <w:multiLevelType w:val="hybridMultilevel"/>
    <w:lvl w:ilvl="0">
      <w:lvlJc w:val="left"/>
      <w:lvlText w:val="\endash "/>
      <w:numFmt w:val="bullet"/>
      <w:start w:val="1"/>
    </w:lvl>
  </w:abstractNum>
  <w:abstractNum w:abstractNumId="20">
    <w:nsid w:val="7A6D8D3C"/>
    <w:multiLevelType w:val="hybridMultilevel"/>
    <w:lvl w:ilvl="0">
      <w:lvlJc w:val="left"/>
      <w:lvlText w:val="\endash "/>
      <w:numFmt w:val="bullet"/>
      <w:start w:val="1"/>
    </w:lvl>
  </w:abstractNum>
  <w:abstractNum w:abstractNumId="21">
    <w:nsid w:val="4B588F54"/>
    <w:multiLevelType w:val="hybridMultilevel"/>
    <w:lvl w:ilvl="0">
      <w:lvlJc w:val="left"/>
      <w:lvlText w:val="\endash "/>
      <w:numFmt w:val="bullet"/>
      <w:start w:val="1"/>
    </w:lvl>
  </w:abstractNum>
  <w:abstractNum w:abstractNumId="22">
    <w:nsid w:val="542289EC"/>
    <w:multiLevelType w:val="hybridMultilevel"/>
    <w:lvl w:ilvl="0">
      <w:lvlJc w:val="left"/>
      <w:lvlText w:val="(%1)"/>
      <w:numFmt w:val="decimal"/>
      <w:start w:val="1"/>
    </w:lvl>
  </w:abstractNum>
  <w:abstractNum w:abstractNumId="23">
    <w:nsid w:val="6DE91B18"/>
    <w:multiLevelType w:val="hybridMultilevel"/>
    <w:lvl w:ilvl="0">
      <w:lvlJc w:val="left"/>
      <w:lvlText w:val="(%1)"/>
      <w:numFmt w:val="lowerRoman"/>
      <w:start w:val="5"/>
    </w:lvl>
  </w:abstractNum>
  <w:abstractNum w:abstractNumId="24">
    <w:nsid w:val="38437FDB"/>
    <w:multiLevelType w:val="hybridMultilevel"/>
    <w:lvl w:ilvl="0">
      <w:lvlJc w:val="left"/>
      <w:lvlText w:val="&amp;"/>
      <w:numFmt w:val="bullet"/>
      <w:start w:val="1"/>
    </w:lvl>
  </w:abstractNum>
  <w:abstractNum w:abstractNumId="25">
    <w:nsid w:val="7644A45C"/>
    <w:multiLevelType w:val="hybridMultilevel"/>
    <w:lvl w:ilvl="0">
      <w:lvlJc w:val="left"/>
      <w:lvlText w:val="(%1)"/>
      <w:numFmt w:val="upperLetter"/>
      <w:start w:val="1"/>
    </w:lvl>
  </w:abstractNum>
  <w:abstractNum w:abstractNumId="26">
    <w:nsid w:val="32FFF902"/>
    <w:multiLevelType w:val="hybridMultilevel"/>
    <w:lvl w:ilvl="0">
      <w:lvlJc w:val="left"/>
      <w:lvlText w:val="%1"/>
      <w:numFmt w:val="upperLetter"/>
      <w:start w:val="1"/>
    </w:lvl>
    <w:lvl w:ilvl="1">
      <w:lvlJc w:val="left"/>
      <w:lvlText w:val="(%2)"/>
      <w:numFmt w:val="decimal"/>
      <w:start w:val="4"/>
    </w:lvl>
  </w:abstractNum>
  <w:abstractNum w:abstractNumId="27">
    <w:nsid w:val="684A481A"/>
    <w:multiLevelType w:val="hybridMultilevel"/>
    <w:lvl w:ilvl="0">
      <w:lvlJc w:val="left"/>
      <w:lvlText w:val="(%1)"/>
      <w:numFmt w:val="upperLetter"/>
      <w:start w:val="2"/>
    </w:lvl>
    <w:lvl w:ilvl="1">
      <w:lvlJc w:val="left"/>
      <w:lvlText w:val="(%2)"/>
      <w:numFmt w:val="decimal"/>
      <w:start w:val="1"/>
    </w:lvl>
  </w:abstractNum>
  <w:abstractNum w:abstractNumId="28">
    <w:nsid w:val="579478FE"/>
    <w:multiLevelType w:val="hybridMultilevel"/>
    <w:lvl w:ilvl="0">
      <w:lvlJc w:val="left"/>
      <w:lvlText w:val="%1"/>
      <w:numFmt w:val="upperLetter"/>
      <w:start w:val="1"/>
    </w:lvl>
    <w:lvl w:ilvl="1">
      <w:lvlJc w:val="left"/>
      <w:lvlText w:val="(%2)"/>
      <w:numFmt w:val="decimal"/>
      <w:start w:val="3"/>
    </w:lvl>
  </w:abstractNum>
  <w:abstractNum w:abstractNumId="29">
    <w:nsid w:val="749ABB43"/>
    <w:multiLevelType w:val="hybridMultilevel"/>
    <w:lvl w:ilvl="0">
      <w:lvlJc w:val="left"/>
      <w:lvlText w:val="%1"/>
      <w:numFmt w:val="upperLetter"/>
      <w:start w:val="1"/>
    </w:lvl>
    <w:lvl w:ilvl="1">
      <w:lvlJc w:val="left"/>
      <w:lvlText w:val="(%2)"/>
      <w:numFmt w:val="decimal"/>
      <w:start w:val="9"/>
    </w:lvl>
  </w:abstractNum>
  <w:abstractNum w:abstractNumId="30">
    <w:nsid w:val="3DC240FB"/>
    <w:multiLevelType w:val="hybridMultilevel"/>
    <w:lvl w:ilvl="0">
      <w:lvlJc w:val="left"/>
      <w:lvlText w:val="(%1)"/>
      <w:numFmt w:val="lowerRoman"/>
      <w:start w:val="3"/>
    </w:lvl>
  </w:abstractNum>
  <w:abstractNum w:abstractNumId="31">
    <w:nsid w:val="1BA026FA"/>
    <w:multiLevelType w:val="hybridMultilevel"/>
    <w:lvl w:ilvl="0">
      <w:lvlJc w:val="left"/>
      <w:lvlText w:val="\endash "/>
      <w:numFmt w:val="bullet"/>
      <w:start w:val="1"/>
    </w:lvl>
  </w:abstractNum>
  <w:abstractNum w:abstractNumId="32">
    <w:nsid w:val="79A1DEAA"/>
    <w:multiLevelType w:val="hybridMultilevel"/>
    <w:lvl w:ilvl="0">
      <w:lvlJc w:val="left"/>
      <w:lvlText w:val="(%1)"/>
      <w:numFmt w:val="decimal"/>
      <w:start w:val="1"/>
    </w:lvl>
  </w:abstractNum>
  <w:abstractNum w:abstractNumId="33">
    <w:nsid w:val="75C6C33A"/>
    <w:multiLevelType w:val="hybridMultilevel"/>
    <w:lvl w:ilvl="0">
      <w:lvlJc w:val="left"/>
      <w:lvlText w:val="\endash "/>
      <w:numFmt w:val="bullet"/>
      <w:start w:val="1"/>
    </w:lvl>
  </w:abstractNum>
  <w:abstractNum w:abstractNumId="34">
    <w:nsid w:val="12E685FB"/>
    <w:multiLevelType w:val="hybridMultilevel"/>
    <w:lvl w:ilvl="0">
      <w:lvlJc w:val="left"/>
      <w:lvlText w:val="\endash "/>
      <w:numFmt w:val="bullet"/>
      <w:start w:val="1"/>
    </w:lvl>
  </w:abstractNum>
  <w:abstractNum w:abstractNumId="35">
    <w:nsid w:val="70C6A529"/>
    <w:multiLevelType w:val="hybridMultilevel"/>
    <w:lvl w:ilvl="0">
      <w:lvlJc w:val="left"/>
      <w:lvlText w:val="\endash "/>
      <w:numFmt w:val="bullet"/>
      <w:start w:val="1"/>
    </w:lvl>
  </w:abstractNum>
  <w:abstractNum w:abstractNumId="36">
    <w:nsid w:val="520EEDD1"/>
    <w:multiLevelType w:val="hybridMultilevel"/>
    <w:lvl w:ilvl="0">
      <w:lvlJc w:val="left"/>
      <w:lvlText w:val="\endash "/>
      <w:numFmt w:val="bullet"/>
      <w:start w:val="1"/>
    </w:lvl>
  </w:abstractNum>
  <w:abstractNum w:abstractNumId="37">
    <w:nsid w:val="374A3FE6"/>
    <w:multiLevelType w:val="hybridMultilevel"/>
    <w:lvl w:ilvl="0">
      <w:lvlJc w:val="left"/>
      <w:lvlText w:val="\endash "/>
      <w:numFmt w:val="bullet"/>
      <w:start w:val="1"/>
    </w:lvl>
  </w:abstractNum>
  <w:abstractNum w:abstractNumId="38">
    <w:nsid w:val="4F4EF005"/>
    <w:multiLevelType w:val="hybridMultilevel"/>
    <w:lvl w:ilvl="0">
      <w:lvlJc w:val="left"/>
      <w:lvlText w:val="\endash "/>
      <w:numFmt w:val="bullet"/>
      <w:start w:val="1"/>
    </w:lvl>
  </w:abstractNum>
  <w:abstractNum w:abstractNumId="39">
    <w:nsid w:val="23F9C13C"/>
    <w:multiLevelType w:val="hybridMultilevel"/>
    <w:lvl w:ilvl="0">
      <w:lvlJc w:val="left"/>
      <w:lvlText w:val="(*)"/>
      <w:numFmt w:val="bullet"/>
      <w:start w:val="1"/>
    </w:lvl>
  </w:abstractNum>
  <w:abstractNum w:abstractNumId="40">
    <w:nsid w:val="649BB77C"/>
    <w:multiLevelType w:val="hybridMultilevel"/>
    <w:lvl w:ilvl="0">
      <w:lvlJc w:val="left"/>
      <w:lvlText w:val="(%1)"/>
      <w:numFmt w:val="decimal"/>
      <w:start w:val="1"/>
    </w:lvl>
  </w:abstractNum>
  <w:abstractNum w:abstractNumId="41">
    <w:nsid w:val="275AC794"/>
    <w:multiLevelType w:val="hybridMultilevel"/>
    <w:lvl w:ilvl="0">
      <w:lvlJc w:val="left"/>
      <w:lvlText w:val="ü"/>
      <w:numFmt w:val="bullet"/>
      <w:start w:val="1"/>
    </w:lvl>
  </w:abstractNum>
  <w:abstractNum w:abstractNumId="42">
    <w:nsid w:val="39386575"/>
    <w:multiLevelType w:val="hybridMultilevel"/>
    <w:lvl w:ilvl="0">
      <w:lvlJc w:val="left"/>
      <w:lvlText w:val="X"/>
      <w:numFmt w:val="bullet"/>
      <w:start w:val="1"/>
    </w:lvl>
  </w:abstractNum>
  <w:abstractNum w:abstractNumId="43">
    <w:nsid w:val="1CF10FD8"/>
    <w:multiLevelType w:val="hybridMultilevel"/>
    <w:lvl w:ilvl="0">
      <w:lvlJc w:val="left"/>
      <w:lvlText w:val="\endash "/>
      <w:numFmt w:val="bullet"/>
      <w:start w:val="1"/>
    </w:lvl>
  </w:abstractNum>
  <w:abstractNum w:abstractNumId="44">
    <w:nsid w:val="180115BE"/>
    <w:multiLevelType w:val="hybridMultilevel"/>
    <w:lvl w:ilvl="0">
      <w:lvlJc w:val="left"/>
      <w:lvlText w:val="\endash "/>
      <w:numFmt w:val="bullet"/>
      <w:start w:val="1"/>
    </w:lvl>
  </w:abstractNum>
  <w:abstractNum w:abstractNumId="45">
    <w:nsid w:val="235BA861"/>
    <w:multiLevelType w:val="hybridMultilevel"/>
    <w:lvl w:ilvl="0">
      <w:lvlJc w:val="left"/>
      <w:lvlText w:val="(%1)"/>
      <w:numFmt w:val="decimal"/>
      <w:start w:val="1"/>
    </w:lvl>
  </w:abstractNum>
  <w:abstractNum w:abstractNumId="46">
    <w:nsid w:val="47398C89"/>
    <w:multiLevelType w:val="hybridMultilevel"/>
    <w:lvl w:ilvl="0">
      <w:lvlJc w:val="left"/>
      <w:lvlText w:val="(%1)"/>
      <w:numFmt w:val="decimal"/>
      <w:start w:val="1"/>
    </w:lvl>
  </w:abstractNum>
  <w:abstractNum w:abstractNumId="47">
    <w:nsid w:val="354FE9F9"/>
    <w:multiLevelType w:val="hybridMultilevel"/>
    <w:lvl w:ilvl="0">
      <w:lvlJc w:val="left"/>
      <w:lvlText w:val="\endash "/>
      <w:numFmt w:val="bullet"/>
      <w:start w:val="1"/>
    </w:lvl>
  </w:abstractNum>
  <w:abstractNum w:abstractNumId="48">
    <w:nsid w:val="15B5AF5C"/>
    <w:multiLevelType w:val="hybridMultilevel"/>
    <w:lvl w:ilvl="0">
      <w:lvlJc w:val="left"/>
      <w:lvlText w:val="\endash "/>
      <w:numFmt w:val="bullet"/>
      <w:start w:val="1"/>
    </w:lvl>
  </w:abstractNum>
  <w:abstractNum w:abstractNumId="49">
    <w:nsid w:val="741226BB"/>
    <w:multiLevelType w:val="hybridMultilevel"/>
    <w:lvl w:ilvl="0">
      <w:lvlJc w:val="left"/>
      <w:lvlText w:val="(%1)"/>
      <w:numFmt w:val="decimal"/>
      <w:start w:val="1"/>
    </w:lvl>
  </w:abstractNum>
  <w:abstractNum w:abstractNumId="50">
    <w:nsid w:val="D34B6A8"/>
    <w:multiLevelType w:val="hybridMultilevel"/>
    <w:lvl w:ilvl="0">
      <w:lvlJc w:val="left"/>
      <w:lvlText w:val="(%1)"/>
      <w:numFmt w:val="decimal"/>
      <w:start w:val="1"/>
    </w:lvl>
  </w:abstractNum>
  <w:abstractNum w:abstractNumId="51">
    <w:nsid w:val="10233C99"/>
    <w:multiLevelType w:val="hybridMultilevel"/>
    <w:lvl w:ilvl="0">
      <w:lvlJc w:val="left"/>
      <w:lvlText w:val="(%1)"/>
      <w:numFmt w:val="decimal"/>
      <w:start w:val="7"/>
    </w:lvl>
  </w:abstractNum>
  <w:abstractNum w:abstractNumId="52">
    <w:nsid w:val="3F6AB60F"/>
    <w:multiLevelType w:val="hybridMultilevel"/>
    <w:lvl w:ilvl="0">
      <w:lvlJc w:val="left"/>
      <w:lvlText w:val="(%1)"/>
      <w:numFmt w:val="decimal"/>
      <w:start w:val="1"/>
    </w:lvl>
  </w:abstractNum>
  <w:abstractNum w:abstractNumId="53">
    <w:nsid w:val="61574095"/>
    <w:multiLevelType w:val="hybridMultilevel"/>
    <w:lvl w:ilvl="0">
      <w:lvlJc w:val="left"/>
      <w:lvlText w:val="(%1)"/>
      <w:numFmt w:val="decimal"/>
      <w:start w:val="1"/>
    </w:lvl>
  </w:abstractNum>
  <w:abstractNum w:abstractNumId="54">
    <w:nsid w:val="7E0C57B1"/>
    <w:multiLevelType w:val="hybridMultilevel"/>
    <w:lvl w:ilvl="0">
      <w:lvlJc w:val="left"/>
      <w:lvlText w:val="(%1)"/>
      <w:numFmt w:val="decimal"/>
      <w:start w:val="1"/>
    </w:lvl>
  </w:abstractNum>
  <w:abstractNum w:abstractNumId="55">
    <w:nsid w:val="77AE35EB"/>
    <w:multiLevelType w:val="hybridMultilevel"/>
    <w:lvl w:ilvl="0">
      <w:lvlJc w:val="left"/>
      <w:lvlText w:val="\endash "/>
      <w:numFmt w:val="bullet"/>
      <w:start w:val="1"/>
    </w:lvl>
  </w:abstractNum>
  <w:abstractNum w:abstractNumId="56">
    <w:nsid w:val="579BE4F1"/>
    <w:multiLevelType w:val="hybridMultilevel"/>
    <w:lvl w:ilvl="0">
      <w:lvlJc w:val="left"/>
      <w:lvlText w:val="\endash "/>
      <w:numFmt w:val="bullet"/>
      <w:start w:val="1"/>
    </w:lvl>
  </w:abstractNum>
  <w:abstractNum w:abstractNumId="57">
    <w:nsid w:val="310C50B3"/>
    <w:multiLevelType w:val="hybridMultilevel"/>
    <w:lvl w:ilvl="0">
      <w:lvlJc w:val="left"/>
      <w:lvlText w:val="(%1)"/>
      <w:numFmt w:val="lowerRoman"/>
      <w:start w:val="1"/>
    </w:lvl>
  </w:abstractNum>
  <w:abstractNum w:abstractNumId="58">
    <w:nsid w:val="5FF87E05"/>
    <w:multiLevelType w:val="hybridMultilevel"/>
    <w:lvl w:ilvl="0">
      <w:lvlJc w:val="left"/>
      <w:lvlText w:val="(%1)"/>
      <w:numFmt w:val="lowerRoman"/>
      <w:start w:val="3"/>
    </w:lvl>
  </w:abstractNum>
  <w:abstractNum w:abstractNumId="59">
    <w:nsid w:val="2F305DEF"/>
    <w:multiLevelType w:val="hybridMultilevel"/>
    <w:lvl w:ilvl="0">
      <w:lvlJc w:val="left"/>
      <w:lvlText w:val="\endash "/>
      <w:numFmt w:val="bullet"/>
      <w:start w:val="1"/>
    </w:lvl>
  </w:abstractNum>
  <w:abstractNum w:abstractNumId="60">
    <w:nsid w:val="25A70BF7"/>
    <w:multiLevelType w:val="hybridMultilevel"/>
    <w:lvl w:ilvl="0">
      <w:lvlJc w:val="left"/>
      <w:lvlText w:val="\endash "/>
      <w:numFmt w:val="bullet"/>
      <w:start w:val="1"/>
    </w:lvl>
  </w:abstractNum>
  <w:abstractNum w:abstractNumId="61">
    <w:nsid w:val="1DBABF00"/>
    <w:multiLevelType w:val="hybridMultilevel"/>
    <w:lvl w:ilvl="0">
      <w:lvlJc w:val="left"/>
      <w:lvlText w:val="(%1)"/>
      <w:numFmt w:val="decimal"/>
      <w:start w:val="1"/>
    </w:lvl>
  </w:abstractNum>
  <w:abstractNum w:abstractNumId="62">
    <w:nsid w:val="4AD084E9"/>
    <w:multiLevelType w:val="hybridMultilevel"/>
    <w:lvl w:ilvl="0">
      <w:lvlJc w:val="left"/>
      <w:lvlText w:val="(%1)"/>
      <w:numFmt w:val="decimal"/>
      <w:start w:val="1"/>
    </w:lvl>
  </w:abstractNum>
  <w:abstractNum w:abstractNumId="63">
    <w:nsid w:val="1F48EAA1"/>
    <w:multiLevelType w:val="hybridMultilevel"/>
    <w:lvl w:ilvl="0">
      <w:lvlJc w:val="left"/>
      <w:lvlText w:val="(%1)"/>
      <w:numFmt w:val="decimal"/>
      <w:start w:val="1"/>
    </w:lvl>
  </w:abstractNum>
  <w:abstractNum w:abstractNumId="64">
    <w:nsid w:val="1381823A"/>
    <w:multiLevelType w:val="hybridMultilevel"/>
    <w:lvl w:ilvl="0">
      <w:lvlJc w:val="left"/>
      <w:lvlText w:val="(%1)"/>
      <w:numFmt w:val="decimal"/>
      <w:start w:val="1"/>
    </w:lvl>
  </w:abstractNum>
  <w:abstractNum w:abstractNumId="65">
    <w:nsid w:val="5DB70AE5"/>
    <w:multiLevelType w:val="hybridMultilevel"/>
    <w:lvl w:ilvl="0">
      <w:lvlJc w:val="left"/>
      <w:lvlText w:val="(%1)"/>
      <w:numFmt w:val="decimal"/>
      <w:start w:val="3"/>
    </w:lvl>
    <w:lvl w:ilvl="1">
      <w:lvlJc w:val="left"/>
      <w:lvlText w:val="(%2)"/>
      <w:numFmt w:val="lowerLetter"/>
      <w:start w:val="1"/>
    </w:lvl>
  </w:abstractNum>
  <w:abstractNum w:abstractNumId="66">
    <w:nsid w:val="100F8FCA"/>
    <w:multiLevelType w:val="hybridMultilevel"/>
    <w:lvl w:ilvl="0">
      <w:lvlJc w:val="left"/>
      <w:lvlText w:val="(%1)"/>
      <w:numFmt w:val="decimal"/>
      <w:start w:val="1"/>
    </w:lvl>
  </w:abstractNum>
  <w:abstractNum w:abstractNumId="67">
    <w:nsid w:val="6590700B"/>
    <w:multiLevelType w:val="hybridMultilevel"/>
    <w:lvl w:ilvl="0">
      <w:lvlJc w:val="left"/>
      <w:lvlText w:val="&amp;"/>
      <w:numFmt w:val="bullet"/>
      <w:start w:val="1"/>
    </w:lvl>
  </w:abstractNum>
  <w:abstractNum w:abstractNumId="68">
    <w:nsid w:val="15014ACB"/>
    <w:multiLevelType w:val="hybridMultilevel"/>
    <w:lvl w:ilvl="0">
      <w:lvlJc w:val="left"/>
      <w:lvlText w:val="\endash "/>
      <w:numFmt w:val="bullet"/>
      <w:start w:val="1"/>
    </w:lvl>
  </w:abstractNum>
  <w:abstractNum w:abstractNumId="69">
    <w:nsid w:val="5F5E7FD0"/>
    <w:multiLevelType w:val="hybridMultilevel"/>
    <w:lvl w:ilvl="0">
      <w:lvlJc w:val="left"/>
      <w:lvlText w:val="\endash "/>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2025-04-02T15:13:54Z</dcterms:created>
  <dcterms:modified xsi:type="dcterms:W3CDTF">2025-04-02T15:13:54Z</dcterms:modified>
</cp:coreProperties>
</file>