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Briesemeister Nathan Edward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ASBURY AUTOMOTIVE GROUP</w:t>
            </w:r>
          </w:p>
        </w:tc>
      </w:tr>
      <w:tr>
        <w:trPr>
          <w:trHeight w:val="267"/>
        </w:trPr>
        <w:tc>
          <w:tcPr>
            <w:tcW w:w="40" w:type="dxa"/>
            <w:vAlign w:val="bottom"/>
          </w:tcPr>
          <w:p>
            <w:pPr>
              <w:spacing w:after="0"/>
              <w:rPr>
                <w:sz w:val="23"/>
                <w:szCs w:val="23"/>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2905 PREMIERE PKWY, SUITE 300</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DULUTH</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GA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30097</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0"/>
        </w:trPr>
        <w:tc>
          <w:tcPr>
            <w:tcW w:w="80" w:type="dxa"/>
            <w:vAlign w:val="bottom"/>
          </w:tcPr>
          <w:p>
            <w:pPr>
              <w:spacing w:after="0"/>
              <w:rPr>
                <w:sz w:val="19"/>
                <w:szCs w:val="19"/>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ASBURY AUTOMOTIVE GROUP INC </w:t>
              </w:r>
            </w:hyperlink>
            <w:r>
              <w:rPr>
                <w:rFonts w:ascii="Times New Roman" w:cs="Times New Roman" w:eastAsia="Times New Roman" w:hAnsi="Times New Roman"/>
                <w:sz w:val="21"/>
                <w:szCs w:val="21"/>
                <w:color w:val="000000"/>
              </w:rPr>
              <w:t>[</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8"/>
        </w:trPr>
        <w:tc>
          <w:tcPr>
            <w:tcW w:w="80" w:type="dxa"/>
            <w:vAlign w:val="bottom"/>
          </w:tcPr>
          <w:p>
            <w:pPr>
              <w:spacing w:after="0"/>
              <w:rPr>
                <w:sz w:val="12"/>
                <w:szCs w:val="12"/>
                <w:color w:val="auto"/>
              </w:rPr>
            </w:pPr>
          </w:p>
        </w:tc>
        <w:tc>
          <w:tcPr>
            <w:tcW w:w="3520" w:type="dxa"/>
            <w:vAlign w:val="bottom"/>
            <w:tcBorders>
              <w:top w:val="single" w:sz="8" w:color="0000EE"/>
            </w:tcBorders>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ABG </w:t>
            </w:r>
            <w:r>
              <w:rPr>
                <w:rFonts w:ascii="Times New Roman" w:cs="Times New Roman" w:eastAsia="Times New Roman" w:hAnsi="Times New Roman"/>
                <w:sz w:val="21"/>
                <w:szCs w:val="21"/>
                <w:color w:val="000000"/>
              </w:rPr>
              <w:t>]</w:t>
            </w:r>
          </w:p>
        </w:tc>
        <w:tc>
          <w:tcPr>
            <w:tcW w:w="220" w:type="dxa"/>
            <w:vAlign w:val="bottom"/>
            <w:vMerge w:val="restart"/>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tcPr>
          <w:p>
            <w:pPr>
              <w:ind w:left="400"/>
              <w:spacing w:after="0" w:line="148" w:lineRule="exact"/>
              <w:rPr>
                <w:sz w:val="20"/>
                <w:szCs w:val="20"/>
                <w:color w:val="auto"/>
              </w:rPr>
            </w:pPr>
            <w:r>
              <w:rPr>
                <w:rFonts w:ascii="Arial" w:cs="Arial" w:eastAsia="Arial" w:hAnsi="Arial"/>
                <w:sz w:val="13"/>
                <w:szCs w:val="13"/>
                <w:color w:val="auto"/>
              </w:rPr>
              <w:t>Director</w:t>
            </w:r>
          </w:p>
        </w:tc>
        <w:tc>
          <w:tcPr>
            <w:tcW w:w="1440" w:type="dxa"/>
            <w:vAlign w:val="bottom"/>
          </w:tcPr>
          <w:p>
            <w:pPr>
              <w:ind w:left="300"/>
              <w:spacing w:after="0" w:line="148"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0"/>
        </w:trPr>
        <w:tc>
          <w:tcPr>
            <w:tcW w:w="80" w:type="dxa"/>
            <w:vAlign w:val="bottom"/>
          </w:tcPr>
          <w:p>
            <w:pPr>
              <w:spacing w:after="0"/>
              <w:rPr>
                <w:sz w:val="11"/>
                <w:szCs w:val="11"/>
                <w:color w:val="auto"/>
              </w:rPr>
            </w:pPr>
          </w:p>
        </w:tc>
        <w:tc>
          <w:tcPr>
            <w:tcW w:w="352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4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100" w:type="dxa"/>
            <w:vAlign w:val="bottom"/>
            <w:gridSpan w:val="2"/>
          </w:tcPr>
          <w:p>
            <w:pPr>
              <w:ind w:left="660"/>
              <w:spacing w:after="0" w:line="185" w:lineRule="exact"/>
              <w:rPr>
                <w:sz w:val="20"/>
                <w:szCs w:val="20"/>
                <w:color w:val="auto"/>
              </w:rPr>
            </w:pPr>
            <w:r>
              <w:rPr>
                <w:rFonts w:ascii="Times New Roman" w:cs="Times New Roman" w:eastAsia="Times New Roman" w:hAnsi="Times New Roman"/>
                <w:sz w:val="17"/>
                <w:szCs w:val="17"/>
                <w:color w:val="0000FF"/>
              </w:rPr>
              <w:t>VP, Controller &amp; CAO</w:t>
            </w:r>
          </w:p>
        </w:tc>
        <w:tc>
          <w:tcPr>
            <w:tcW w:w="0" w:type="dxa"/>
            <w:vAlign w:val="bottom"/>
          </w:tcPr>
          <w:p>
            <w:pPr>
              <w:spacing w:after="0"/>
              <w:rPr>
                <w:sz w:val="1"/>
                <w:szCs w:val="1"/>
                <w:color w:val="auto"/>
              </w:rPr>
            </w:pPr>
          </w:p>
        </w:tc>
      </w:tr>
      <w:tr>
        <w:trPr>
          <w:trHeight w:val="226"/>
        </w:trPr>
        <w:tc>
          <w:tcPr>
            <w:tcW w:w="36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03/06/2025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340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03/06/2025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79"/>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jc w:val="center"/>
              <w:ind w:right="61"/>
              <w:spacing w:after="0" w:line="320" w:lineRule="exact"/>
              <w:rPr>
                <w:sz w:val="20"/>
                <w:szCs w:val="20"/>
                <w:color w:val="auto"/>
              </w:rPr>
            </w:pPr>
            <w:r>
              <w:rPr>
                <w:rFonts w:ascii="Times New Roman" w:cs="Times New Roman" w:eastAsia="Times New Roman" w:hAnsi="Times New Roman"/>
                <w:sz w:val="34"/>
                <w:szCs w:val="34"/>
                <w:color w:val="0000FF"/>
                <w:vertAlign w:val="subscript"/>
              </w:rPr>
              <w:t>277</w:t>
            </w:r>
            <w:r>
              <w:rPr>
                <w:rFonts w:ascii="Times New Roman" w:cs="Times New Roman" w:eastAsia="Times New Roman" w:hAnsi="Times New Roman"/>
                <w:sz w:val="11"/>
                <w:szCs w:val="11"/>
                <w:color w:val="008000"/>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1,734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03/06/2025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99"/>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jc w:val="center"/>
              <w:ind w:right="121"/>
              <w:spacing w:after="0" w:line="320" w:lineRule="exact"/>
              <w:rPr>
                <w:sz w:val="20"/>
                <w:szCs w:val="20"/>
                <w:color w:val="auto"/>
              </w:rPr>
            </w:pPr>
            <w:r>
              <w:rPr>
                <w:rFonts w:ascii="Times New Roman" w:cs="Times New Roman" w:eastAsia="Times New Roman" w:hAnsi="Times New Roman"/>
                <w:sz w:val="34"/>
                <w:szCs w:val="34"/>
                <w:color w:val="0000FF"/>
                <w:vertAlign w:val="subscript"/>
              </w:rPr>
              <w:t>28</w:t>
            </w:r>
            <w:r>
              <w:rPr>
                <w:rFonts w:ascii="Times New Roman" w:cs="Times New Roman" w:eastAsia="Times New Roman" w:hAnsi="Times New Roman"/>
                <w:sz w:val="11"/>
                <w:szCs w:val="11"/>
                <w:color w:val="008000"/>
              </w:rPr>
              <w:t>(2)</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260.55</w:t>
            </w:r>
          </w:p>
        </w:tc>
        <w:tc>
          <w:tcPr>
            <w:tcW w:w="3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1,706</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gridSpan w:val="2"/>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80" w:type="dxa"/>
            <w:vAlign w:val="bottom"/>
          </w:tcPr>
          <w:p>
            <w:pPr>
              <w:spacing w:after="0"/>
              <w:rPr>
                <w:sz w:val="3"/>
                <w:szCs w:val="3"/>
                <w:color w:val="auto"/>
              </w:rPr>
            </w:pPr>
          </w:p>
        </w:tc>
        <w:tc>
          <w:tcPr>
            <w:tcW w:w="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performance share units upon the Issuer having met certain performance objectives, which objectives were certified as having been met on March 6, 2025. One-third of the performance share units granted on February 20, 2024 vested upon certification of the objectives having been met, which occurred on March 6, 2025, an additional one-third vests on February 20, 2026 and the remaining one-third vests on February 20, 2027.</w:t>
      </w:r>
    </w:p>
    <w:p>
      <w:pPr>
        <w:spacing w:after="0" w:line="20"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the Issuer's common stock withheld for payment of taxes upon the vesting of performance share units, and the conversion of such units into shares of the Issuer's common stock, granted on February 20, 2024.</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/s/Dean Calloway, Attorney</w:t>
            </w:r>
          </w:p>
        </w:tc>
        <w:tc>
          <w:tcPr>
            <w:tcW w:w="14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03/10/2025</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51763" TargetMode="External"/><Relationship Id="rId14" Type="http://schemas.openxmlformats.org/officeDocument/2006/relationships/hyperlink" Target="http://www.sec.gov/cgi-bin/browse-edgar?action=getcompany&amp;CIK=00011449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2025-03-10T15:12:28Z</dcterms:created>
  <dcterms:modified xsi:type="dcterms:W3CDTF">2025-03-10T15:12:28Z</dcterms:modified>
</cp:coreProperties>
</file>