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6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51435</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167640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7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41"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5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187"/>
        </w:trPr>
        <w:tc>
          <w:tcPr>
            <w:tcW w:w="306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7"/>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560" w:type="dxa"/>
            <w:vAlign w:val="bottom"/>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6"/>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5"/>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2905 Premiere Parkway NW Suite 300</w:t>
            </w:r>
          </w:p>
        </w:tc>
        <w:tc>
          <w:tcPr>
            <w:tcW w:w="5560" w:type="dxa"/>
            <w:vAlign w:val="bottom"/>
          </w:tcPr>
          <w:p>
            <w:pPr>
              <w:spacing w:after="0"/>
              <w:rPr>
                <w:sz w:val="24"/>
                <w:szCs w:val="24"/>
                <w:color w:val="auto"/>
              </w:rPr>
            </w:pPr>
          </w:p>
        </w:tc>
      </w:tr>
      <w:tr>
        <w:trPr>
          <w:trHeight w:val="229"/>
        </w:trPr>
        <w:tc>
          <w:tcPr>
            <w:tcW w:w="30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Duluth, GA</w:t>
            </w:r>
          </w:p>
        </w:tc>
        <w:tc>
          <w:tcPr>
            <w:tcW w:w="55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239"/>
        </w:trPr>
        <w:tc>
          <w:tcPr>
            <w:tcW w:w="306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(770) 418-8200</w:t>
      </w:r>
    </w:p>
    <w:p>
      <w:pPr>
        <w:spacing w:after="0" w:line="2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123825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32"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4"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tcPr>
          <w:p>
            <w:pPr>
              <w:spacing w:after="0"/>
              <w:rPr>
                <w:sz w:val="24"/>
                <w:szCs w:val="24"/>
                <w:color w:val="auto"/>
              </w:rPr>
            </w:pPr>
          </w:p>
        </w:tc>
      </w:tr>
      <w:tr>
        <w:trPr>
          <w:trHeight w:val="238"/>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58" w:lineRule="exact"/>
        <w:rPr>
          <w:sz w:val="24"/>
          <w:szCs w:val="24"/>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307" w:right="779" w:bottom="1440" w:gutter="0" w:footer="0" w:header="0"/>
        </w:sectPr>
      </w:pPr>
    </w:p>
    <w:bookmarkStart w:id="1" w:name="page2"/>
    <w:bookmarkEnd w:id="1"/>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8538210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34"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8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Asbury Automotive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an earnings release on April 29, 2025, announcing its financial results for the three months ended March 31, 2025. A copy of the earnings release is furnished as Exhibit 99.1 to this Current Report.</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including Exhibit 99.1,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387"/>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April 29, 2025.</w:t>
            </w:r>
          </w:p>
        </w:tc>
      </w:tr>
      <w:tr>
        <w:trPr>
          <w:trHeight w:val="250"/>
        </w:trPr>
        <w:tc>
          <w:tcPr>
            <w:tcW w:w="1000" w:type="dxa"/>
            <w:vAlign w:val="bottom"/>
            <w:gridSpan w:val="2"/>
          </w:tcPr>
          <w:p>
            <w:pPr>
              <w:spacing w:after="0"/>
              <w:rPr>
                <w:sz w:val="21"/>
                <w:szCs w:val="21"/>
                <w:color w:val="auto"/>
              </w:rPr>
            </w:pPr>
          </w:p>
        </w:tc>
        <w:tc>
          <w:tcPr>
            <w:tcW w:w="3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28"/>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ASBURY AUTOMOTIVE GROUP, INC.</w:t>
            </w:r>
          </w:p>
        </w:tc>
      </w:tr>
      <w:tr>
        <w:trPr>
          <w:trHeight w:val="28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/s/ Michael D. Welch</w:t>
            </w:r>
          </w:p>
        </w:tc>
      </w:tr>
      <w:tr>
        <w:trPr>
          <w:trHeight w:val="201"/>
        </w:trPr>
        <w:tc>
          <w:tcPr>
            <w:tcW w:w="3480" w:type="dxa"/>
            <w:vAlign w:val="bottom"/>
          </w:tcPr>
          <w:p>
            <w:pPr>
              <w:spacing w:after="0"/>
              <w:rPr>
                <w:sz w:val="17"/>
                <w:szCs w:val="17"/>
                <w:color w:val="auto"/>
              </w:rPr>
            </w:pPr>
          </w:p>
        </w:tc>
        <w:tc>
          <w:tcPr>
            <w:tcW w:w="2760" w:type="dxa"/>
            <w:vAlign w:val="bottom"/>
          </w:tcPr>
          <w:p>
            <w:pPr>
              <w:ind w:left="1980"/>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4940" w:type="dxa"/>
            <w:vAlign w:val="bottom"/>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w w:val="99"/>
              </w:rPr>
              <w:t>Michael D. Welch</w:t>
            </w:r>
          </w:p>
        </w:tc>
      </w:tr>
      <w:tr>
        <w:trPr>
          <w:trHeight w:val="238"/>
        </w:trPr>
        <w:tc>
          <w:tcPr>
            <w:tcW w:w="3480" w:type="dxa"/>
            <w:vAlign w:val="bottom"/>
          </w:tcPr>
          <w:p>
            <w:pPr>
              <w:spacing w:after="0"/>
              <w:rPr>
                <w:sz w:val="20"/>
                <w:szCs w:val="20"/>
                <w:color w:val="auto"/>
              </w:rPr>
            </w:pP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40" w:type="dxa"/>
            <w:vAlign w:val="bottom"/>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tc>
      </w:tr>
    </w:tbl>
    <w:p>
      <w:pPr>
        <w:sectPr>
          <w:pgSz w:w="11900" w:h="16838" w:orient="portrait"/>
          <w:cols w:equalWidth="0" w:num="1">
            <w:col w:w="11220"/>
          </w:cols>
          <w:pgMar w:left="320" w:top="887" w:right="3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3042920"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29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Investors &amp; Reporters May Contact:</w:t>
      </w:r>
    </w:p>
    <w:p>
      <w:pPr>
        <w:spacing w:after="0" w:line="26"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Joe Sorice</w:t>
      </w:r>
    </w:p>
    <w:p>
      <w:pPr>
        <w:spacing w:after="0" w:line="6"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Sr. Manager, Investor Relations</w:t>
      </w:r>
    </w:p>
    <w:p>
      <w:pPr>
        <w:spacing w:after="0" w:line="6"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(770) 418-8211</w:t>
      </w:r>
    </w:p>
    <w:p>
      <w:pPr>
        <w:spacing w:after="0" w:line="6"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ir@asburyauto.com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Asbury Automotive Group Reports First Quarter Results</w:t>
      </w:r>
    </w:p>
    <w:p>
      <w:pPr>
        <w:spacing w:after="0" w:line="22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Revenue of $4.1 billion</w:t>
      </w:r>
    </w:p>
    <w:p>
      <w:pPr>
        <w:spacing w:after="0" w:line="11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Gross Profit of $724 million</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All-time record Parts &amp; Service gross profit of $343 million</w:t>
      </w:r>
    </w:p>
    <w:p>
      <w:pPr>
        <w:spacing w:after="0" w:line="125"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Third quarter of sequential improvement in same store Used Retail gross profit per unit</w:t>
      </w:r>
    </w:p>
    <w:p>
      <w:pPr>
        <w:spacing w:after="0" w:line="11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Net income of $132 million; adjusted net income, a non-GAAP measure, of $134 million</w:t>
      </w:r>
    </w:p>
    <w:p>
      <w:pPr>
        <w:spacing w:after="0" w:line="11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EPS of $6.71 per diluted share; adjusted EPS, a non-GAAP measure, of $6.82 per diluted share</w:t>
      </w:r>
    </w:p>
    <w:p>
      <w:pPr>
        <w:spacing w:after="0" w:line="111" w:lineRule="exact"/>
        <w:rPr>
          <w:rFonts w:ascii="Times New Roman" w:cs="Times New Roman" w:eastAsia="Times New Roman" w:hAnsi="Times New Roman"/>
          <w:sz w:val="22"/>
          <w:szCs w:val="22"/>
          <w:i w:val="1"/>
          <w:iCs w:val="1"/>
          <w:color w:val="auto"/>
        </w:rPr>
      </w:pPr>
    </w:p>
    <w:p>
      <w:pPr>
        <w:ind w:left="660" w:right="120" w:hanging="328"/>
        <w:spacing w:after="0" w:line="275" w:lineRule="auto"/>
        <w:tabs>
          <w:tab w:leader="none" w:pos="655"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Announced definitive agreement to acquire The Herb Chambers Automotive Group, the sixteenth largest privately-owned dealership group based on 2024 revenue, with approximately $3 billion in annual revenue</w:t>
      </w:r>
    </w:p>
    <w:p>
      <w:pPr>
        <w:spacing w:after="0" w:line="200" w:lineRule="exact"/>
        <w:rPr>
          <w:sz w:val="20"/>
          <w:szCs w:val="20"/>
          <w:color w:val="auto"/>
        </w:rPr>
      </w:pPr>
    </w:p>
    <w:p>
      <w:pPr>
        <w:spacing w:after="0" w:line="345" w:lineRule="exact"/>
        <w:rPr>
          <w:sz w:val="20"/>
          <w:szCs w:val="20"/>
          <w:color w:val="auto"/>
        </w:rPr>
      </w:pPr>
    </w:p>
    <w:p>
      <w:pPr>
        <w:jc w:val="both"/>
        <w:ind w:firstLine="18"/>
        <w:spacing w:after="0" w:line="250" w:lineRule="auto"/>
        <w:rPr>
          <w:sz w:val="20"/>
          <w:szCs w:val="20"/>
          <w:color w:val="auto"/>
        </w:rPr>
      </w:pPr>
      <w:r>
        <w:rPr>
          <w:rFonts w:ascii="Times New Roman" w:cs="Times New Roman" w:eastAsia="Times New Roman" w:hAnsi="Times New Roman"/>
          <w:sz w:val="22"/>
          <w:szCs w:val="22"/>
          <w:color w:val="auto"/>
        </w:rPr>
        <w:t>DULUTH, GA. (April 29, 2025) — Asbury Automotive Group, Inc. (NYSE: ABG) (the “Company”), one of the largest automotive retail and service companies in the U.S., reported first quarter 2025 net income of $132 million ($6.71 per diluted share), a decrease of 10% from $147 million ($7.21 per diluted share) in first quarter 2024. The Company reported first quarter 2025 adjusted net income, a non-GAAP measure, of $134 million ($6.82 per diluted share), a decrease of 9% from $147 million ($7.21 per diluted share) in first quarter 2024. During the full year 2024, the Company completed six divestitures that contributed estimated annualized revenue of $225 million. During the first quarter of 2025, the Company completed two divestitures that contributed estimated annualized revenue of $79 million.</w:t>
      </w:r>
    </w:p>
    <w:p>
      <w:pPr>
        <w:spacing w:after="0" w:line="126" w:lineRule="exact"/>
        <w:rPr>
          <w:sz w:val="20"/>
          <w:szCs w:val="20"/>
          <w:color w:val="auto"/>
        </w:rPr>
      </w:pPr>
    </w:p>
    <w:p>
      <w:pPr>
        <w:jc w:val="both"/>
        <w:ind w:firstLine="18"/>
        <w:spacing w:after="0" w:line="252" w:lineRule="auto"/>
        <w:rPr>
          <w:sz w:val="20"/>
          <w:szCs w:val="20"/>
          <w:color w:val="auto"/>
        </w:rPr>
      </w:pPr>
      <w:r>
        <w:rPr>
          <w:rFonts w:ascii="Times New Roman" w:cs="Times New Roman" w:eastAsia="Times New Roman" w:hAnsi="Times New Roman"/>
          <w:sz w:val="22"/>
          <w:szCs w:val="22"/>
          <w:color w:val="auto"/>
        </w:rPr>
        <w:t>“First quarter 2025 results highlighted the resiliency of our business and the focus of our team members as we delivered strong results against the backdrop of tariff uncertainty and unique weather challenges impacting many of our markets,” said David Hult, Asbury’s President and Chief Executive Officer. “The business continues to deliver and our commitment to strategic growth remains steadfast as we look forward to welcoming The Herb Chambers Automotive Group into the Asbury family.”</w:t>
      </w:r>
    </w:p>
    <w:p>
      <w:pPr>
        <w:spacing w:after="0" w:line="139" w:lineRule="exact"/>
        <w:rPr>
          <w:sz w:val="20"/>
          <w:szCs w:val="20"/>
          <w:color w:val="auto"/>
        </w:rPr>
      </w:pPr>
    </w:p>
    <w:p>
      <w:pPr>
        <w:jc w:val="both"/>
        <w:ind w:firstLine="18"/>
        <w:spacing w:after="0" w:line="257" w:lineRule="auto"/>
        <w:rPr>
          <w:sz w:val="20"/>
          <w:szCs w:val="20"/>
          <w:color w:val="auto"/>
        </w:rPr>
      </w:pPr>
      <w:r>
        <w:rPr>
          <w:rFonts w:ascii="Times New Roman" w:cs="Times New Roman" w:eastAsia="Times New Roman" w:hAnsi="Times New Roman"/>
          <w:sz w:val="22"/>
          <w:szCs w:val="22"/>
          <w:color w:val="auto"/>
        </w:rPr>
        <w:t>The financial measures discussed below include both GAAP and adjusted (non-GAAP) financial measures. Please see “Non-GAAP Financial Disclosure and Reconciliation, Same Store Data and Other Data” and the reconciliations for non-GAAP metrics used herein.</w:t>
      </w:r>
    </w:p>
    <w:p>
      <w:pPr>
        <w:spacing w:after="0" w:line="11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Adjusted net income for first quarter 2025 excludes, net of tax, $11 million of non-cash asset impairments ($0.54 per diluted share), $7 million of cyber insurance recovery proceeds ($0.38 per diluted share), $3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20"/>
        <w:spacing w:after="0" w:line="271" w:lineRule="auto"/>
        <w:rPr>
          <w:sz w:val="20"/>
          <w:szCs w:val="20"/>
          <w:color w:val="auto"/>
        </w:rPr>
      </w:pPr>
      <w:r>
        <w:rPr>
          <w:rFonts w:ascii="Times New Roman" w:cs="Times New Roman" w:eastAsia="Times New Roman" w:hAnsi="Times New Roman"/>
          <w:sz w:val="22"/>
          <w:szCs w:val="22"/>
          <w:color w:val="auto"/>
        </w:rPr>
        <w:t>million related to gain on divestitures ($0.16 per diluted share) and $2 million of professional fees related to the pending acquisition of The Herb Chambers Automotive Group ($0.11 per diluted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non-GAAP adjustments for the first quarter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 Quarter 2025 Operational Summary</w:t>
      </w:r>
    </w:p>
    <w:p>
      <w:pPr>
        <w:spacing w:after="0" w:line="1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Total Company vs. 1st Quarter 2024:</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Revenue of $4.1 billion, decrease of 1%</w:t>
      </w:r>
    </w:p>
    <w:p>
      <w:pPr>
        <w:spacing w:after="0" w:line="56"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profit of $724 million, decrease of 3%</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margin decreased 40 bps to 17.5%</w:t>
      </w:r>
    </w:p>
    <w:p>
      <w:pPr>
        <w:spacing w:after="0" w:line="7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vehicle unit volume increase of 2%; new vehicle revenue increase of 4%; new vehicle gross profit decrease of 12%</w:t>
      </w:r>
    </w:p>
    <w:p>
      <w:pPr>
        <w:spacing w:after="0" w:line="57" w:lineRule="exact"/>
        <w:rPr>
          <w:rFonts w:ascii="Times New Roman" w:cs="Times New Roman" w:eastAsia="Times New Roman" w:hAnsi="Times New Roman"/>
          <w:sz w:val="22"/>
          <w:szCs w:val="22"/>
          <w:color w:val="auto"/>
        </w:rPr>
      </w:pPr>
    </w:p>
    <w:p>
      <w:pPr>
        <w:ind w:left="660" w:right="440" w:hanging="328"/>
        <w:spacing w:after="0" w:line="268" w:lineRule="auto"/>
        <w:tabs>
          <w:tab w:leader="none" w:pos="6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Used vehicle retail unit volume decrease of 10%; used vehicle retail revenue decrease of 9%; used vehicle retail gross profit decrease of 14%</w:t>
      </w:r>
    </w:p>
    <w:p>
      <w:pPr>
        <w:spacing w:after="0" w:line="2"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Finance and insurance (F&amp;I) per vehicle retailed (PVR) of $2,261, flat to prior year</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Parts and service revenue was flat to prior year; gross profit increase of 3%</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Selling, General and Administrative expenses (SG&amp;A) as a percentage of gross profit of 63.0%</w:t>
      </w:r>
    </w:p>
    <w:p>
      <w:pPr>
        <w:spacing w:after="0" w:line="7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SG&amp;A as a percentage of gross profit of 64.0%</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margin of 5.6%</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operating margin of 5.8%</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Same Store vs. 1st Quarter 2024:</w:t>
      </w:r>
    </w:p>
    <w:p>
      <w:pPr>
        <w:spacing w:after="0" w:line="17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of $4.1 billion, increase of 1%</w:t>
      </w:r>
    </w:p>
    <w:p>
      <w:pPr>
        <w:spacing w:after="0" w:line="7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profit of $724 million, decrease of 2%</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margin decreased 43 bps to 17.5%</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vehicle unit volume increase of 4%; new vehicle revenue increase of 6%; new vehicle gross profit decrease of 11%</w:t>
      </w:r>
    </w:p>
    <w:p>
      <w:pPr>
        <w:spacing w:after="0" w:line="57" w:lineRule="exact"/>
        <w:rPr>
          <w:rFonts w:ascii="Times New Roman" w:cs="Times New Roman" w:eastAsia="Times New Roman" w:hAnsi="Times New Roman"/>
          <w:sz w:val="22"/>
          <w:szCs w:val="22"/>
          <w:color w:val="auto"/>
        </w:rPr>
      </w:pPr>
    </w:p>
    <w:p>
      <w:pPr>
        <w:ind w:left="660" w:hanging="328"/>
        <w:spacing w:after="0" w:line="271" w:lineRule="auto"/>
        <w:tabs>
          <w:tab w:leader="none" w:pos="6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Used vehicle retail unit volume decrease of 8%; used vehicle retail revenue decrease of 8%; used vehicle retail gross profit decrease of 13%</w:t>
      </w:r>
    </w:p>
    <w:p>
      <w:pPr>
        <w:spacing w:after="0" w:line="9"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F&amp;I PVR of $2,263, flat to prior year</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Parts and service revenue increase of 2%; gross profit increase of 5%</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SG&amp;A as a percentage of gross profit of 62.9%</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SG&amp;A as a percentage of gross profit of 63.9%</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margin of 5.7%</w:t>
      </w:r>
    </w:p>
    <w:p>
      <w:pPr>
        <w:spacing w:after="0" w:line="57"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operating margin of 5.8%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Liquidity and Leverage</w:t>
      </w:r>
    </w:p>
    <w:p>
      <w:pPr>
        <w:spacing w:after="0" w:line="17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As of March 31, 2025, the Company had cash and floorplan offset accounts of $204 million (which excludes $37 million of cash at Total Care Auto, Powered by Landcar) and availability under the used vehicle floorplan line and revolver of $760 million for a total of $964 million in liquidity. The Company’s transaction adjusted net leverage ratio, which is calculated as set forth in our credit facility, was 2.75x at quarter end.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Call</w:t>
      </w:r>
    </w:p>
    <w:p>
      <w:pPr>
        <w:spacing w:after="0" w:line="17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Additional commentary regarding the fourth quarter results will be provided during the earnings conference call on Tuesday, April 29, 2025, at 10:00 a.m. ET.</w:t>
      </w:r>
    </w:p>
    <w:p>
      <w:pPr>
        <w:spacing w:after="0" w:line="1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 conference call will be simulcast live on the internet. The webcast, together with supplemental materials, and can be accessed by logging onto https://investors.asburyauto.com. A replay and the accompanying materials will be available on this site for at least 30 days.</w:t>
      </w:r>
    </w:p>
    <w:p>
      <w:pPr>
        <w:spacing w:after="0" w:line="3"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2"/>
          <w:szCs w:val="22"/>
          <w:color w:val="auto"/>
        </w:rPr>
        <w:t>In addition, live audio will be accessible to the public. Participants may enter the conference call five to ten minutes prior to the scheduled start of the call by dialing:</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Domestic:</w:t>
            </w:r>
          </w:p>
        </w:tc>
        <w:tc>
          <w:tcPr>
            <w:tcW w:w="20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(877) 407-2988</w:t>
            </w:r>
          </w:p>
        </w:tc>
      </w:tr>
      <w:tr>
        <w:trPr>
          <w:trHeight w:val="291"/>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International:</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 (201) 389-0923</w:t>
            </w:r>
          </w:p>
        </w:tc>
      </w:tr>
      <w:tr>
        <w:trPr>
          <w:trHeight w:val="290"/>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Passcode:</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13753098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Asbury Automotive Group, Inc.</w:t>
      </w:r>
    </w:p>
    <w:p>
      <w:pPr>
        <w:spacing w:after="0" w:line="1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Asbury Automotive Group, Inc. (NYSE: ABG), a Fortune 500 company headquartered in Duluth, GA,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March 31, 2025, Asbury operated 150 new vehicle dealerships, consisting of 196 franchises and representing 31 domestic and foreign brands of vehicles. Asbury also operates Total Care Auto, Powered by Landcar, a leading provider of service contracts and other vehicle protection products, and 37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and the Company is listed in World’s Most Trustworthy Companies 2024 by Newsweek.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additional information, visit </w:t>
      </w:r>
      <w:r>
        <w:rPr>
          <w:rFonts w:ascii="Times New Roman" w:cs="Times New Roman" w:eastAsia="Times New Roman" w:hAnsi="Times New Roman"/>
          <w:sz w:val="22"/>
          <w:szCs w:val="22"/>
          <w:u w:val="single" w:color="auto"/>
          <w:color w:val="auto"/>
        </w:rPr>
        <w:t>www.asburyauto.com.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7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and assumptions, projections regarding Asbury's financial position, liquidity, results of operations, cash flows, leverage, market position, the timing and amount of any stock repurchases, and dealership portfolio, revenue enhancement strategies, operational improvements, projections regarding the expected benefits of Clicklane, management’s plans, projections and objectives for future operations, scale and performance, integration plans and expected synergies from acquisitions, capital allocation strategy,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adverse outcomes with respect to current and future litigation and other proceedings; our inability to realize the benefits expected from recently completed transactions; our inability to promptly and effectively integrate completed transactions and the diversion of management’s attention from ongoing business and regular business responsibilities; our inability to</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1440" w:right="35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complete future acquisitions or divestitures and the risks resulting therefrom; any supply chain disruptions impacting our industry and business; market factors and changes thereto, including changes related to trade; Asbury's relationships with, and the financial and operational stability of, vehicle manufacturers and other suppliers, including in response to the imposition of tariffs; acts of God and other natural disasters, including hurricanes; acts of war or similar incidents; the shortage of automotive parts and components, which may adversely impact supply from vehicle manufacturers and/or present retail sales challenges; risks associated with Asbury's indebtedness and our ability to comply with applicable covenants in our various financing agreements, or to obtain waivers of these covenants as necessary; risks related to competition in the automotive retail and service industries, general economic conditions both nationally and locally; governmental regulations and legislation, including changes in automotive state franchise laws and tariffs; our ability to execute our strategic and operational strategies and initiatives, including Asbury’s five-year strategic plan; our ability to leverage gains from Asbury’s dealership portfolio; our ability to capitalize on opportunities to repurchase Asbury’s debt and equity securities or purchase properties that Asbury currently leases; and our ability to stay within Asbury’s targeted range for capital expenditures. There can be no guarantees that Asbury's plans for future operations will be successfully implemented or that they will prove to be commercially successful.</w:t>
      </w:r>
    </w:p>
    <w:p>
      <w:pPr>
        <w:spacing w:after="0" w:line="12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Disclosure and Reconciliation, Same Store Data and Other Data</w:t>
      </w:r>
    </w:p>
    <w:p>
      <w:pPr>
        <w:spacing w:after="0" w:line="17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2"/>
          <w:szCs w:val="22"/>
          <w:color w:val="auto"/>
        </w:rPr>
        <w:t>In addition to evaluating the financial condition and results of our operations in accordance with GAAP, from time to time management evaluates and analyzes results and any impact on the Company of strategic decisions and actions relating to, among other things, cost reduction, growth, and profitability improvement initiatives, and other events outside of normal or "core" business and operations, by considering certain alternative financial measures not prepared in accordance with GAAP. These measures include "Adjusted income from operations," "Adjusted net income," "Adjusted operating margins," "Adjusted EBITDA," "Adjusted diluted earnings per share ("EPS")," "Adjusted SG&amp;A," "Adjusted operating cash flow," "Transaction adjusted EBITDA" and "Transaction adjusted net leverage ratio." Further, management assesses the organic growth of our revenue and gross profit on a same store basis. We believe that our assessment on a same store basis represents an important indicator of comparative financial performance and provides relevant information to assess our performance at our existing locations.</w:t>
      </w:r>
    </w:p>
    <w:p>
      <w:pPr>
        <w:spacing w:after="0" w:line="15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color w:val="auto"/>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2"/>
          <w:szCs w:val="22"/>
          <w:color w:val="auto"/>
        </w:rPr>
        <w:t>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w:t>
      </w:r>
    </w:p>
    <w:p>
      <w:pPr>
        <w:spacing w:after="0" w:line="12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Due to the significant effects that dealership acquisitions and divestitures have on our results of operations, and in order to provide more meaningful comparisons, we present herein "Transaction adjusted EBITDA" and "Transaction adjusted net leverage ratio" (collectively, the "Transaction Adjusted Metrics"), which reflect the effects of the dealership acquisitions and divestitures, if any, as if they had occurred on the first day of the last twelve-month periods being presented. For acquisitions, the pre-acquisition period amount being included in Transaction adjusted EBITDA is determined by pro-rating the forecasted adjusted EBITDA for the year following the acquisition. For divestitures, including divestitures due to requirements in connection with an acquisition, the adjusted EBITDA associated with the divestiture(s) is excluded from Transaction adjusted EBITDA. We believe the Transaction Adjusted Metrics provide relevant information to assess our performance at our existing dealership locations for the last twelve-month periods being presented.</w:t>
      </w:r>
    </w:p>
    <w:p>
      <w:pPr>
        <w:spacing w:after="0" w:line="1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1"/>
          <w:szCs w:val="21"/>
          <w:color w:val="auto"/>
        </w:rPr>
        <w:t>The Transaction Adjusted Metrics do not include any adjustments for other events attributable to the dealership acquisitions or divestitures unless otherwise described. We cannot assure you that such financial information would not be materially different if such information were audited or that our actual results would not differ materially from the Transaction Adjusted Metrics if the dealership acquisitions or divestitures had been completed as of the beginning of the last twelve-month periods being presented.</w:t>
      </w:r>
    </w:p>
    <w:p>
      <w:pPr>
        <w:spacing w:after="0" w:line="10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Same store amounts consist of information from dealerships for identical months in each comparative period, commencing with the first month we owned the dealership. Additionally, amounts related to divested dealerships are excluded from each comparative period.</w:t>
      </w:r>
    </w:p>
    <w:p>
      <w:pPr>
        <w:spacing w:after="0" w:line="194"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2"/>
          <w:szCs w:val="22"/>
          <w:color w:val="auto"/>
        </w:rPr>
        <w:t>Amounts presented herein have been calculated using non-rounded amounts for all periods presented and therefore certain amounts may not compute or tie to prior presentation due to rounding.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(In millions, except per share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used vehicle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used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Disclosures-Consolidated (In millions)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17"/>
                <w:szCs w:val="17"/>
                <w:color w:val="auto"/>
              </w:rPr>
            </w:pP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BALANCE SHEET DATA</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net (a)</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Excluding $75.3 million and $58.7 million of inventory classified as assets held for sale as of March 31, 2025 and December 31, 2024, respectively.</w:t>
      </w: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06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Days Supply</w:t>
            </w:r>
          </w:p>
        </w:tc>
        <w:tc>
          <w:tcPr>
            <w:tcW w:w="14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New vehicle inventory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Used vehicle inventory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supply of inventory is calculated based on new and used inventory, in units, at the end of each reporting period and a 30-day historical unit sales.</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80"/>
          </w:cols>
          <w:pgMar w:left="320" w:top="1440" w:right="39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Brand Mix - New Vehicle Revenue by Brand</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80" w:type="dxa"/>
            <w:vAlign w:val="bottom"/>
            <w:tcBorders>
              <w:right w:val="single" w:sz="8" w:color="CCEEFF"/>
            </w:tcBorders>
          </w:tcPr>
          <w:p>
            <w:pPr>
              <w:spacing w:after="0"/>
              <w:rPr>
                <w:sz w:val="16"/>
                <w:szCs w:val="16"/>
                <w:color w:val="auto"/>
              </w:rPr>
            </w:pPr>
          </w:p>
        </w:tc>
        <w:tc>
          <w:tcPr>
            <w:tcW w:w="5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6"/>
              </w:rPr>
              <w:t>Luxury</w:t>
            </w:r>
          </w:p>
        </w:tc>
        <w:tc>
          <w:tcPr>
            <w:tcW w:w="8020" w:type="dxa"/>
            <w:vAlign w:val="bottom"/>
            <w:tcBorders>
              <w:bottom w:val="single" w:sz="8" w:color="CCEEFF"/>
            </w:tcBorders>
            <w:gridSpan w:val="5"/>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Lexus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Mercedes-Benz</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BMW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Land Rover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Porsche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luxury</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luxury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9"/>
        </w:trPr>
        <w:tc>
          <w:tcPr>
            <w:tcW w:w="80" w:type="dxa"/>
            <w:vAlign w:val="bottom"/>
            <w:tcBorders>
              <w:right w:val="single" w:sz="8" w:color="CCEEFF"/>
            </w:tcBorders>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6"/>
              </w:rPr>
              <w:t>Imports</w:t>
            </w:r>
          </w:p>
        </w:tc>
        <w:tc>
          <w:tcPr>
            <w:tcW w:w="7980" w:type="dxa"/>
            <w:vAlign w:val="bottom"/>
            <w:tcBorders>
              <w:bottom w:val="single" w:sz="8" w:color="CCEEFF"/>
            </w:tcBorders>
            <w:gridSpan w:val="4"/>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Toyota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Honda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Hyundai</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Kia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Subaru</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imports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imports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0"/>
        </w:trPr>
        <w:tc>
          <w:tcPr>
            <w:tcW w:w="80" w:type="dxa"/>
            <w:vAlign w:val="bottom"/>
            <w:tcBorders>
              <w:right w:val="single" w:sz="8" w:color="CCEEFF"/>
            </w:tcBorders>
          </w:tcPr>
          <w:p>
            <w:pPr>
              <w:spacing w:after="0"/>
              <w:rPr>
                <w:sz w:val="18"/>
                <w:szCs w:val="18"/>
                <w:color w:val="auto"/>
              </w:rPr>
            </w:pPr>
          </w:p>
        </w:tc>
        <w:tc>
          <w:tcPr>
            <w:tcW w:w="86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Domestic</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0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Ford</w:t>
            </w:r>
          </w:p>
        </w:tc>
        <w:tc>
          <w:tcPr>
            <w:tcW w:w="7900" w:type="dxa"/>
            <w:vAlign w:val="bottom"/>
            <w:tcBorders>
              <w:top w:val="single" w:sz="8" w:color="CCEEFF"/>
            </w:tcBorders>
            <w:gridSpan w:val="3"/>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Chrysler, Dodge, Jeep, Ram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8"/>
                <w:szCs w:val="18"/>
                <w:color w:val="auto"/>
              </w:rPr>
              <w:t>Chevrolet, Buick, GMC</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New Vehicle Revenue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80" w:type="dxa"/>
            <w:vAlign w:val="bottom"/>
            <w:tcBorders>
              <w:right w:val="single" w:sz="8" w:color="CCEEFF"/>
            </w:tcBorders>
          </w:tcPr>
          <w:p>
            <w:pPr>
              <w:spacing w:after="0"/>
              <w:rPr>
                <w:sz w:val="16"/>
                <w:szCs w:val="16"/>
                <w:color w:val="auto"/>
              </w:rPr>
            </w:pPr>
          </w:p>
        </w:tc>
        <w:tc>
          <w:tcPr>
            <w:tcW w:w="1000" w:type="dxa"/>
            <w:vAlign w:val="bottom"/>
            <w:tcBorders>
              <w:bottom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Revenue mix</w:t>
            </w:r>
          </w:p>
        </w:tc>
        <w:tc>
          <w:tcPr>
            <w:tcW w:w="7600" w:type="dxa"/>
            <w:vAlign w:val="bottom"/>
            <w:tcBorders>
              <w:bottom w:val="single" w:sz="8" w:color="CCEEFF"/>
            </w:tcBorders>
            <w:gridSpan w:val="2"/>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Used vehicle wholesale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86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0" w:type="dxa"/>
            <w:vAlign w:val="bottom"/>
            <w:tcBorders>
              <w:top w:val="single" w:sz="8" w:color="CCEEFF"/>
              <w:bottom w:val="single" w:sz="8" w:color="CCEEFF"/>
            </w:tcBorders>
            <w:gridSpan w:val="6"/>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Gross profit mix</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Pr>
          <w:p>
            <w:pPr>
              <w:spacing w:after="0"/>
              <w:rPr>
                <w:sz w:val="11"/>
                <w:szCs w:val="11"/>
                <w:color w:val="auto"/>
              </w:rPr>
            </w:pPr>
          </w:p>
        </w:tc>
        <w:tc>
          <w:tcPr>
            <w:tcW w:w="8600" w:type="dxa"/>
            <w:vAlign w:val="bottom"/>
            <w:gridSpan w:val="6"/>
            <w:vMerge w:val="continue"/>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wholesale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80"/>
          </w:cols>
          <w:pgMar w:left="320" w:top="1440" w:right="39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HIGHLIGHTS-CONSOLIDATED (In millions)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6"/>
          <w:szCs w:val="16"/>
          <w:color w:val="auto"/>
        </w:rPr>
        <w: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c>
          <w:tcPr>
            <w:tcW w:w="114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Revenue</w:t>
            </w:r>
          </w:p>
        </w:tc>
        <w:tc>
          <w:tcPr>
            <w:tcW w:w="6940" w:type="dxa"/>
            <w:vAlign w:val="bottom"/>
            <w:tcBorders>
              <w:bottom w:val="single" w:sz="8" w:color="CCEEFF"/>
            </w:tcBorders>
            <w:gridSpan w:val="7"/>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New vehicle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2,138.1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Used vehicle: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Retail</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Wholesale</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4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Total used vehicle</w:t>
            </w: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Parts and service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590.4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187.0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189.7</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4,148.5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4,201.2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76"/>
        </w:trPr>
        <w:tc>
          <w:tcPr>
            <w:tcW w:w="20" w:type="dxa"/>
            <w:vAlign w:val="bottom"/>
          </w:tcPr>
          <w:p>
            <w:pPr>
              <w:spacing w:after="0"/>
              <w:rPr>
                <w:sz w:val="15"/>
                <w:szCs w:val="15"/>
                <w:color w:val="auto"/>
              </w:rPr>
            </w:pPr>
          </w:p>
        </w:tc>
        <w:tc>
          <w:tcPr>
            <w:tcW w:w="754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vehicle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Used vehicle: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8"/>
          </w:tcPr>
          <w:p>
            <w:pPr>
              <w:ind w:left="340"/>
              <w:spacing w:after="0"/>
              <w:rPr>
                <w:sz w:val="20"/>
                <w:szCs w:val="20"/>
                <w:color w:val="auto"/>
              </w:rPr>
            </w:pPr>
            <w:r>
              <w:rPr>
                <w:rFonts w:ascii="Times New Roman" w:cs="Times New Roman" w:eastAsia="Times New Roman" w:hAnsi="Times New Roman"/>
                <w:sz w:val="16"/>
                <w:szCs w:val="16"/>
                <w:color w:val="auto"/>
              </w:rPr>
              <w:t>Wholesale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2"/>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9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used vehicle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Parts and service</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20" w:type="dxa"/>
            <w:vAlign w:val="bottom"/>
          </w:tcPr>
          <w:p>
            <w:pPr>
              <w:spacing w:after="0"/>
              <w:rPr>
                <w:sz w:val="17"/>
                <w:szCs w:val="17"/>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Total 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9"/>
              </w:rPr>
              <w:t>Unit sales</w:t>
            </w:r>
          </w:p>
        </w:tc>
        <w:tc>
          <w:tcPr>
            <w:tcW w:w="6860" w:type="dxa"/>
            <w:vAlign w:val="bottom"/>
            <w:tcBorders>
              <w:bottom w:val="single" w:sz="8" w:color="CCEEFF"/>
            </w:tcBorders>
            <w:gridSpan w:val="6"/>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New vehicle: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Luxury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8,578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3"/>
        </w:trPr>
        <w:tc>
          <w:tcPr>
            <w:tcW w:w="20" w:type="dxa"/>
            <w:vAlign w:val="bottom"/>
          </w:tcPr>
          <w:p>
            <w:pPr>
              <w:spacing w:after="0"/>
              <w:rPr>
                <w:sz w:val="18"/>
                <w:szCs w:val="18"/>
                <w:color w:val="auto"/>
              </w:rPr>
            </w:pPr>
          </w:p>
        </w:tc>
        <w:tc>
          <w:tcPr>
            <w:tcW w:w="75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Import</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21,697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07"/>
        </w:trPr>
        <w:tc>
          <w:tcPr>
            <w:tcW w:w="20" w:type="dxa"/>
            <w:vAlign w:val="bottom"/>
          </w:tcPr>
          <w:p>
            <w:pPr>
              <w:spacing w:after="0"/>
              <w:rPr>
                <w:sz w:val="17"/>
                <w:szCs w:val="17"/>
                <w:color w:val="auto"/>
              </w:rPr>
            </w:pPr>
          </w:p>
        </w:tc>
        <w:tc>
          <w:tcPr>
            <w:tcW w:w="754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Total new vehicle</w:t>
            </w: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41,496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40,677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Used vehicle retail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35,415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39,489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Used to new ratio</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9"/>
        </w:trPr>
        <w:tc>
          <w:tcPr>
            <w:tcW w:w="20" w:type="dxa"/>
            <w:vAlign w:val="bottom"/>
            <w:shd w:val="clear" w:color="auto" w:fill="CCEEFF"/>
          </w:tcPr>
          <w:p>
            <w:pPr>
              <w:spacing w:after="0"/>
              <w:rPr>
                <w:sz w:val="17"/>
                <w:szCs w:val="17"/>
                <w:color w:val="auto"/>
              </w:rPr>
            </w:pPr>
          </w:p>
        </w:tc>
        <w:tc>
          <w:tcPr>
            <w:tcW w:w="7540" w:type="dxa"/>
            <w:vAlign w:val="bottom"/>
            <w:gridSpan w:val="8"/>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Average selling price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New vehicle</w:t>
            </w:r>
          </w:p>
        </w:tc>
        <w:tc>
          <w:tcPr>
            <w:tcW w:w="61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51,525</w:t>
            </w: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50,747</w:t>
            </w:r>
          </w:p>
        </w:tc>
        <w:tc>
          <w:tcPr>
            <w:tcW w:w="1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Used vehicle 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30,169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175"/>
        </w:trPr>
        <w:tc>
          <w:tcPr>
            <w:tcW w:w="20" w:type="dxa"/>
            <w:vAlign w:val="bottom"/>
          </w:tcPr>
          <w:p>
            <w:pPr>
              <w:spacing w:after="0"/>
              <w:rPr>
                <w:sz w:val="15"/>
                <w:szCs w:val="15"/>
                <w:color w:val="auto"/>
              </w:rPr>
            </w:pPr>
          </w:p>
        </w:tc>
        <w:tc>
          <w:tcPr>
            <w:tcW w:w="754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Average gross profit per unit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vehicle: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Luxury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6,864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Import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20" w:type="dxa"/>
            <w:vAlign w:val="bottom"/>
          </w:tcPr>
          <w:p>
            <w:pPr>
              <w:spacing w:after="0"/>
              <w:rPr>
                <w:sz w:val="18"/>
                <w:szCs w:val="18"/>
                <w:color w:val="auto"/>
              </w:rPr>
            </w:pPr>
          </w:p>
        </w:tc>
        <w:tc>
          <w:tcPr>
            <w:tcW w:w="75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new vehicle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Used vehicle retail</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Front end yield (1)</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Gross margin</w:t>
            </w:r>
          </w:p>
        </w:tc>
        <w:tc>
          <w:tcPr>
            <w:tcW w:w="6580" w:type="dxa"/>
            <w:vAlign w:val="bottom"/>
            <w:tcBorders>
              <w:bottom w:val="single" w:sz="8" w:color="CCEEFF"/>
            </w:tcBorders>
            <w:gridSpan w:val="4"/>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Total new vehicle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bps</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Used vehicle retail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bps</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Parts and service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bps</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profit margin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bps</w:t>
            </w:r>
          </w:p>
        </w:tc>
      </w:tr>
      <w:tr>
        <w:trPr>
          <w:trHeight w:val="175"/>
        </w:trPr>
        <w:tc>
          <w:tcPr>
            <w:tcW w:w="20" w:type="dxa"/>
            <w:vAlign w:val="bottom"/>
          </w:tcPr>
          <w:p>
            <w:pPr>
              <w:spacing w:after="0"/>
              <w:rPr>
                <w:sz w:val="15"/>
                <w:szCs w:val="15"/>
                <w:color w:val="auto"/>
              </w:rPr>
            </w:pPr>
          </w:p>
        </w:tc>
        <w:tc>
          <w:tcPr>
            <w:tcW w:w="754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468.6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Adjusted selling, general and administrative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463.5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bps</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Adjusted SG&amp;A as a % of gross profit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bps</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 as a % of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bps</w:t>
            </w:r>
          </w:p>
        </w:tc>
      </w:tr>
      <w:tr>
        <w:trPr>
          <w:trHeight w:val="213"/>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Income from operations as a % of gross profit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bps</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income from operations as a % of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bps</w:t>
            </w:r>
          </w:p>
        </w:tc>
      </w:tr>
      <w:tr>
        <w:trPr>
          <w:trHeight w:val="210"/>
        </w:trPr>
        <w:tc>
          <w:tcPr>
            <w:tcW w:w="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Adjusted income from operations as a % of gross profit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bps</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47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47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STORE OPERATING HIGHLIGHTS-CONSOLIDATED (In millions)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2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69"/>
        </w:trPr>
        <w:tc>
          <w:tcPr>
            <w:tcW w:w="20" w:type="dxa"/>
            <w:vAlign w:val="bottom"/>
            <w:shd w:val="clear" w:color="auto" w:fill="CCEEFF"/>
          </w:tcPr>
          <w:p>
            <w:pPr>
              <w:spacing w:after="0"/>
              <w:rPr>
                <w:sz w:val="14"/>
                <w:szCs w:val="14"/>
                <w:color w:val="auto"/>
              </w:rPr>
            </w:pPr>
          </w:p>
        </w:tc>
        <w:tc>
          <w:tcPr>
            <w:tcW w:w="742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2,137.8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7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Total used vehicle</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169"/>
        </w:trPr>
        <w:tc>
          <w:tcPr>
            <w:tcW w:w="20" w:type="dxa"/>
            <w:vAlign w:val="bottom"/>
          </w:tcPr>
          <w:p>
            <w:pPr>
              <w:spacing w:after="0"/>
              <w:rPr>
                <w:sz w:val="14"/>
                <w:szCs w:val="14"/>
                <w:color w:val="auto"/>
              </w:rPr>
            </w:pPr>
          </w:p>
        </w:tc>
        <w:tc>
          <w:tcPr>
            <w:tcW w:w="742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8"/>
          </w:tcPr>
          <w:p>
            <w:pPr>
              <w:ind w:left="34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7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used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736.9</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Unit sales</w:t>
            </w:r>
          </w:p>
        </w:tc>
        <w:tc>
          <w:tcPr>
            <w:tcW w:w="6660" w:type="dxa"/>
            <w:vAlign w:val="bottom"/>
            <w:tcBorders>
              <w:bottom w:val="single" w:sz="8" w:color="CCEEFF"/>
            </w:tcBorders>
            <w:gridSpan w:val="6"/>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Luxury</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20" w:type="dxa"/>
            <w:vAlign w:val="bottom"/>
          </w:tcPr>
          <w:p>
            <w:pPr>
              <w:spacing w:after="0"/>
              <w:rPr>
                <w:sz w:val="19"/>
                <w:szCs w:val="19"/>
                <w:color w:val="auto"/>
              </w:rPr>
            </w:pPr>
          </w:p>
        </w:tc>
        <w:tc>
          <w:tcPr>
            <w:tcW w:w="74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Import</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7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Total new vehicle</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41,487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Used to new ratio</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74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Average selling price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New vehicle</w:t>
            </w:r>
          </w:p>
        </w:tc>
        <w:tc>
          <w:tcPr>
            <w:tcW w:w="582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51,528</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50,929</w:t>
            </w:r>
          </w:p>
        </w:tc>
        <w:tc>
          <w:tcPr>
            <w:tcW w:w="1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30,296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189"/>
        </w:trPr>
        <w:tc>
          <w:tcPr>
            <w:tcW w:w="20" w:type="dxa"/>
            <w:vAlign w:val="bottom"/>
          </w:tcPr>
          <w:p>
            <w:pPr>
              <w:spacing w:after="0"/>
              <w:rPr>
                <w:sz w:val="16"/>
                <w:szCs w:val="16"/>
                <w:color w:val="auto"/>
              </w:rPr>
            </w:pPr>
          </w:p>
        </w:tc>
        <w:tc>
          <w:tcPr>
            <w:tcW w:w="74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Average gross profit per unit</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Luxury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Import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tcPr>
          <w:p>
            <w:pPr>
              <w:spacing w:after="0"/>
              <w:rPr>
                <w:sz w:val="19"/>
                <w:szCs w:val="19"/>
                <w:color w:val="auto"/>
              </w:rPr>
            </w:pPr>
          </w:p>
        </w:tc>
        <w:tc>
          <w:tcPr>
            <w:tcW w:w="74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vehicle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Front end yield (1)</w:t>
            </w: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Gross margin</w:t>
            </w:r>
          </w:p>
        </w:tc>
        <w:tc>
          <w:tcPr>
            <w:tcW w:w="6360" w:type="dxa"/>
            <w:vAlign w:val="bottom"/>
            <w:tcBorders>
              <w:bottom w:val="single" w:sz="8" w:color="CCEEFF"/>
            </w:tcBorders>
            <w:gridSpan w:val="4"/>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new vehicle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bps</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bps</w:t>
            </w:r>
          </w:p>
        </w:tc>
      </w:tr>
      <w:tr>
        <w:trPr>
          <w:trHeight w:val="230"/>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bps</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 margin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bps</w:t>
            </w:r>
          </w:p>
        </w:tc>
      </w:tr>
      <w:tr>
        <w:trPr>
          <w:trHeight w:val="189"/>
        </w:trPr>
        <w:tc>
          <w:tcPr>
            <w:tcW w:w="20" w:type="dxa"/>
            <w:vAlign w:val="bottom"/>
          </w:tcPr>
          <w:p>
            <w:pPr>
              <w:spacing w:after="0"/>
              <w:rPr>
                <w:sz w:val="16"/>
                <w:szCs w:val="16"/>
                <w:color w:val="auto"/>
              </w:rPr>
            </w:pPr>
          </w:p>
        </w:tc>
        <w:tc>
          <w:tcPr>
            <w:tcW w:w="74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Adjusted selling,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as a % of gross profit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bps</w:t>
            </w:r>
          </w:p>
        </w:tc>
      </w:tr>
      <w:tr>
        <w:trPr>
          <w:trHeight w:val="234"/>
        </w:trPr>
        <w:tc>
          <w:tcPr>
            <w:tcW w:w="20" w:type="dxa"/>
            <w:vAlign w:val="bottom"/>
          </w:tcPr>
          <w:p>
            <w:pPr>
              <w:spacing w:after="0"/>
              <w:rPr>
                <w:sz w:val="20"/>
                <w:szCs w:val="20"/>
                <w:color w:val="auto"/>
              </w:rPr>
            </w:pPr>
          </w:p>
        </w:tc>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Adjusted SG&amp;A as a % of gross profit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bps</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420" w:right="360" w:hanging="412"/>
        <w:spacing w:after="0" w:line="268" w:lineRule="auto"/>
        <w:tabs>
          <w:tab w:leader="none" w:pos="4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69"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69"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REPORTING (Unaudited)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tcPr>
          <w:p>
            <w:pPr>
              <w:jc w:val="center"/>
              <w:ind w:left="491"/>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center"/>
              <w:ind w:left="511"/>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700" w:type="dxa"/>
            <w:vAlign w:val="bottom"/>
          </w:tcPr>
          <w:p>
            <w:pPr>
              <w:spacing w:after="0"/>
              <w:rPr>
                <w:sz w:val="18"/>
                <w:szCs w:val="18"/>
                <w:color w:val="auto"/>
              </w:rPr>
            </w:pPr>
          </w:p>
        </w:tc>
      </w:tr>
      <w:tr>
        <w:trPr>
          <w:trHeight w:val="219"/>
        </w:trPr>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1"/>
        </w:trPr>
        <w:tc>
          <w:tcPr>
            <w:tcW w:w="4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Dealerships</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TCA</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Dealerships</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TCA</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4,064.4</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4,201.2</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3"/>
        </w:trPr>
        <w:tc>
          <w:tcPr>
            <w:tcW w:w="4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4,126.8</w:t>
            </w:r>
          </w:p>
        </w:tc>
        <w:tc>
          <w:tcPr>
            <w:tcW w:w="3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4,256.1</w:t>
            </w: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3"/>
        </w:trPr>
        <w:tc>
          <w:tcPr>
            <w:tcW w:w="4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4,201.2</w:t>
            </w:r>
          </w:p>
        </w:tc>
      </w:tr>
      <w:tr>
        <w:trPr>
          <w:trHeight w:val="237"/>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4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3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37"/>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175"/>
        </w:trPr>
        <w:tc>
          <w:tcPr>
            <w:tcW w:w="4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Deferral of SG&amp;A expense (related to capitalized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contract costs offset by amortization)</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reconciliations for our non-GAAP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6"/>
                <w:szCs w:val="16"/>
                <w:color w:val="auto"/>
              </w:rPr>
            </w:pPr>
          </w:p>
        </w:tc>
        <w:tc>
          <w:tcPr>
            <w:tcW w:w="244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1"/>
                <w:szCs w:val="11"/>
                <w:color w:val="auto"/>
              </w:rPr>
            </w:pPr>
          </w:p>
        </w:tc>
        <w:tc>
          <w:tcPr>
            <w:tcW w:w="1040" w:type="dxa"/>
            <w:vAlign w:val="bottom"/>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Adjusted leverage ratio:</w:t>
            </w:r>
          </w:p>
        </w:tc>
        <w:tc>
          <w:tcPr>
            <w:tcW w:w="4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floor plan offset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TCA cash</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Availability under our used vehicle floor plan facility</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long-term net debt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Calculation of earnings before interest, taxes, depreciation and amortization</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 and other 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Non-core items - expense (income):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franchise termination</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Hail damage</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Hurricane Milton losses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Insurance recovery</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 associated with acquisition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non-core items</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Impact of dealership acquisitions and divestitures</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Transaction adjusted EBITDA</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4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Transaction adjusted net leverage ratio</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Gain on dealership</w:t>
            </w:r>
          </w:p>
        </w:tc>
        <w:tc>
          <w:tcPr>
            <w:tcW w:w="180" w:type="dxa"/>
            <w:vAlign w:val="bottom"/>
          </w:tcPr>
          <w:p>
            <w:pPr>
              <w:spacing w:after="0"/>
              <w:rPr>
                <w:sz w:val="11"/>
                <w:szCs w:val="11"/>
                <w:color w:val="auto"/>
              </w:rPr>
            </w:pPr>
          </w:p>
        </w:tc>
        <w:tc>
          <w:tcPr>
            <w:tcW w:w="10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1"/>
                <w:szCs w:val="11"/>
                <w:color w:val="auto"/>
              </w:rPr>
            </w:pPr>
          </w:p>
        </w:tc>
        <w:tc>
          <w:tcPr>
            <w:tcW w:w="9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Pr>
          <w:p>
            <w:pPr>
              <w:spacing w:after="0"/>
              <w:rPr>
                <w:sz w:val="11"/>
                <w:szCs w:val="11"/>
                <w:color w:val="auto"/>
              </w:rPr>
            </w:pPr>
          </w:p>
        </w:tc>
        <w:tc>
          <w:tcPr>
            <w:tcW w:w="1340" w:type="dxa"/>
            <w:vAlign w:val="bottom"/>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Professional fees</w:t>
            </w:r>
          </w:p>
        </w:tc>
        <w:tc>
          <w:tcPr>
            <w:tcW w:w="140" w:type="dxa"/>
            <w:vAlign w:val="bottom"/>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320" w:type="dxa"/>
            <w:vAlign w:val="bottom"/>
          </w:tcPr>
          <w:p>
            <w:pPr>
              <w:spacing w:after="0"/>
              <w:rPr>
                <w:sz w:val="11"/>
                <w:szCs w:val="11"/>
                <w:color w:val="auto"/>
              </w:rPr>
            </w:pPr>
          </w:p>
        </w:tc>
        <w:tc>
          <w:tcPr>
            <w:tcW w:w="11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28"/>
              <w:spacing w:after="0" w:line="146" w:lineRule="exact"/>
              <w:rPr>
                <w:sz w:val="20"/>
                <w:szCs w:val="20"/>
                <w:color w:val="auto"/>
              </w:rPr>
            </w:pPr>
            <w:r>
              <w:rPr>
                <w:rFonts w:ascii="Times New Roman" w:cs="Times New Roman" w:eastAsia="Times New Roman" w:hAnsi="Times New Roman"/>
                <w:sz w:val="14"/>
                <w:szCs w:val="14"/>
                <w:b w:val="1"/>
                <w:bCs w:val="1"/>
                <w:color w:val="auto"/>
              </w:rPr>
              <w:t>associated with</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recovery</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gridSpan w:val="5"/>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456.4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463.5</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1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234.3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(0.8)</w:t>
            </w:r>
          </w:p>
        </w:tc>
        <w:tc>
          <w:tcPr>
            <w:tcW w:w="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257"/>
        </w:trPr>
        <w:tc>
          <w:tcPr>
            <w:tcW w:w="2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 average common share</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19.7</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 diluted</w:t>
            </w: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EPS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(0.38)</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57"/>
        </w:trPr>
        <w:tc>
          <w:tcPr>
            <w:tcW w:w="2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 as a % of gross profit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from operations as a % of</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SG&amp;A (Same Store)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455.9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463.0</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SG&amp;A as a % of gross profit (Same</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62.9 %</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63.9 %</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Store)</w:t>
            </w: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Adjusted cash flow from operations:</w:t>
            </w: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auto"/>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225.0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Floor Plan Notes Payable—Non-Trade, net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520" w:type="dxa"/>
            <w:vAlign w:val="bottom"/>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Change in Floor Plan Notes Payable—Non-Trade associated with floor plan offset, used vehicle borrowing base</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changes adjusted for acquisition and divestitures</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8520" w:type="dxa"/>
            <w:vAlign w:val="bottom"/>
            <w:gridSpan w:val="2"/>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Change in Floor Plan Notes Payable—Trade associated with floor plan offset, adjusted for acquisition and</w:t>
            </w: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8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divestitures</w:t>
            </w:r>
          </w:p>
        </w:tc>
        <w:tc>
          <w:tcPr>
            <w:tcW w:w="8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Adjusted cash flow provided by operating activities</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187.4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jc w:val="right"/>
              <w:ind w:right="282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854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2025-04-29T06:09:15Z</dcterms:created>
  <dcterms:modified xsi:type="dcterms:W3CDTF">2025-04-29T06:09:15Z</dcterms:modified>
</cp:coreProperties>
</file>