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69265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51435</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87630</wp:posOffset>
            </wp:positionV>
            <wp:extent cx="2425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1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4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167640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Asbury Automotive Group, Inc.</w:t>
      </w:r>
    </w:p>
    <w:p>
      <w:pPr>
        <w:spacing w:after="0" w:line="7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55880</wp:posOffset>
            </wp:positionV>
            <wp:extent cx="2425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41" w:lineRule="exact"/>
        <w:rPr>
          <w:sz w:val="24"/>
          <w:szCs w:val="24"/>
          <w:color w:val="auto"/>
        </w:rPr>
      </w:pPr>
    </w:p>
    <w:tbl>
      <w:tblPr>
        <w:tblLayout w:type="fixed"/>
        <w:tblInd w:w="1240" w:type="dxa"/>
        <w:tblCellMar>
          <w:top w:w="0" w:type="dxa"/>
          <w:left w:w="0" w:type="dxa"/>
          <w:bottom w:w="0" w:type="dxa"/>
          <w:right w:w="0" w:type="dxa"/>
        </w:tblCellMar>
      </w:tblPr>
      <w:tr>
        <w:trPr>
          <w:trHeight w:val="238"/>
        </w:trPr>
        <w:tc>
          <w:tcPr>
            <w:tcW w:w="3060" w:type="dxa"/>
            <w:vAlign w:val="bottom"/>
          </w:tcPr>
          <w:p>
            <w:pPr>
              <w:spacing w:after="0"/>
              <w:rPr>
                <w:sz w:val="20"/>
                <w:szCs w:val="20"/>
                <w:color w:val="auto"/>
              </w:rPr>
            </w:pPr>
          </w:p>
        </w:tc>
        <w:tc>
          <w:tcPr>
            <w:tcW w:w="556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Delaware</w:t>
            </w:r>
          </w:p>
        </w:tc>
      </w:tr>
      <w:tr>
        <w:trPr>
          <w:trHeight w:val="187"/>
        </w:trPr>
        <w:tc>
          <w:tcPr>
            <w:tcW w:w="3060" w:type="dxa"/>
            <w:vAlign w:val="bottom"/>
          </w:tcPr>
          <w:p>
            <w:pPr>
              <w:spacing w:after="0"/>
              <w:rPr>
                <w:sz w:val="16"/>
                <w:szCs w:val="16"/>
                <w:color w:val="auto"/>
              </w:rPr>
            </w:pPr>
          </w:p>
        </w:tc>
        <w:tc>
          <w:tcPr>
            <w:tcW w:w="556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(State or other jurisdiction of incorporation)</w:t>
            </w:r>
          </w:p>
        </w:tc>
      </w:tr>
      <w:tr>
        <w:trPr>
          <w:trHeight w:val="347"/>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001-31262</w:t>
            </w:r>
          </w:p>
        </w:tc>
        <w:tc>
          <w:tcPr>
            <w:tcW w:w="5560" w:type="dxa"/>
            <w:vAlign w:val="bottom"/>
          </w:tcPr>
          <w:p>
            <w:pPr>
              <w:jc w:val="right"/>
              <w:ind w:right="399"/>
              <w:spacing w:after="0"/>
              <w:rPr>
                <w:sz w:val="20"/>
                <w:szCs w:val="20"/>
                <w:color w:val="auto"/>
              </w:rPr>
            </w:pPr>
            <w:r>
              <w:rPr>
                <w:rFonts w:ascii="Times New Roman" w:cs="Times New Roman" w:eastAsia="Times New Roman" w:hAnsi="Times New Roman"/>
                <w:sz w:val="18"/>
                <w:szCs w:val="18"/>
                <w:b w:val="1"/>
                <w:bCs w:val="1"/>
                <w:color w:val="auto"/>
              </w:rPr>
              <w:t>01-0609375</w:t>
            </w:r>
          </w:p>
        </w:tc>
      </w:tr>
      <w:tr>
        <w:trPr>
          <w:trHeight w:val="166"/>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3"/>
                <w:szCs w:val="13"/>
                <w:b w:val="1"/>
                <w:bCs w:val="1"/>
                <w:color w:val="auto"/>
                <w:w w:val="96"/>
              </w:rPr>
              <w:t>(Commission File Number)</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r>
      <w:tr>
        <w:trPr>
          <w:trHeight w:val="345"/>
        </w:trPr>
        <w:tc>
          <w:tcPr>
            <w:tcW w:w="3060" w:type="dxa"/>
            <w:vAlign w:val="bottom"/>
          </w:tcPr>
          <w:p>
            <w:pPr>
              <w:jc w:val="center"/>
              <w:ind w:right="39"/>
              <w:spacing w:after="0"/>
              <w:rPr>
                <w:sz w:val="20"/>
                <w:szCs w:val="20"/>
                <w:color w:val="auto"/>
              </w:rPr>
            </w:pPr>
            <w:r>
              <w:rPr>
                <w:rFonts w:ascii="Times New Roman" w:cs="Times New Roman" w:eastAsia="Times New Roman" w:hAnsi="Times New Roman"/>
                <w:sz w:val="18"/>
                <w:szCs w:val="18"/>
                <w:b w:val="1"/>
                <w:bCs w:val="1"/>
                <w:color w:val="auto"/>
                <w:w w:val="99"/>
              </w:rPr>
              <w:t>2905 Premiere Parkway NW Suite 300</w:t>
            </w:r>
          </w:p>
        </w:tc>
        <w:tc>
          <w:tcPr>
            <w:tcW w:w="5560" w:type="dxa"/>
            <w:vAlign w:val="bottom"/>
          </w:tcPr>
          <w:p>
            <w:pPr>
              <w:spacing w:after="0"/>
              <w:rPr>
                <w:sz w:val="24"/>
                <w:szCs w:val="24"/>
                <w:color w:val="auto"/>
              </w:rPr>
            </w:pPr>
          </w:p>
        </w:tc>
      </w:tr>
      <w:tr>
        <w:trPr>
          <w:trHeight w:val="229"/>
        </w:trPr>
        <w:tc>
          <w:tcPr>
            <w:tcW w:w="3060" w:type="dxa"/>
            <w:vAlign w:val="bottom"/>
          </w:tcPr>
          <w:p>
            <w:pPr>
              <w:ind w:left="1060"/>
              <w:spacing w:after="0"/>
              <w:rPr>
                <w:sz w:val="20"/>
                <w:szCs w:val="20"/>
                <w:color w:val="auto"/>
              </w:rPr>
            </w:pPr>
            <w:r>
              <w:rPr>
                <w:rFonts w:ascii="Times New Roman" w:cs="Times New Roman" w:eastAsia="Times New Roman" w:hAnsi="Times New Roman"/>
                <w:sz w:val="18"/>
                <w:szCs w:val="18"/>
                <w:b w:val="1"/>
                <w:bCs w:val="1"/>
                <w:color w:val="auto"/>
              </w:rPr>
              <w:t>Duluth, GA</w:t>
            </w:r>
          </w:p>
        </w:tc>
        <w:tc>
          <w:tcPr>
            <w:tcW w:w="5560" w:type="dxa"/>
            <w:vAlign w:val="bottom"/>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30097</w:t>
            </w:r>
          </w:p>
        </w:tc>
      </w:tr>
      <w:tr>
        <w:trPr>
          <w:trHeight w:val="239"/>
        </w:trPr>
        <w:tc>
          <w:tcPr>
            <w:tcW w:w="3060" w:type="dxa"/>
            <w:vAlign w:val="bottom"/>
          </w:tcPr>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5560" w:type="dxa"/>
            <w:vAlign w:val="bottom"/>
          </w:tcPr>
          <w:p>
            <w:pPr>
              <w:jc w:val="center"/>
              <w:ind w:left="3659"/>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(770) 418-8200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52"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123825</wp:posOffset>
            </wp:positionV>
            <wp:extent cx="2425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332"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21"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94"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80" w:lineRule="exact"/>
        <w:rPr>
          <w:rFonts w:ascii="MS PGothic" w:cs="MS PGothic" w:eastAsia="MS PGothic" w:hAnsi="MS PGothic"/>
          <w:sz w:val="20"/>
          <w:szCs w:val="20"/>
          <w:color w:val="auto"/>
        </w:rPr>
      </w:pPr>
    </w:p>
    <w:p>
      <w:pPr>
        <w:ind w:left="400" w:hanging="392"/>
        <w:spacing w:after="0"/>
        <w:tabs>
          <w:tab w:leader="none" w:pos="4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4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38"/>
        </w:trPr>
        <w:tc>
          <w:tcPr>
            <w:tcW w:w="4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48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ABG</w:t>
            </w:r>
          </w:p>
        </w:tc>
        <w:tc>
          <w:tcPr>
            <w:tcW w:w="100" w:type="dxa"/>
            <w:vAlign w:val="bottom"/>
          </w:tcPr>
          <w:p>
            <w:pPr>
              <w:spacing w:after="0"/>
              <w:rPr>
                <w:sz w:val="19"/>
                <w:szCs w:val="19"/>
                <w:color w:val="auto"/>
              </w:rPr>
            </w:pPr>
          </w:p>
        </w:tc>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c>
          <w:tcPr>
            <w:tcW w:w="440" w:type="dxa"/>
            <w:vAlign w:val="bottom"/>
          </w:tcPr>
          <w:p>
            <w:pPr>
              <w:spacing w:after="0"/>
              <w:rPr>
                <w:sz w:val="19"/>
                <w:szCs w:val="19"/>
                <w:color w:val="auto"/>
              </w:rPr>
            </w:pPr>
          </w:p>
        </w:tc>
      </w:tr>
      <w:tr>
        <w:trPr>
          <w:trHeight w:val="1204"/>
        </w:trPr>
        <w:tc>
          <w:tcPr>
            <w:tcW w:w="4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 w:name="page2"/>
    <w:bookmarkEnd w:id="1"/>
    <w:p>
      <w:pPr>
        <w:ind w:right="360"/>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57" w:lineRule="exact"/>
        <w:rPr>
          <w:sz w:val="20"/>
          <w:szCs w:val="20"/>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7792085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9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75"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On June 6, 2025, Asbury Automotive Group, Inc. (the "Company") announced that its previously disclosed acquisition of the various automotive dealerships owned by The Herb Chambers Companies is now expected to close by the end of July 2025. The acquisition continues to be subject to various customary closing conditions, including among other things approval from the applicable licensing agencies.</w:t>
      </w:r>
    </w:p>
    <w:p>
      <w:pPr>
        <w:spacing w:after="0" w:line="122"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“filed” for the purpose of Section 18 of the Securities Exchange Act of 1934, as amended (the “Exchange Act”), or otherwise subject to the liabilities of that section, and shall not be incorporated by reference into any filing under the Securities Act of 1933, as amended, or the Exchange Act, except as shall be expressly set forth by specific reference in such filing.</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7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Private Securities Litigation Reform Act of 1995. Forward-looking statements are statements other than historical fact, and may include statements relating to goals, plans and objectives related to the consummation of the acquisition. These statements are based on management's current expectations and beliefs and involve significant risks and uncertainties that may cause results to differ materially from those set forth in the statements. These risks and uncertainties include, among other things, the Company’s inability to consummate the acquisition. These and other risk factors that could cause actual results to differ materially from those expressed or implied in our forward-looking statements are and will be discussed in the Company’s filings with the U.S. Securities and Exchange Commission from time to time, including its most recent annual report on Form 10-K and any subsequently filed quarterly reports on Form 10-Q. These forward-looking statements and such risks, uncertainties and other factors speak only as of the date of this communication. The Company undertakes no obligation to publicly update any forward-looking statement, whether as a result of new information, future events or otherwise.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800" w:hanging="387"/>
        <w:spacing w:after="0"/>
        <w:tabs>
          <w:tab w:leader="none" w:pos="8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3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exhibits are furnished as part of this report.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13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372"/>
        </w:trPr>
        <w:tc>
          <w:tcPr>
            <w:tcW w:w="800" w:type="dxa"/>
            <w:vAlign w:val="bottom"/>
          </w:tcPr>
          <w:p>
            <w:pPr>
              <w:spacing w:after="0"/>
              <w:rPr>
                <w:sz w:val="24"/>
                <w:szCs w:val="24"/>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27"/>
        </w:trPr>
        <w:tc>
          <w:tcPr>
            <w:tcW w:w="8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ASBURY AUTOMOTIVE GROUP,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5480" w:val="left"/>
          <w:tab w:leader="none" w:pos="6400" w:val="left"/>
        </w:tabs>
        <w:rPr>
          <w:sz w:val="20"/>
          <w:szCs w:val="20"/>
          <w:color w:val="auto"/>
        </w:rPr>
      </w:pPr>
      <w:r>
        <w:rPr>
          <w:rFonts w:ascii="Times New Roman" w:cs="Times New Roman" w:eastAsia="Times New Roman" w:hAnsi="Times New Roman"/>
          <w:sz w:val="18"/>
          <w:szCs w:val="18"/>
          <w:color w:val="auto"/>
        </w:rPr>
        <w:t>Date: June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Dean A. Calloway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17145</wp:posOffset>
            </wp:positionV>
            <wp:extent cx="31375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550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6"/>
          <w:szCs w:val="16"/>
          <w:b w:val="1"/>
          <w:bCs w:val="1"/>
          <w:color w:val="auto"/>
        </w:rPr>
        <w:t>Dean A. Calloway</w:t>
      </w:r>
    </w:p>
    <w:p>
      <w:pPr>
        <w:spacing w:after="0" w:line="23" w:lineRule="exact"/>
        <w:rPr>
          <w:sz w:val="20"/>
          <w:szCs w:val="20"/>
          <w:color w:val="auto"/>
        </w:rPr>
      </w:pPr>
    </w:p>
    <w:p>
      <w:pPr>
        <w:ind w:left="5500"/>
        <w:spacing w:after="0"/>
        <w:tabs>
          <w:tab w:leader="none" w:pos="64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6"/>
          <w:szCs w:val="16"/>
          <w:b w:val="1"/>
          <w:bCs w:val="1"/>
          <w:color w:val="auto"/>
        </w:rPr>
        <w:t>Senior Vice President, General Counsel &amp; Secretary</w:t>
      </w:r>
    </w:p>
    <w:sectPr>
      <w:pgSz w:w="11900" w:h="16838" w:orient="portrait"/>
      <w:cols w:equalWidth="0" w:num="1">
        <w:col w:w="10720"/>
      </w:cols>
      <w:pgMar w:left="320" w:top="887"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2025-06-06T15:29:29Z</dcterms:created>
  <dcterms:modified xsi:type="dcterms:W3CDTF">2025-06-06T15:29:29Z</dcterms:modified>
</cp:coreProperties>
</file>