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786765</wp:posOffset>
            </wp:positionV>
            <wp:extent cx="69291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12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753110</wp:posOffset>
            </wp:positionV>
            <wp:extent cx="6929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120" cy="8255"/>
                    </a:xfrm>
                    <a:prstGeom prst="rect">
                      <a:avLst/>
                    </a:prstGeom>
                    <a:noFill/>
                  </pic:spPr>
                </pic:pic>
              </a:graphicData>
            </a:graphic>
          </wp:anchor>
        </w:drawing>
        <w:t>UNITED STATES</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56515</wp:posOffset>
            </wp:positionV>
            <wp:extent cx="24091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85725</wp:posOffset>
            </wp:positionV>
            <wp:extent cx="24091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173355</wp:posOffset>
            </wp:positionV>
            <wp:extent cx="2409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6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54610</wp:posOffset>
            </wp:positionV>
            <wp:extent cx="2409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138" w:lineRule="exact"/>
        <w:rPr>
          <w:sz w:val="24"/>
          <w:szCs w:val="24"/>
          <w:color w:val="auto"/>
        </w:rPr>
      </w:pPr>
    </w:p>
    <w:tbl>
      <w:tblPr>
        <w:tblLayout w:type="fixed"/>
        <w:tblInd w:w="1480" w:type="dxa"/>
        <w:tblCellMar>
          <w:top w:w="0" w:type="dxa"/>
          <w:left w:w="0" w:type="dxa"/>
          <w:bottom w:w="0" w:type="dxa"/>
          <w:right w:w="0" w:type="dxa"/>
        </w:tblCellMar>
      </w:tblPr>
      <w:tr>
        <w:trPr>
          <w:trHeight w:val="237"/>
        </w:trPr>
        <w:tc>
          <w:tcPr>
            <w:tcW w:w="2600" w:type="dxa"/>
            <w:vAlign w:val="bottom"/>
          </w:tcPr>
          <w:p>
            <w:pPr>
              <w:spacing w:after="0"/>
              <w:rPr>
                <w:sz w:val="20"/>
                <w:szCs w:val="20"/>
                <w:color w:val="auto"/>
              </w:rPr>
            </w:pPr>
          </w:p>
        </w:tc>
        <w:tc>
          <w:tcPr>
            <w:tcW w:w="5780" w:type="dxa"/>
            <w:vAlign w:val="bottom"/>
          </w:tcPr>
          <w:p>
            <w:pPr>
              <w:jc w:val="center"/>
              <w:ind w:right="2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85"/>
        </w:trPr>
        <w:tc>
          <w:tcPr>
            <w:tcW w:w="2600" w:type="dxa"/>
            <w:vAlign w:val="bottom"/>
          </w:tcPr>
          <w:p>
            <w:pPr>
              <w:spacing w:after="0"/>
              <w:rPr>
                <w:sz w:val="16"/>
                <w:szCs w:val="16"/>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4"/>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7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5"/>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780" w:type="dxa"/>
            <w:vAlign w:val="bottom"/>
          </w:tcPr>
          <w:p>
            <w:pPr>
              <w:jc w:val="center"/>
              <w:ind w:left="3881"/>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2"/>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6655 Peachtree Dunwoody Road</w:t>
            </w:r>
          </w:p>
        </w:tc>
        <w:tc>
          <w:tcPr>
            <w:tcW w:w="5780" w:type="dxa"/>
            <w:vAlign w:val="bottom"/>
          </w:tcPr>
          <w:p>
            <w:pPr>
              <w:spacing w:after="0"/>
              <w:rPr>
                <w:sz w:val="24"/>
                <w:szCs w:val="24"/>
                <w:color w:val="auto"/>
              </w:rPr>
            </w:pPr>
          </w:p>
        </w:tc>
      </w:tr>
      <w:tr>
        <w:trPr>
          <w:trHeight w:val="228"/>
        </w:trPr>
        <w:tc>
          <w:tcPr>
            <w:tcW w:w="2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Atlanta, GA</w:t>
            </w:r>
          </w:p>
        </w:tc>
        <w:tc>
          <w:tcPr>
            <w:tcW w:w="5780" w:type="dxa"/>
            <w:vAlign w:val="bottom"/>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238"/>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780" w:type="dxa"/>
            <w:vAlign w:val="bottom"/>
          </w:tcPr>
          <w:p>
            <w:pPr>
              <w:jc w:val="center"/>
              <w:ind w:left="3881"/>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636"/>
        </w:trPr>
        <w:tc>
          <w:tcPr>
            <w:tcW w:w="2600" w:type="dxa"/>
            <w:vAlign w:val="bottom"/>
          </w:tcPr>
          <w:p>
            <w:pPr>
              <w:spacing w:after="0"/>
              <w:rPr>
                <w:sz w:val="24"/>
                <w:szCs w:val="24"/>
                <w:color w:val="auto"/>
              </w:rPr>
            </w:pPr>
          </w:p>
        </w:tc>
        <w:tc>
          <w:tcPr>
            <w:tcW w:w="5780" w:type="dxa"/>
            <w:vAlign w:val="bottom"/>
          </w:tcPr>
          <w:p>
            <w:pPr>
              <w:jc w:val="center"/>
              <w:ind w:right="2621"/>
              <w:spacing w:after="0"/>
              <w:rPr>
                <w:sz w:val="20"/>
                <w:szCs w:val="20"/>
                <w:color w:val="auto"/>
              </w:rPr>
            </w:pPr>
            <w:r>
              <w:rPr>
                <w:rFonts w:ascii="Times New Roman" w:cs="Times New Roman" w:eastAsia="Times New Roman" w:hAnsi="Times New Roman"/>
                <w:sz w:val="18"/>
                <w:szCs w:val="18"/>
                <w:b w:val="1"/>
                <w:bCs w:val="1"/>
                <w:color w:val="auto"/>
                <w:w w:val="99"/>
              </w:rPr>
              <w:t>(770) 418-8200</w:t>
            </w:r>
          </w:p>
        </w:tc>
      </w:tr>
      <w:tr>
        <w:trPr>
          <w:trHeight w:val="165"/>
        </w:trPr>
        <w:tc>
          <w:tcPr>
            <w:tcW w:w="2600" w:type="dxa"/>
            <w:vAlign w:val="bottom"/>
          </w:tcPr>
          <w:p>
            <w:pPr>
              <w:spacing w:after="0"/>
              <w:rPr>
                <w:sz w:val="14"/>
                <w:szCs w:val="14"/>
                <w:color w:val="auto"/>
              </w:rPr>
            </w:pPr>
          </w:p>
        </w:tc>
        <w:tc>
          <w:tcPr>
            <w:tcW w:w="5780" w:type="dxa"/>
            <w:vAlign w:val="bottom"/>
          </w:tcPr>
          <w:p>
            <w:pPr>
              <w:jc w:val="center"/>
              <w:ind w:right="2601"/>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121920</wp:posOffset>
            </wp:positionV>
            <wp:extent cx="2409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342"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7" w:lineRule="exact"/>
        <w:rPr>
          <w:rFonts w:ascii="MS PGothic" w:cs="MS PGothic" w:eastAsia="MS PGothic" w:hAnsi="MS PGothic"/>
          <w:sz w:val="20"/>
          <w:szCs w:val="20"/>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1" w:lineRule="exact"/>
        <w:rPr>
          <w:rFonts w:ascii="MS PGothic" w:cs="MS PGothic" w:eastAsia="MS PGothic" w:hAnsi="MS PGothic"/>
          <w:sz w:val="20"/>
          <w:szCs w:val="20"/>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0"/>
          <w:szCs w:val="20"/>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0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7"/>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460" w:type="dxa"/>
            <w:vAlign w:val="bottom"/>
          </w:tcPr>
          <w:p>
            <w:pPr>
              <w:spacing w:after="0"/>
              <w:rPr>
                <w:sz w:val="19"/>
                <w:szCs w:val="19"/>
                <w:color w:val="auto"/>
              </w:rPr>
            </w:pPr>
          </w:p>
        </w:tc>
      </w:tr>
      <w:tr>
        <w:trPr>
          <w:trHeight w:val="1208"/>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ind w:right="5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54" w:lineRule="exact"/>
        <w:rPr>
          <w:sz w:val="20"/>
          <w:szCs w:val="20"/>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7736205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79" w:lineRule="exact"/>
        <w:rPr>
          <w:sz w:val="20"/>
          <w:szCs w:val="20"/>
          <w:color w:val="auto"/>
        </w:rPr>
      </w:pPr>
    </w:p>
    <w:p>
      <w:pPr>
        <w:ind w:right="240" w:firstLine="402"/>
        <w:spacing w:after="0" w:line="279" w:lineRule="auto"/>
        <w:rPr>
          <w:sz w:val="20"/>
          <w:szCs w:val="20"/>
          <w:color w:val="auto"/>
        </w:rPr>
      </w:pPr>
      <w:r>
        <w:rPr>
          <w:rFonts w:ascii="Times New Roman" w:cs="Times New Roman" w:eastAsia="Times New Roman" w:hAnsi="Times New Roman"/>
          <w:sz w:val="18"/>
          <w:szCs w:val="18"/>
          <w:color w:val="auto"/>
        </w:rPr>
        <w:t>Asbury Automotive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an earnings release on April 28, 2026, announcing its financial results for the three months ended March 31, 2026. A copy of the earnings release is furnished as Exhibit 99.1 to this Current Report.</w:t>
      </w:r>
    </w:p>
    <w:p>
      <w:pPr>
        <w:spacing w:after="0" w:line="109"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including Exhibit 99.1,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6"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3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329"/>
        </w:trPr>
        <w:tc>
          <w:tcPr>
            <w:tcW w:w="800" w:type="dxa"/>
            <w:vAlign w:val="bottom"/>
          </w:tcPr>
          <w:p>
            <w:pPr>
              <w:spacing w:after="0"/>
              <w:rPr>
                <w:sz w:val="24"/>
                <w:szCs w:val="24"/>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April 28, 2026.</w:t>
            </w:r>
          </w:p>
        </w:tc>
      </w:tr>
      <w:tr>
        <w:trPr>
          <w:trHeight w:val="248"/>
        </w:trPr>
        <w:tc>
          <w:tcPr>
            <w:tcW w:w="1000" w:type="dxa"/>
            <w:vAlign w:val="bottom"/>
            <w:gridSpan w:val="2"/>
          </w:tcPr>
          <w:p>
            <w:pPr>
              <w:spacing w:after="0"/>
              <w:rPr>
                <w:sz w:val="21"/>
                <w:szCs w:val="21"/>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19"/>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2" w:lineRule="exact"/>
        <w:rPr>
          <w:sz w:val="20"/>
          <w:szCs w:val="20"/>
          <w:color w:val="auto"/>
        </w:rPr>
      </w:pPr>
    </w:p>
    <w:p>
      <w:pPr>
        <w:ind w:right="560" w:firstLine="442"/>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ASBURY AUTOMOTIVE GROUP, INC.</w:t>
            </w:r>
          </w:p>
        </w:tc>
      </w:tr>
      <w:tr>
        <w:trPr>
          <w:trHeight w:val="28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8"/>
                <w:szCs w:val="18"/>
                <w:color w:val="auto"/>
                <w:w w:val="97"/>
              </w:rPr>
              <w:t>/s/ Michael D. Welch</w:t>
            </w:r>
          </w:p>
        </w:tc>
      </w:tr>
      <w:tr>
        <w:trPr>
          <w:trHeight w:val="199"/>
        </w:trPr>
        <w:tc>
          <w:tcPr>
            <w:tcW w:w="3480" w:type="dxa"/>
            <w:vAlign w:val="bottom"/>
          </w:tcPr>
          <w:p>
            <w:pPr>
              <w:spacing w:after="0"/>
              <w:rPr>
                <w:sz w:val="17"/>
                <w:szCs w:val="17"/>
                <w:color w:val="auto"/>
              </w:rPr>
            </w:pPr>
          </w:p>
        </w:tc>
        <w:tc>
          <w:tcPr>
            <w:tcW w:w="2760" w:type="dxa"/>
            <w:vAlign w:val="bottom"/>
          </w:tcPr>
          <w:p>
            <w:pPr>
              <w:ind w:left="1980"/>
              <w:spacing w:after="0" w:line="199" w:lineRule="exact"/>
              <w:rPr>
                <w:sz w:val="20"/>
                <w:szCs w:val="20"/>
                <w:color w:val="auto"/>
              </w:rPr>
            </w:pPr>
            <w:r>
              <w:rPr>
                <w:rFonts w:ascii="Times New Roman" w:cs="Times New Roman" w:eastAsia="Times New Roman" w:hAnsi="Times New Roman"/>
                <w:sz w:val="18"/>
                <w:szCs w:val="18"/>
                <w:b w:val="1"/>
                <w:bCs w:val="1"/>
                <w:color w:val="auto"/>
              </w:rPr>
              <w:t>Name:</w:t>
            </w:r>
          </w:p>
        </w:tc>
        <w:tc>
          <w:tcPr>
            <w:tcW w:w="4940" w:type="dxa"/>
            <w:vAlign w:val="bottom"/>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9"/>
              </w:rPr>
              <w:t>Michael D. Welch</w:t>
            </w:r>
          </w:p>
        </w:tc>
      </w:tr>
      <w:tr>
        <w:trPr>
          <w:trHeight w:val="237"/>
        </w:trPr>
        <w:tc>
          <w:tcPr>
            <w:tcW w:w="3480" w:type="dxa"/>
            <w:vAlign w:val="bottom"/>
          </w:tcPr>
          <w:p>
            <w:pPr>
              <w:spacing w:after="0"/>
              <w:rPr>
                <w:sz w:val="20"/>
                <w:szCs w:val="20"/>
                <w:color w:val="auto"/>
              </w:rPr>
            </w:pP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40" w:type="dxa"/>
            <w:vAlign w:val="bottom"/>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tc>
      </w:tr>
    </w:tbl>
    <w:p>
      <w:pPr>
        <w:sectPr>
          <w:pgSz w:w="11900" w:h="16838" w:orient="portrait"/>
          <w:cols w:equalWidth="0" w:num="1">
            <w:col w:w="11220"/>
          </w:cols>
          <w:pgMar w:left="320" w:top="881" w:right="3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3021965" cy="604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21965"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Investors &amp; Reporters May Contact:</w:t>
      </w:r>
    </w:p>
    <w:p>
      <w:pPr>
        <w:spacing w:after="0" w:line="2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Joe Sorice</w:t>
      </w:r>
    </w:p>
    <w:p>
      <w:pPr>
        <w:spacing w:after="0" w:line="5"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Sr. Manager, Investor Relations</w:t>
      </w:r>
    </w:p>
    <w:p>
      <w:pPr>
        <w:spacing w:after="0" w:line="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(770) 418-8211</w:t>
      </w:r>
    </w:p>
    <w:p>
      <w:pPr>
        <w:spacing w:after="0" w:line="5"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ir@asburyauto.com</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Asbury Automotive Group Reports First Quarter Results</w:t>
      </w:r>
    </w:p>
    <w:p>
      <w:pPr>
        <w:spacing w:after="0" w:line="90" w:lineRule="exact"/>
        <w:rPr>
          <w:sz w:val="20"/>
          <w:szCs w:val="20"/>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Revenue of $4.1 billion</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Gross Profit of $727 million</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Used Retail Gross Profit per Unit of $1,847, growth of 16%</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EPS of $9.87 per diluted share; adjusted EPS, a non-GAAP measure, of $5.37 per diluted share</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Net income of $188 million; adjusted net income, a non-GAAP measure, of $102 million</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Repurchased approximately 678,000 shares for $147 million</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Over 50% of stores converted to Tekion as of April 28, 2026</w:t>
      </w:r>
    </w:p>
    <w:p>
      <w:pPr>
        <w:spacing w:after="0" w:line="205" w:lineRule="exact"/>
        <w:rPr>
          <w:sz w:val="20"/>
          <w:szCs w:val="20"/>
          <w:color w:val="auto"/>
        </w:rPr>
      </w:pPr>
    </w:p>
    <w:p>
      <w:pPr>
        <w:ind w:right="120" w:firstLine="18"/>
        <w:spacing w:after="0" w:line="246" w:lineRule="auto"/>
        <w:rPr>
          <w:sz w:val="20"/>
          <w:szCs w:val="20"/>
          <w:color w:val="auto"/>
        </w:rPr>
      </w:pPr>
      <w:r>
        <w:rPr>
          <w:rFonts w:ascii="Times New Roman" w:cs="Times New Roman" w:eastAsia="Times New Roman" w:hAnsi="Times New Roman"/>
          <w:sz w:val="21"/>
          <w:szCs w:val="21"/>
          <w:color w:val="auto"/>
        </w:rPr>
        <w:t>ATLANTA, GA. (April 28, 2026) — Asbury Automotive Group, Inc. (NYSE: ABG) (the “Company”), one of the largest automotive retail and service companies in the U.S., reported first quarter 2026 net income of $188 million ($9.87 per diluted share), an increase of 42% from $132 million ($6.71 per diluted share) in first quarter 2025. The Company reported first quarter 2026 adjusted net income, a non-GAAP measure, of $102 million ($5.37 per diluted share), a decrease of 24% from $134 million ($6.82 per diluted share) in first quarter 2025. The Company also divested ten dealerships and terminated seven franchises during the first quarter 2026 as part of ongoing capital allocation and portfolio optimization efforts. The thirteen stores contributed an estimated annualized revenue of $625 million. The net proceeds from the ten divested stores were approximately $210 million.</w:t>
      </w:r>
    </w:p>
    <w:p>
      <w:pPr>
        <w:spacing w:after="0" w:line="117" w:lineRule="exact"/>
        <w:rPr>
          <w:sz w:val="20"/>
          <w:szCs w:val="20"/>
          <w:color w:val="auto"/>
        </w:rPr>
      </w:pPr>
    </w:p>
    <w:p>
      <w:pPr>
        <w:ind w:right="20" w:firstLine="18"/>
        <w:spacing w:after="0" w:line="244" w:lineRule="auto"/>
        <w:rPr>
          <w:sz w:val="20"/>
          <w:szCs w:val="20"/>
          <w:color w:val="auto"/>
        </w:rPr>
      </w:pPr>
      <w:r>
        <w:rPr>
          <w:rFonts w:ascii="Times New Roman" w:cs="Times New Roman" w:eastAsia="Times New Roman" w:hAnsi="Times New Roman"/>
          <w:sz w:val="21"/>
          <w:szCs w:val="21"/>
          <w:color w:val="auto"/>
        </w:rPr>
        <w:t>“We are making great strides towards meeting our strategic objectives, including the rollout of Tekion across our stores,” said David Hult, Asbury’s President and Chief Executive Officer. “We continued to be disciplined within our capital allocation framework during the quarter. We took opportunities to optimize our portfolio at attractive multiples, utilizing the proceeds to both reduce our debt and return capital to our shareholders. While adverse weather and the expected learning curve associated with the adoption and integration of the new DMS occurred in the quarter, we believe the foundational investments we've made position us to drive meaningful efficiency gains and improved performance as we progress through the year.”</w:t>
      </w:r>
    </w:p>
    <w:p>
      <w:pPr>
        <w:spacing w:after="0" w:line="136" w:lineRule="exact"/>
        <w:rPr>
          <w:sz w:val="20"/>
          <w:szCs w:val="20"/>
          <w:color w:val="auto"/>
        </w:rPr>
      </w:pPr>
    </w:p>
    <w:p>
      <w:pPr>
        <w:ind w:right="140" w:firstLine="18"/>
        <w:spacing w:after="0" w:line="278" w:lineRule="auto"/>
        <w:rPr>
          <w:sz w:val="20"/>
          <w:szCs w:val="20"/>
          <w:color w:val="auto"/>
        </w:rPr>
      </w:pPr>
      <w:r>
        <w:rPr>
          <w:rFonts w:ascii="Times New Roman" w:cs="Times New Roman" w:eastAsia="Times New Roman" w:hAnsi="Times New Roman"/>
          <w:sz w:val="21"/>
          <w:szCs w:val="21"/>
          <w:color w:val="auto"/>
        </w:rPr>
        <w:t>The financial measures discussed below include both GAAP and adjusted (non-GAAP) financial measures. Please see “Non-GAAP Financial Disclosure and Reconciliation, Same Store Data and Other Data” and the reconciliations for non-GAAP metrics used herein.</w:t>
      </w:r>
    </w:p>
    <w:p>
      <w:pPr>
        <w:spacing w:after="0" w:line="99" w:lineRule="exact"/>
        <w:rPr>
          <w:sz w:val="20"/>
          <w:szCs w:val="20"/>
          <w:color w:val="auto"/>
        </w:rPr>
      </w:pPr>
    </w:p>
    <w:p>
      <w:pPr>
        <w:ind w:firstLine="18"/>
        <w:spacing w:after="0" w:line="290" w:lineRule="auto"/>
        <w:rPr>
          <w:sz w:val="20"/>
          <w:szCs w:val="20"/>
          <w:color w:val="auto"/>
        </w:rPr>
      </w:pPr>
      <w:r>
        <w:rPr>
          <w:rFonts w:ascii="Times New Roman" w:cs="Times New Roman" w:eastAsia="Times New Roman" w:hAnsi="Times New Roman"/>
          <w:sz w:val="21"/>
          <w:szCs w:val="21"/>
          <w:color w:val="auto"/>
        </w:rPr>
        <w:t>Adjusted net income for first quarter 2026 excludes, net of tax, net gain on divestitures of $94 million ($4.96 per diluted share), $5 million ($0.24 per diluted share) related to Tekion implementation expenses,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$3 million ($0.15 per diluted share) of weather-related losses, and $1 million ($0.08 per diluted share) related to duplicative DMS-related expenses.</w:t>
      </w:r>
    </w:p>
    <w:p>
      <w:pPr>
        <w:spacing w:after="0" w:line="87" w:lineRule="exact"/>
        <w:rPr>
          <w:sz w:val="20"/>
          <w:szCs w:val="20"/>
          <w:color w:val="auto"/>
        </w:rPr>
      </w:pPr>
    </w:p>
    <w:p>
      <w:pPr>
        <w:ind w:right="80" w:firstLine="18"/>
        <w:spacing w:after="0" w:line="270" w:lineRule="auto"/>
        <w:rPr>
          <w:sz w:val="20"/>
          <w:szCs w:val="20"/>
          <w:color w:val="auto"/>
        </w:rPr>
      </w:pPr>
      <w:r>
        <w:rPr>
          <w:rFonts w:ascii="Times New Roman" w:cs="Times New Roman" w:eastAsia="Times New Roman" w:hAnsi="Times New Roman"/>
          <w:sz w:val="21"/>
          <w:szCs w:val="21"/>
          <w:color w:val="auto"/>
        </w:rPr>
        <w:t>Adjusted net income for first quarter 2025 excludes, net of tax, $11 million of non-cash asset impairments ($0.54 per diluted share), $7 million of cyber insurance recovery proceeds ($0.38 per diluted share), $3 million related to gain on divestitures ($0.16 per diluted share) and $2 million of professional fees related to the acquisition of The Herb Chambers Automotive Group ($0.11 per diluted share).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First Quarter 2026 Operational Summary</w:t>
      </w:r>
    </w:p>
    <w:p>
      <w:pPr>
        <w:spacing w:after="0" w:line="1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Total Company:</w:t>
      </w:r>
    </w:p>
    <w:p>
      <w:pPr>
        <w:spacing w:after="0" w:line="84" w:lineRule="exact"/>
        <w:rPr>
          <w:sz w:val="20"/>
          <w:szCs w:val="20"/>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 of $4.1 billion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profit of $727 million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margin of 17.7%</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vehicle revenue of $2.1 billion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vehicle retail revenue of $1.1 billion; used vehicle retail gross profit of $61 million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Finance and insurance (F&amp;I) per vehicle retailed (PVR) of $2,302</w:t>
      </w:r>
    </w:p>
    <w:p>
      <w:pPr>
        <w:spacing w:after="0" w:line="8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Parts and service revenue of $627 million; gross profit of $365 million</w:t>
      </w:r>
    </w:p>
    <w:p>
      <w:pPr>
        <w:spacing w:after="0" w:line="6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Selling, General and Administrative expenses (SG&amp;A) as a percentage of gross profit of 70.2%</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SG&amp;A as a percentage of gross profit of 68.6%</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4.7%</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5.0%</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Same Store:</w:t>
      </w:r>
    </w:p>
    <w:p>
      <w:pPr>
        <w:spacing w:after="0" w:line="71" w:lineRule="exact"/>
        <w:rPr>
          <w:sz w:val="20"/>
          <w:szCs w:val="20"/>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 of $3.5 billion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profit of $616 million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margin of 17.7%</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vehicle revenue of $1.8 billion</w:t>
      </w:r>
    </w:p>
    <w:p>
      <w:pPr>
        <w:spacing w:after="0" w:line="8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vehicle retail revenue of $881 million; used vehicle retail gross profit of $52 million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F&amp;I PVR of $2,307</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Parts and service revenue of $534 million; gross profit of $309 million</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SG&amp;A as a percentage of gross profit of 68.7%</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SG&amp;A as a percentage of gross profit of 66.9%</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5.0%</w:t>
      </w:r>
    </w:p>
    <w:p>
      <w:pPr>
        <w:spacing w:after="0" w:line="8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Liquidity and Leverage</w:t>
      </w:r>
    </w:p>
    <w:p>
      <w:pPr>
        <w:spacing w:after="0" w:line="12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21"/>
          <w:szCs w:val="21"/>
          <w:color w:val="auto"/>
        </w:rPr>
        <w:t>As of March 31, 2026, the Company had cash, short term investments, and floorplan offset accounts of $257 million (which excludes $19 million of cash at Total Care Auto, Powered by Asbury) and availability under the used vehicle floorplan line and revolver of $917 million for a total of $1.2 billion in liquidity. The Company’s transaction adjusted net leverage ratio was 3.2x at quarter end.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Share Repurchases</w:t>
      </w:r>
    </w:p>
    <w:p>
      <w:pPr>
        <w:spacing w:after="0" w:line="124"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21"/>
          <w:szCs w:val="21"/>
          <w:color w:val="auto"/>
        </w:rPr>
        <w:t>The Company repurchased approximately 678,000 shares for $147 million during the first quarter 2026. On February 25, 2026, the Company announced its board of directors approved an increase in the authorization</w:t>
      </w:r>
    </w:p>
    <w:p>
      <w:pPr>
        <w:sectPr>
          <w:pgSz w:w="11900" w:h="16838" w:orient="portrait"/>
          <w:cols w:equalWidth="0" w:num="1">
            <w:col w:w="11220"/>
          </w:cols>
          <w:pgMar w:left="320" w:top="1440" w:right="359" w:bottom="9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440" w:right="359" w:bottom="901"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0"/>
        <w:spacing w:after="0" w:line="290" w:lineRule="auto"/>
        <w:rPr>
          <w:sz w:val="20"/>
          <w:szCs w:val="20"/>
          <w:color w:val="auto"/>
        </w:rPr>
      </w:pPr>
      <w:r>
        <w:rPr>
          <w:rFonts w:ascii="Times New Roman" w:cs="Times New Roman" w:eastAsia="Times New Roman" w:hAnsi="Times New Roman"/>
          <w:sz w:val="21"/>
          <w:szCs w:val="21"/>
          <w:color w:val="auto"/>
        </w:rPr>
        <w:t>of the share repurchase plan to an availability of $500 million. As of March 31, 2026, the Company had approximately $453 million remaining on its share repurchase authorization.</w:t>
      </w:r>
    </w:p>
    <w:p>
      <w:pPr>
        <w:spacing w:after="0" w:line="8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21"/>
          <w:szCs w:val="21"/>
          <w:color w:val="auto"/>
        </w:rPr>
        <w:t>The shares may be purchased from time to time in the open market, in privately negotiated transactions or in other manners as permitted by federal securities laws and other legal and contractual requirements. 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Earnings Call</w:t>
      </w:r>
    </w:p>
    <w:p>
      <w:pPr>
        <w:spacing w:after="0" w:line="124"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21"/>
          <w:szCs w:val="21"/>
          <w:color w:val="auto"/>
        </w:rPr>
        <w:t>Additional commentary regarding the first quarter results will be provided during the earnings conference call on Tuesday, April 28, 2026, at 10:00 a.m. ET.</w:t>
      </w:r>
    </w:p>
    <w:p>
      <w:pPr>
        <w:spacing w:after="0" w:line="87"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21"/>
          <w:szCs w:val="21"/>
          <w:color w:val="auto"/>
        </w:rPr>
        <w:t xml:space="preserve">The conference call will be simulcast live on the internet. The webcast, together with supplemental materials, can be accessed by logging onto </w:t>
      </w:r>
      <w:r>
        <w:rPr>
          <w:rFonts w:ascii="Times New Roman" w:cs="Times New Roman" w:eastAsia="Times New Roman" w:hAnsi="Times New Roman"/>
          <w:sz w:val="21"/>
          <w:szCs w:val="21"/>
          <w:u w:val="single" w:color="auto"/>
          <w:color w:val="0000ED"/>
        </w:rPr>
        <w:t>https://investors.asburyauto.com</w:t>
      </w:r>
      <w:r>
        <w:rPr>
          <w:rFonts w:ascii="Times New Roman" w:cs="Times New Roman" w:eastAsia="Times New Roman" w:hAnsi="Times New Roman"/>
          <w:sz w:val="21"/>
          <w:szCs w:val="21"/>
          <w:color w:val="auto"/>
        </w:rPr>
        <w:t>. A replay and the accompanying materials will be available on this site for at least 30 days.</w:t>
      </w:r>
    </w:p>
    <w:p>
      <w:pPr>
        <w:spacing w:after="0" w:line="120"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21"/>
          <w:szCs w:val="21"/>
          <w:color w:val="auto"/>
        </w:rPr>
        <w:t>In addition, live audio will be accessible to the public. Participants may enter the conference call five to ten minutes prior to the scheduled start of the call by dialing:</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16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Domestic:</w:t>
            </w:r>
          </w:p>
        </w:tc>
        <w:tc>
          <w:tcPr>
            <w:tcW w:w="21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(877) 407-2988</w:t>
            </w:r>
          </w:p>
        </w:tc>
      </w:tr>
      <w:tr>
        <w:trPr>
          <w:trHeight w:val="288"/>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International:</w:t>
            </w: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+1 (201) 389-0923</w:t>
            </w:r>
          </w:p>
        </w:tc>
      </w:tr>
      <w:tr>
        <w:trPr>
          <w:trHeight w:val="288"/>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Passcode:</w:t>
            </w: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13759872</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Asbury Automotive Group, Inc.</w:t>
      </w:r>
    </w:p>
    <w:p>
      <w:pPr>
        <w:spacing w:after="0" w:line="1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Asbury Automotive Group, Inc. (NYSE: ABG), a Fortune 500 company headquartered in Atlanta, Georgia,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March 31, 2026, Asbury operates 158 new vehicle dealerships, consisting of 202 franchises and representing 34 domestic and foreign brands of vehicles. Asbury also operates Total Care Auto, Powered by Asbury, a leading provider of service contracts and other vehicle protection products, and 37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one of the World’s Most Trustworthy Companies for 2024 and 2025 by Newsweek, and one of America’s Most Successful Small-Cap Companies by Forbes for 2026.</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additional information, visit </w:t>
      </w:r>
      <w:r>
        <w:rPr>
          <w:rFonts w:ascii="Times New Roman" w:cs="Times New Roman" w:eastAsia="Times New Roman" w:hAnsi="Times New Roman"/>
          <w:sz w:val="21"/>
          <w:szCs w:val="21"/>
          <w:u w:val="single" w:color="auto"/>
          <w:color w:val="0000ED"/>
        </w:rPr>
        <w:t>www.asburyauto.com</w:t>
      </w:r>
      <w:r>
        <w:rPr>
          <w:rFonts w:ascii="Times New Roman" w:cs="Times New Roman" w:eastAsia="Times New Roman" w:hAnsi="Times New Roman"/>
          <w:sz w:val="21"/>
          <w:szCs w:val="21"/>
          <w:u w:val="single" w:color="auto"/>
          <w:color w:val="0000FF"/>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Statements</w:t>
      </w:r>
    </w:p>
    <w:p>
      <w:pPr>
        <w:spacing w:after="0" w:line="124"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and assumptions, and</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20" w:top="1440" w:right="37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1"/>
          <w:szCs w:val="21"/>
          <w:color w:val="auto"/>
        </w:rPr>
        <w:t>projections regarding Asbury's financial position, liquidity, results of operations, cash flows, leverage, market position, the timing and amount of any stock repurchases, optimization of our dealership portfolio, revenue enhancement strategies, operational improvements; projections regarding the expected benefits of present and new technologies, the ability to implement those technologies, and the ability to transition to new technologies from existing systems, including the transition of Asbury's dealer management system to Tekion; management’s plans, projections and objectives for future operations, scale and performance, integration plans and expected synergies from acquisitions, capital allocation strategy, and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adverse outcomes with respect to current and future litigation and other proceedings; our inability to realize the benefits expected from recently completed transactions; our inability to promptly and effectively integrate completed transactions and the diversion of management’s attention from ongoing business and regular business responsibilities; our inability to complete future acquisitions or divestitures and the risks resulting therefrom; any supply chain disruptions impacting our industry and business; market factors and changes thereto, including changes related to trade; Asbury's relationships with, and the financial and operational stability of, vehicle manufacturers and other suppliers, including in response to the imposition of tariffs; acts of God and other natural disasters, including hurricanes; acts of war or similar incidents, including the present dispute between the United States and Iran; the shortage of automotive parts and components, which may adversely impact supply from vehicle manufacturers and/or present retail sales challenges; risks associated with Asbury's indebtedness and our ability to comply with applicable covenants in our various financing agreements, or to obtain waivers of these covenants as necessary; risks associated with technology integration and implementation; risks related to competition in the automotive retail and service industries, general economic conditions both nationally and locally; governmental regulations and legislation, including changes in automotive state franchise laws and tariffs; our ability to execute our strategic and operational strategies and initiatives, and our ability to leverage gains from Asbury’s dealership portfolio; our ability to capitalize on opportunities to repurchase Asbury’s debt and equity securities or purchase properties that Asbury currently leases; and our ability to stay within Asbury’s targeted range for capital expenditures. There can be no guarantees that Asbury's plans for future operations will be successfully implemented or that they will prove to be commercially successful.</w:t>
      </w:r>
    </w:p>
    <w:p>
      <w:pPr>
        <w:spacing w:after="0" w:line="38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Non-GAAP Financial Disclosure and Reconciliation, Same Store Data and Other Data</w:t>
      </w:r>
    </w:p>
    <w:p>
      <w:pPr>
        <w:spacing w:after="0" w:line="1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In addition to evaluating the financial condition and results of our operations in accordance with GAAP, from time to time management evaluates and analyzes results and any impact on the Company of strategic decisions and actions relating to, among other things, cost reduction, growth, and profitability improvement initiatives, and other events outside of normal or "core" business and operations, by considering certain alternative financial measures not prepared in accordance with GAAP. These measures include "Adjusted income from operations," "Adjusted net income," "Adjusted operating margins," "Adjusted EBITDA," "Adjusted diluted earnings per share ("EPS")," "Adjusted SG&amp;A," "Adjusted operating cash flow," "Transaction adjusted EBITDA" and "Transaction adjusted net leverage ratio." Further, management assesses the organic growth of our revenue and gross profit on a same store basis. We believe that our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21"/>
          <w:szCs w:val="21"/>
          <w:color w:val="auto"/>
        </w:rPr>
        <w:t>assessment on a same store basis represents an important indicator of comparative financial performance and provides relevant information to assess our performance at our existing locations.</w:t>
      </w:r>
    </w:p>
    <w:p>
      <w:pPr>
        <w:spacing w:after="0" w:line="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Due to the significant effects that dealership acquisitions and divestitures have on our results of operations, and in order to provide more meaningful comparisons, we present herein "Transaction adjusted EBITDA" and "Transaction adjusted net leverage ratio" (collectively, the "Transaction Adjusted Metrics"), which reflect the effects of the dealership acquisitions and divestitures, if any, as if they had occurred on the first day of the last twelve-month periods being presented. For acquisitions, the pre-acquisition period amount being included in Transaction adjusted EBITDA is determined by pro-rating the forecasted adjusted EBITDA for the year following the acquisition(s). For divestitures, including divestitures due to requirements in connection with an acquisition, the adjusted EBITDA associated with the divestiture(s) is excluded from Transaction adjusted EBITDA. We believe the Transaction Adjusted Metrics provide relevant information to assess our performance at our existing dealership locations for the last twelve-month periods being presented.</w:t>
      </w:r>
    </w:p>
    <w:p>
      <w:pPr>
        <w:spacing w:after="0" w:line="11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21"/>
          <w:szCs w:val="21"/>
          <w:color w:val="auto"/>
        </w:rPr>
        <w:t>The Transaction Adjusted Metrics do not include any adjustments for other events attributable to the dealership acquisitions or divestitures unless otherwise described. We cannot assure you that such financial information would not be materially different if such information were audited or that our actual results would not differ materially from the Transaction Adjusted Metrics if the dealership acquisitions or divestitures had been completed as of the beginning of the last twelve-month periods being presented.</w:t>
      </w:r>
    </w:p>
    <w:p>
      <w:pPr>
        <w:spacing w:after="0" w:line="113"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1"/>
          <w:szCs w:val="21"/>
          <w:color w:val="auto"/>
        </w:rPr>
        <w:t>Same store amounts consist of information from dealerships for identical months in each comparative period, commencing with the first month we owned the dealership. Additionally, amounts related to divested dealerships are excluded from each comparative period.</w:t>
      </w:r>
    </w:p>
    <w:p>
      <w:pPr>
        <w:spacing w:after="0" w:line="99" w:lineRule="exact"/>
        <w:rPr>
          <w:sz w:val="20"/>
          <w:szCs w:val="20"/>
          <w:color w:val="auto"/>
        </w:rPr>
      </w:pPr>
    </w:p>
    <w:p>
      <w:pPr>
        <w:ind w:right="740"/>
        <w:spacing w:after="0" w:line="290" w:lineRule="auto"/>
        <w:rPr>
          <w:sz w:val="20"/>
          <w:szCs w:val="20"/>
          <w:color w:val="auto"/>
        </w:rPr>
      </w:pPr>
      <w:r>
        <w:rPr>
          <w:rFonts w:ascii="Times New Roman" w:cs="Times New Roman" w:eastAsia="Times New Roman" w:hAnsi="Times New Roman"/>
          <w:sz w:val="21"/>
          <w:szCs w:val="21"/>
          <w:color w:val="auto"/>
        </w:rPr>
        <w:t>Amounts presented herein have been calculated using non-rounded amounts for all periods presented and therefore certain amounts may not compute.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(In millions, except per share data)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11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7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used vehicle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7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77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used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8"/>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7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7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7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7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Disclosures-Consolidated (In millions)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17"/>
                <w:szCs w:val="17"/>
                <w:color w:val="auto"/>
              </w:rPr>
            </w:pPr>
          </w:p>
        </w:tc>
        <w:tc>
          <w:tcPr>
            <w:tcW w:w="12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BALANCE SHEET DATA</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net (a)</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3,932.1</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1"/>
        </w:trPr>
        <w:tc>
          <w:tcPr>
            <w:tcW w:w="4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7,457.8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7,463.9</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Excluding $10.5 million and $96.5 million of inventory classified as assets held for sale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606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Days Supply</w:t>
            </w:r>
          </w:p>
        </w:tc>
        <w:tc>
          <w:tcPr>
            <w:tcW w:w="14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New vehicle inventory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8"/>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Used vehicle inventory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supply of inventory is calculated based on new and used inventory, in units, at the end of each reporting period and a 30-day historical unit sales.</w:t>
      </w:r>
    </w:p>
    <w:p>
      <w:pPr>
        <w:sectPr>
          <w:pgSz w:w="11900" w:h="16838" w:orient="portrait"/>
          <w:cols w:equalWidth="0" w:num="1">
            <w:col w:w="11340"/>
          </w:cols>
          <w:pgMar w:left="32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340"/>
          </w:cols>
          <w:pgMar w:left="320" w:top="1440" w:right="2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8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Brand Mix - New Vehicle Revenue by Brand</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68"/>
        </w:trPr>
        <w:tc>
          <w:tcPr>
            <w:tcW w:w="80" w:type="dxa"/>
            <w:vAlign w:val="bottom"/>
            <w:tcBorders>
              <w:right w:val="single" w:sz="8" w:color="CCEEFF"/>
            </w:tcBorders>
          </w:tcPr>
          <w:p>
            <w:pPr>
              <w:spacing w:after="0"/>
              <w:rPr>
                <w:sz w:val="14"/>
                <w:szCs w:val="14"/>
                <w:color w:val="auto"/>
              </w:rPr>
            </w:pPr>
          </w:p>
        </w:tc>
        <w:tc>
          <w:tcPr>
            <w:tcW w:w="860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Luxury</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Lexus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Mercedes-Benz</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BMW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Porsche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Land Rover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luxury</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luxury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188"/>
        </w:trPr>
        <w:tc>
          <w:tcPr>
            <w:tcW w:w="80" w:type="dxa"/>
            <w:vAlign w:val="bottom"/>
            <w:tcBorders>
              <w:right w:val="single" w:sz="8" w:color="CCEEFF"/>
            </w:tcBorders>
          </w:tcPr>
          <w:p>
            <w:pPr>
              <w:spacing w:after="0"/>
              <w:rPr>
                <w:sz w:val="16"/>
                <w:szCs w:val="16"/>
                <w:color w:val="auto"/>
              </w:rPr>
            </w:pPr>
          </w:p>
        </w:tc>
        <w:tc>
          <w:tcPr>
            <w:tcW w:w="860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Imports</w:t>
            </w: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Toyota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Honda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Hyundai</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Kia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8"/>
                <w:szCs w:val="18"/>
                <w:color w:val="auto"/>
              </w:rPr>
              <w:t>Other imports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1"/>
        </w:trPr>
        <w:tc>
          <w:tcPr>
            <w:tcW w:w="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imports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860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Domestic</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Chrysler, Dodge, Jeep, Ram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Chevrolet, Buick, GMC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6"/>
        </w:trPr>
        <w:tc>
          <w:tcPr>
            <w:tcW w:w="80" w:type="dxa"/>
            <w:vAlign w:val="bottom"/>
            <w:tcBorders>
              <w:right w:val="single" w:sz="8" w:color="CCEEFF"/>
            </w:tcBorders>
          </w:tcPr>
          <w:p>
            <w:pPr>
              <w:spacing w:after="0"/>
              <w:rPr>
                <w:sz w:val="20"/>
                <w:szCs w:val="20"/>
                <w:color w:val="auto"/>
              </w:rPr>
            </w:pPr>
          </w:p>
        </w:tc>
        <w:tc>
          <w:tcPr>
            <w:tcW w:w="8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New Vehicle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68"/>
        </w:trPr>
        <w:tc>
          <w:tcPr>
            <w:tcW w:w="80" w:type="dxa"/>
            <w:vAlign w:val="bottom"/>
            <w:tcBorders>
              <w:right w:val="single" w:sz="8" w:color="CCEEFF"/>
            </w:tcBorders>
          </w:tcPr>
          <w:p>
            <w:pPr>
              <w:spacing w:after="0"/>
              <w:rPr>
                <w:sz w:val="14"/>
                <w:szCs w:val="14"/>
                <w:color w:val="auto"/>
              </w:rPr>
            </w:pPr>
          </w:p>
        </w:tc>
        <w:tc>
          <w:tcPr>
            <w:tcW w:w="860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Revenue mix</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Used vehicle wholesale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6"/>
        </w:trPr>
        <w:tc>
          <w:tcPr>
            <w:tcW w:w="80" w:type="dxa"/>
            <w:vAlign w:val="bottom"/>
            <w:tcBorders>
              <w:right w:val="single" w:sz="8" w:color="CCEEFF"/>
            </w:tcBorders>
          </w:tcPr>
          <w:p>
            <w:pPr>
              <w:spacing w:after="0"/>
              <w:rPr>
                <w:sz w:val="20"/>
                <w:szCs w:val="20"/>
                <w:color w:val="auto"/>
              </w:rPr>
            </w:pPr>
          </w:p>
        </w:tc>
        <w:tc>
          <w:tcPr>
            <w:tcW w:w="86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0" w:type="dxa"/>
            <w:vAlign w:val="bottom"/>
            <w:tcBorders>
              <w:top w:val="single" w:sz="8" w:color="CCEEFF"/>
              <w:bottom w:val="single" w:sz="8" w:color="CCEEFF"/>
            </w:tcBorders>
            <w:gridSpan w:val="6"/>
            <w:vMerge w:val="restart"/>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Gross profit mix</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0" w:type="dxa"/>
            <w:vAlign w:val="bottom"/>
          </w:tcPr>
          <w:p>
            <w:pPr>
              <w:spacing w:after="0"/>
              <w:rPr>
                <w:sz w:val="11"/>
                <w:szCs w:val="11"/>
                <w:color w:val="auto"/>
              </w:rPr>
            </w:pPr>
          </w:p>
        </w:tc>
        <w:tc>
          <w:tcPr>
            <w:tcW w:w="8600" w:type="dxa"/>
            <w:vAlign w:val="bottom"/>
            <w:gridSpan w:val="6"/>
            <w:vMerge w:val="continue"/>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wholesale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80"/>
          </w:cols>
          <w:pgMar w:left="320" w:top="1440" w:right="39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HIGHLIGHTS-CONSOLIDATED (In millions)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6"/>
          <w:szCs w:val="16"/>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31,</w:t>
            </w:r>
          </w:p>
        </w:tc>
        <w:tc>
          <w:tcPr>
            <w:tcW w:w="940" w:type="dxa"/>
            <w:vAlign w:val="bottom"/>
            <w:tcBorders>
              <w:bottom w:val="single" w:sz="8" w:color="auto"/>
            </w:tcBorders>
          </w:tcPr>
          <w:p>
            <w:pPr>
              <w:spacing w:after="0"/>
              <w:rPr>
                <w:sz w:val="18"/>
                <w:szCs w:val="18"/>
                <w:color w:val="auto"/>
              </w:rPr>
            </w:pPr>
          </w:p>
        </w:tc>
        <w:tc>
          <w:tcPr>
            <w:tcW w:w="1200" w:type="dxa"/>
            <w:vAlign w:val="bottom"/>
            <w:gridSpan w:val="2"/>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5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w w:val="98"/>
              </w:rPr>
              <w:t>Revenue</w:t>
            </w:r>
          </w:p>
        </w:tc>
        <w:tc>
          <w:tcPr>
            <w:tcW w:w="6860" w:type="dxa"/>
            <w:vAlign w:val="bottom"/>
            <w:tcBorders>
              <w:bottom w:val="single" w:sz="8" w:color="CCEEFF"/>
            </w:tcBorders>
            <w:gridSpan w:val="7"/>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2,100.8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2,138.1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46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1,078.9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20" w:type="dxa"/>
            <w:vAlign w:val="bottom"/>
            <w:shd w:val="clear" w:color="auto" w:fill="CCEEFF"/>
          </w:tcPr>
          <w:p>
            <w:pPr>
              <w:spacing w:after="0"/>
              <w:rPr>
                <w:sz w:val="19"/>
                <w:szCs w:val="19"/>
                <w:color w:val="auto"/>
              </w:rPr>
            </w:pPr>
          </w:p>
        </w:tc>
        <w:tc>
          <w:tcPr>
            <w:tcW w:w="74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Wholesale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6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Total used vehicle</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1,235.8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8"/>
        </w:trPr>
        <w:tc>
          <w:tcPr>
            <w:tcW w:w="748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6"/>
                <w:szCs w:val="16"/>
                <w:color w:val="auto"/>
              </w:rPr>
              <w:t>Finance and insurance,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187.0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1"/>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4,148.5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4"/>
        </w:trPr>
        <w:tc>
          <w:tcPr>
            <w:tcW w:w="748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8"/>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8"/>
          </w:tcPr>
          <w:p>
            <w:pPr>
              <w:ind w:left="320"/>
              <w:spacing w:after="0"/>
              <w:rPr>
                <w:sz w:val="20"/>
                <w:szCs w:val="20"/>
                <w:color w:val="auto"/>
              </w:rPr>
            </w:pPr>
            <w:r>
              <w:rPr>
                <w:rFonts w:ascii="Times New Roman" w:cs="Times New Roman" w:eastAsia="Times New Roman" w:hAnsi="Times New Roman"/>
                <w:sz w:val="16"/>
                <w:szCs w:val="16"/>
                <w:color w:val="auto"/>
              </w:rPr>
              <w:t>Wholesale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1"/>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6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used vehicle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1"/>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Total gross profit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726.9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Unit sales</w:t>
            </w:r>
          </w:p>
        </w:tc>
        <w:tc>
          <w:tcPr>
            <w:tcW w:w="6780" w:type="dxa"/>
            <w:vAlign w:val="bottom"/>
            <w:tcBorders>
              <w:bottom w:val="single" w:sz="8" w:color="CCEEFF"/>
            </w:tcBorders>
            <w:gridSpan w:val="6"/>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12"/>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Luxury</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8,694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8"/>
        </w:trPr>
        <w:tc>
          <w:tcPr>
            <w:tcW w:w="20" w:type="dxa"/>
            <w:vAlign w:val="bottom"/>
          </w:tcPr>
          <w:p>
            <w:pPr>
              <w:spacing w:after="0"/>
              <w:rPr>
                <w:sz w:val="19"/>
                <w:szCs w:val="19"/>
                <w:color w:val="auto"/>
              </w:rPr>
            </w:pPr>
          </w:p>
        </w:tc>
        <w:tc>
          <w:tcPr>
            <w:tcW w:w="746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Import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21,697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20" w:type="dxa"/>
            <w:vAlign w:val="bottom"/>
            <w:shd w:val="clear" w:color="auto" w:fill="CCEEFF"/>
          </w:tcPr>
          <w:p>
            <w:pPr>
              <w:spacing w:after="0"/>
              <w:rPr>
                <w:sz w:val="19"/>
                <w:szCs w:val="19"/>
                <w:color w:val="auto"/>
              </w:rPr>
            </w:pPr>
          </w:p>
        </w:tc>
        <w:tc>
          <w:tcPr>
            <w:tcW w:w="74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11,105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1"/>
        </w:trPr>
        <w:tc>
          <w:tcPr>
            <w:tcW w:w="20" w:type="dxa"/>
            <w:vAlign w:val="bottom"/>
          </w:tcPr>
          <w:p>
            <w:pPr>
              <w:spacing w:after="0"/>
              <w:rPr>
                <w:sz w:val="19"/>
                <w:szCs w:val="19"/>
                <w:color w:val="auto"/>
              </w:rPr>
            </w:pPr>
          </w:p>
        </w:tc>
        <w:tc>
          <w:tcPr>
            <w:tcW w:w="7460" w:type="dxa"/>
            <w:vAlign w:val="bottom"/>
            <w:gridSpan w:val="8"/>
          </w:tcPr>
          <w:p>
            <w:pPr>
              <w:ind w:left="440"/>
              <w:spacing w:after="0"/>
              <w:rPr>
                <w:sz w:val="20"/>
                <w:szCs w:val="20"/>
                <w:color w:val="auto"/>
              </w:rPr>
            </w:pPr>
            <w:r>
              <w:rPr>
                <w:rFonts w:ascii="Times New Roman" w:cs="Times New Roman" w:eastAsia="Times New Roman" w:hAnsi="Times New Roman"/>
                <w:sz w:val="16"/>
                <w:szCs w:val="16"/>
                <w:color w:val="auto"/>
              </w:rPr>
              <w:t>Total new vehicle</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41,496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33,202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35,415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Used to new ratio</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Average selling price</w:t>
            </w:r>
          </w:p>
        </w:tc>
        <w:tc>
          <w:tcPr>
            <w:tcW w:w="602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53,480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51,525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31,913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30,465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174"/>
        </w:trPr>
        <w:tc>
          <w:tcPr>
            <w:tcW w:w="748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Average gross profit per unit</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4"/>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46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Luxury</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6,864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20" w:type="dxa"/>
            <w:vAlign w:val="bottom"/>
            <w:shd w:val="clear" w:color="auto" w:fill="CCEEFF"/>
          </w:tcPr>
          <w:p>
            <w:pPr>
              <w:spacing w:after="0"/>
              <w:rPr>
                <w:sz w:val="19"/>
                <w:szCs w:val="19"/>
                <w:color w:val="auto"/>
              </w:rPr>
            </w:pPr>
          </w:p>
        </w:tc>
        <w:tc>
          <w:tcPr>
            <w:tcW w:w="74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Import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2,412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20" w:type="dxa"/>
            <w:vAlign w:val="bottom"/>
          </w:tcPr>
          <w:p>
            <w:pPr>
              <w:spacing w:after="0"/>
              <w:rPr>
                <w:sz w:val="19"/>
                <w:szCs w:val="19"/>
                <w:color w:val="auto"/>
              </w:rPr>
            </w:pPr>
          </w:p>
        </w:tc>
        <w:tc>
          <w:tcPr>
            <w:tcW w:w="746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new vehicle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Front end yield (1)</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174"/>
        </w:trPr>
        <w:tc>
          <w:tcPr>
            <w:tcW w:w="20" w:type="dxa"/>
            <w:vAlign w:val="bottom"/>
            <w:shd w:val="clear" w:color="auto" w:fill="CCEEFF"/>
          </w:tcPr>
          <w:p>
            <w:pPr>
              <w:spacing w:after="0"/>
              <w:rPr>
                <w:sz w:val="15"/>
                <w:szCs w:val="15"/>
                <w:color w:val="auto"/>
              </w:rPr>
            </w:pPr>
          </w:p>
        </w:tc>
        <w:tc>
          <w:tcPr>
            <w:tcW w:w="74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Gross margin</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Total new vehicle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bps</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bps</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bps</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profit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bps</w:t>
            </w:r>
          </w:p>
        </w:tc>
      </w:tr>
      <w:tr>
        <w:trPr>
          <w:trHeight w:val="174"/>
        </w:trPr>
        <w:tc>
          <w:tcPr>
            <w:tcW w:w="748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456.4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Adjusted selling, general and administrative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bps</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Adjusted SG&amp;A as a % of gross profit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bps</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bps</w:t>
            </w:r>
          </w:p>
        </w:tc>
      </w:tr>
      <w:tr>
        <w:trPr>
          <w:trHeight w:val="228"/>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gross profit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bps</w:t>
            </w:r>
          </w:p>
        </w:tc>
      </w:tr>
      <w:tr>
        <w:trPr>
          <w:trHeight w:val="228"/>
        </w:trPr>
        <w:tc>
          <w:tcPr>
            <w:tcW w:w="74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bps)</w:t>
            </w:r>
          </w:p>
        </w:tc>
      </w:tr>
      <w:tr>
        <w:trPr>
          <w:trHeight w:val="233"/>
        </w:trPr>
        <w:tc>
          <w:tcPr>
            <w:tcW w:w="74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gross profit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bps</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3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3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STORE OPERATING HIGHLIGHTS-CONSOLIDATED (In millions)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20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w w:val="96"/>
              </w:rPr>
              <w:t>Revenue</w:t>
            </w:r>
          </w:p>
        </w:tc>
        <w:tc>
          <w:tcPr>
            <w:tcW w:w="6760" w:type="dxa"/>
            <w:vAlign w:val="bottom"/>
            <w:tcBorders>
              <w:bottom w:val="single" w:sz="8" w:color="CCEEFF"/>
            </w:tcBorders>
            <w:gridSpan w:val="7"/>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1,967.3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4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used vehicle</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8"/>
        </w:trPr>
        <w:tc>
          <w:tcPr>
            <w:tcW w:w="744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176.4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1"/>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3,473.7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3,810.3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88"/>
        </w:trPr>
        <w:tc>
          <w:tcPr>
            <w:tcW w:w="7440" w:type="dxa"/>
            <w:vAlign w:val="bottom"/>
            <w:gridSpan w:val="9"/>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8"/>
          </w:tcPr>
          <w:p>
            <w:pPr>
              <w:ind w:left="32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1"/>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used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1"/>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88"/>
        </w:trPr>
        <w:tc>
          <w:tcPr>
            <w:tcW w:w="20" w:type="dxa"/>
            <w:vAlign w:val="bottom"/>
            <w:shd w:val="clear" w:color="auto" w:fill="CCEEFF"/>
          </w:tcPr>
          <w:p>
            <w:pPr>
              <w:spacing w:after="0"/>
              <w:rPr>
                <w:sz w:val="16"/>
                <w:szCs w:val="16"/>
                <w:color w:val="auto"/>
              </w:rPr>
            </w:pPr>
          </w:p>
        </w:tc>
        <w:tc>
          <w:tcPr>
            <w:tcW w:w="7420" w:type="dxa"/>
            <w:vAlign w:val="bottom"/>
            <w:gridSpan w:val="8"/>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Unit sales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Luxury</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7,598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20" w:type="dxa"/>
            <w:vAlign w:val="bottom"/>
          </w:tcPr>
          <w:p>
            <w:pPr>
              <w:spacing w:after="0"/>
              <w:rPr>
                <w:sz w:val="19"/>
                <w:szCs w:val="19"/>
                <w:color w:val="auto"/>
              </w:rPr>
            </w:pPr>
          </w:p>
        </w:tc>
        <w:tc>
          <w:tcPr>
            <w:tcW w:w="74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Import</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new vehicle</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34,252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38,596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Used to new ratio</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20" w:type="dxa"/>
            <w:vAlign w:val="bottom"/>
            <w:shd w:val="clear" w:color="auto" w:fill="CCEEFF"/>
          </w:tcPr>
          <w:p>
            <w:pPr>
              <w:spacing w:after="0"/>
              <w:rPr>
                <w:sz w:val="18"/>
                <w:szCs w:val="18"/>
                <w:color w:val="auto"/>
              </w:rPr>
            </w:pPr>
          </w:p>
        </w:tc>
        <w:tc>
          <w:tcPr>
            <w:tcW w:w="7420" w:type="dxa"/>
            <w:vAlign w:val="bottom"/>
            <w:gridSpan w:val="8"/>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Average selling price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New vehicle</w:t>
            </w:r>
          </w:p>
        </w:tc>
        <w:tc>
          <w:tcPr>
            <w:tcW w:w="584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51,985</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50,971</w:t>
            </w:r>
          </w:p>
        </w:tc>
        <w:tc>
          <w:tcPr>
            <w:tcW w:w="1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30,403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188"/>
        </w:trPr>
        <w:tc>
          <w:tcPr>
            <w:tcW w:w="7440" w:type="dxa"/>
            <w:vAlign w:val="bottom"/>
            <w:gridSpan w:val="9"/>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Average gross profit per unit</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4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Luxury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Import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20" w:type="dxa"/>
            <w:vAlign w:val="bottom"/>
          </w:tcPr>
          <w:p>
            <w:pPr>
              <w:spacing w:after="0"/>
              <w:rPr>
                <w:sz w:val="19"/>
                <w:szCs w:val="19"/>
                <w:color w:val="auto"/>
              </w:rPr>
            </w:pPr>
          </w:p>
        </w:tc>
        <w:tc>
          <w:tcPr>
            <w:tcW w:w="74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Front end yield (1)</w:t>
            </w:r>
          </w:p>
        </w:tc>
        <w:tc>
          <w:tcPr>
            <w:tcW w:w="1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8"/>
        </w:trPr>
        <w:tc>
          <w:tcPr>
            <w:tcW w:w="20" w:type="dxa"/>
            <w:vAlign w:val="bottom"/>
            <w:shd w:val="clear" w:color="auto" w:fill="CCEEFF"/>
          </w:tcPr>
          <w:p>
            <w:pPr>
              <w:spacing w:after="0"/>
              <w:rPr>
                <w:sz w:val="16"/>
                <w:szCs w:val="16"/>
                <w:color w:val="auto"/>
              </w:rPr>
            </w:pPr>
          </w:p>
        </w:tc>
        <w:tc>
          <w:tcPr>
            <w:tcW w:w="7420" w:type="dxa"/>
            <w:vAlign w:val="bottom"/>
            <w:gridSpan w:val="8"/>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new vehicle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bps</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bps</w:t>
            </w: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bps</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 margin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bps</w:t>
            </w:r>
          </w:p>
        </w:tc>
      </w:tr>
      <w:tr>
        <w:trPr>
          <w:trHeight w:val="188"/>
        </w:trPr>
        <w:tc>
          <w:tcPr>
            <w:tcW w:w="7440" w:type="dxa"/>
            <w:vAlign w:val="bottom"/>
            <w:gridSpan w:val="9"/>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417.4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Adjusted selling,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424.5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7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a % of gross profit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bps</w:t>
            </w:r>
          </w:p>
        </w:tc>
      </w:tr>
      <w:tr>
        <w:trPr>
          <w:trHeight w:val="233"/>
        </w:trPr>
        <w:tc>
          <w:tcPr>
            <w:tcW w:w="74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Adjusted SG&amp;A as a % of gross profit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bps</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476"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476"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REPORTING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2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 March 31,</w:t>
            </w:r>
          </w:p>
        </w:tc>
        <w:tc>
          <w:tcPr>
            <w:tcW w:w="140" w:type="dxa"/>
            <w:vAlign w:val="bottom"/>
          </w:tcPr>
          <w:p>
            <w:pPr>
              <w:spacing w:after="0"/>
              <w:rPr>
                <w:sz w:val="17"/>
                <w:szCs w:val="17"/>
                <w:color w:val="auto"/>
              </w:rPr>
            </w:pPr>
          </w:p>
        </w:tc>
        <w:tc>
          <w:tcPr>
            <w:tcW w:w="32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 March 31,</w:t>
            </w:r>
          </w:p>
        </w:tc>
      </w:tr>
      <w:tr>
        <w:trPr>
          <w:trHeight w:val="239"/>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08"/>
        </w:trPr>
        <w:tc>
          <w:tcPr>
            <w:tcW w:w="4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TCA</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9"/>
              </w:rPr>
              <w:t>Dealerships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TCA</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F&amp;I</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8"/>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Parts and service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1"/>
        </w:trPr>
        <w:tc>
          <w:tcPr>
            <w:tcW w:w="4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intersegment revenue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1"/>
        </w:trPr>
        <w:tc>
          <w:tcPr>
            <w:tcW w:w="4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4,210.9</w:t>
            </w:r>
          </w:p>
        </w:tc>
      </w:tr>
      <w:tr>
        <w:trPr>
          <w:trHeight w:val="20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8"/>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1"/>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r>
      <w:tr>
        <w:trPr>
          <w:trHeight w:val="248"/>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1"/>
        </w:trPr>
        <w:tc>
          <w:tcPr>
            <w:tcW w:w="4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48"/>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8"/>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174"/>
        </w:trPr>
        <w:tc>
          <w:tcPr>
            <w:tcW w:w="470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Deferral of SG&amp;A expense (related to capitalized contract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1"/>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offset by amortization)</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1"/>
        </w:trPr>
        <w:tc>
          <w:tcPr>
            <w:tcW w:w="4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8"/>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8"/>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1"/>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operating income is calculated as GAAP operating income, excluding the effects of asset impairments and including floor plan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*Segment operating income is calculated as GAAP operating income, excluding the effects of asset impairments and including floor plan interest expense.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reconciliations for our non-GAAP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6"/>
                <w:szCs w:val="16"/>
                <w:color w:val="auto"/>
              </w:rPr>
            </w:pPr>
          </w:p>
        </w:tc>
        <w:tc>
          <w:tcPr>
            <w:tcW w:w="24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r>
      <w:tr>
        <w:trPr>
          <w:trHeight w:val="25"/>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16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4"/>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58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Adjusted leverage ratio:</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3,525.7</w:t>
            </w:r>
          </w:p>
        </w:tc>
        <w:tc>
          <w:tcPr>
            <w:tcW w:w="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w:t>
            </w: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short term investments, and floor plan offset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8"/>
        </w:trPr>
        <w:tc>
          <w:tcPr>
            <w:tcW w:w="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TCA cash</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Availability under our used vehicle floor plan facility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long-term net debt</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3,150.7</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74"/>
        </w:trPr>
        <w:tc>
          <w:tcPr>
            <w:tcW w:w="58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8"/>
                <w:szCs w:val="18"/>
                <w:color w:val="auto"/>
              </w:rPr>
              <w:t>Calculation of earnings before interest, taxes, depreciation and amortization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7"/>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2"/>
        </w:trPr>
        <w:tc>
          <w:tcPr>
            <w:tcW w:w="20" w:type="dxa"/>
            <w:vAlign w:val="bottom"/>
            <w:shd w:val="clear" w:color="auto" w:fill="CCEEFF"/>
          </w:tcPr>
          <w:p>
            <w:pPr>
              <w:spacing w:after="0"/>
              <w:rPr>
                <w:sz w:val="20"/>
                <w:szCs w:val="20"/>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68"/>
        </w:trPr>
        <w:tc>
          <w:tcPr>
            <w:tcW w:w="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8"/>
        </w:trPr>
        <w:tc>
          <w:tcPr>
            <w:tcW w:w="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 and other 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1"/>
        </w:trPr>
        <w:tc>
          <w:tcPr>
            <w:tcW w:w="20" w:type="dxa"/>
            <w:vAlign w:val="bottom"/>
          </w:tcPr>
          <w:p>
            <w:pPr>
              <w:spacing w:after="0"/>
              <w:rPr>
                <w:sz w:val="19"/>
                <w:szCs w:val="19"/>
                <w:color w:val="auto"/>
              </w:rPr>
            </w:pPr>
          </w:p>
        </w:tc>
        <w:tc>
          <w:tcPr>
            <w:tcW w:w="5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8"/>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Non-core items - (income) expense: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8"/>
        </w:trPr>
        <w:tc>
          <w:tcPr>
            <w:tcW w:w="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Weather-related losses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8"/>
        </w:trPr>
        <w:tc>
          <w:tcPr>
            <w:tcW w:w="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Insurance recovery</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 associated with acquisition</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8"/>
        </w:trPr>
        <w:tc>
          <w:tcPr>
            <w:tcW w:w="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Tekion implementation expenses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8"/>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Duplicative DMS-related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Fixed assets write-off</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586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non-core items</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68"/>
        </w:trPr>
        <w:tc>
          <w:tcPr>
            <w:tcW w:w="2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tcPr>
          <w:p>
            <w:pPr>
              <w:spacing w:after="0"/>
              <w:rPr>
                <w:sz w:val="23"/>
                <w:szCs w:val="23"/>
                <w:color w:val="auto"/>
              </w:rPr>
            </w:pPr>
          </w:p>
        </w:tc>
        <w:tc>
          <w:tcPr>
            <w:tcW w:w="4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r>
      <w:tr>
        <w:trPr>
          <w:trHeight w:val="221"/>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w:t>
            </w:r>
          </w:p>
        </w:tc>
      </w:tr>
      <w:tr>
        <w:trPr>
          <w:trHeight w:val="248"/>
        </w:trPr>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8"/>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dealership acquisitions and divestitures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1"/>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8"/>
                <w:szCs w:val="18"/>
                <w:color w:val="auto"/>
              </w:rPr>
              <w:t>Transaction adjusted EBITDA</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w:t>
            </w:r>
          </w:p>
        </w:tc>
      </w:tr>
      <w:tr>
        <w:trPr>
          <w:trHeight w:val="248"/>
        </w:trPr>
        <w:tc>
          <w:tcPr>
            <w:tcW w:w="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58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Transaction adjusted net leverage ratio</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40" w:right="37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5"/>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2026</w:t>
            </w: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Gain on dealership</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Weather-related</w:t>
            </w:r>
          </w:p>
        </w:tc>
        <w:tc>
          <w:tcPr>
            <w:tcW w:w="180" w:type="dxa"/>
            <w:vAlign w:val="bottom"/>
          </w:tcPr>
          <w:p>
            <w:pPr>
              <w:spacing w:after="0"/>
              <w:rPr>
                <w:sz w:val="12"/>
                <w:szCs w:val="12"/>
                <w:color w:val="auto"/>
              </w:rPr>
            </w:pPr>
          </w:p>
        </w:tc>
        <w:tc>
          <w:tcPr>
            <w:tcW w:w="940" w:type="dxa"/>
            <w:vAlign w:val="bottom"/>
          </w:tcPr>
          <w:p>
            <w:pPr>
              <w:jc w:val="center"/>
              <w:ind w:left="64"/>
              <w:spacing w:after="0" w:line="145" w:lineRule="exact"/>
              <w:rPr>
                <w:sz w:val="20"/>
                <w:szCs w:val="20"/>
                <w:color w:val="auto"/>
              </w:rPr>
            </w:pPr>
            <w:r>
              <w:rPr>
                <w:rFonts w:ascii="Times New Roman" w:cs="Times New Roman" w:eastAsia="Times New Roman" w:hAnsi="Times New Roman"/>
                <w:sz w:val="15"/>
                <w:szCs w:val="15"/>
                <w:b w:val="1"/>
                <w:bCs w:val="1"/>
                <w:color w:val="auto"/>
                <w:w w:val="97"/>
              </w:rPr>
              <w:t>Tekion</w:t>
            </w:r>
          </w:p>
        </w:tc>
        <w:tc>
          <w:tcPr>
            <w:tcW w:w="26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Duplicative DMS-</w:t>
            </w:r>
          </w:p>
        </w:tc>
        <w:tc>
          <w:tcPr>
            <w:tcW w:w="240" w:type="dxa"/>
            <w:vAlign w:val="bottom"/>
          </w:tcPr>
          <w:p>
            <w:pPr>
              <w:spacing w:after="0"/>
              <w:rPr>
                <w:sz w:val="12"/>
                <w:szCs w:val="12"/>
                <w:color w:val="auto"/>
              </w:rPr>
            </w:pPr>
          </w:p>
        </w:tc>
        <w:tc>
          <w:tcPr>
            <w:tcW w:w="1020" w:type="dxa"/>
            <w:vAlign w:val="bottom"/>
            <w:vMerge w:val="restart"/>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Income tax</w:t>
            </w:r>
          </w:p>
        </w:tc>
        <w:tc>
          <w:tcPr>
            <w:tcW w:w="260" w:type="dxa"/>
            <w:vAlign w:val="bottom"/>
          </w:tcPr>
          <w:p>
            <w:pPr>
              <w:spacing w:after="0"/>
              <w:rPr>
                <w:sz w:val="12"/>
                <w:szCs w:val="12"/>
                <w:color w:val="auto"/>
              </w:rPr>
            </w:pPr>
          </w:p>
        </w:tc>
        <w:tc>
          <w:tcPr>
            <w:tcW w:w="116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0" w:type="dxa"/>
            <w:vAlign w:val="bottom"/>
          </w:tcPr>
          <w:p>
            <w:pPr>
              <w:spacing w:after="0"/>
              <w:rPr>
                <w:sz w:val="1"/>
                <w:szCs w:val="1"/>
                <w:color w:val="auto"/>
              </w:rPr>
            </w:pPr>
          </w:p>
        </w:tc>
      </w:tr>
      <w:tr>
        <w:trPr>
          <w:trHeight w:val="147"/>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GAAP</w:t>
            </w:r>
          </w:p>
        </w:tc>
        <w:tc>
          <w:tcPr>
            <w:tcW w:w="14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4"/>
              <w:spacing w:after="0" w:line="148" w:lineRule="exact"/>
              <w:rPr>
                <w:sz w:val="20"/>
                <w:szCs w:val="20"/>
                <w:color w:val="auto"/>
              </w:rPr>
            </w:pPr>
            <w:r>
              <w:rPr>
                <w:rFonts w:ascii="Times New Roman" w:cs="Times New Roman" w:eastAsia="Times New Roman" w:hAnsi="Times New Roman"/>
                <w:sz w:val="15"/>
                <w:szCs w:val="15"/>
                <w:b w:val="1"/>
                <w:bCs w:val="1"/>
                <w:color w:val="auto"/>
              </w:rPr>
              <w:t>implementation</w:t>
            </w: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divestitures, net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related expenses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effect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5"/>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Selling, general and</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(SG&amp;A)</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510.4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498.6</w:t>
            </w:r>
          </w:p>
        </w:tc>
        <w:tc>
          <w:tcPr>
            <w:tcW w:w="0" w:type="dxa"/>
            <w:vAlign w:val="bottom"/>
          </w:tcPr>
          <w:p>
            <w:pPr>
              <w:spacing w:after="0"/>
              <w:rPr>
                <w:sz w:val="1"/>
                <w:szCs w:val="1"/>
                <w:color w:val="auto"/>
              </w:rPr>
            </w:pPr>
          </w:p>
        </w:tc>
      </w:tr>
      <w:tr>
        <w:trPr>
          <w:trHeight w:val="199"/>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193.9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6.1</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205.7</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187.8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(125.8)</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6.1</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28.4</w:t>
            </w: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102.3</w:t>
            </w: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0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Weighted average common</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outstanding - diluted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19.0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9.87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0.15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0.24</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5.37</w:t>
            </w: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70.2 %</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68.6 %</w:t>
            </w: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Income from operations as a %</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 revenue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0" w:type="dxa"/>
            <w:vAlign w:val="bottom"/>
          </w:tcPr>
          <w:p>
            <w:pPr>
              <w:spacing w:after="0"/>
              <w:rPr>
                <w:sz w:val="1"/>
                <w:szCs w:val="1"/>
                <w:color w:val="auto"/>
              </w:rPr>
            </w:pPr>
          </w:p>
        </w:tc>
      </w:tr>
      <w:tr>
        <w:trPr>
          <w:trHeight w:val="272"/>
        </w:trPr>
        <w:tc>
          <w:tcPr>
            <w:tcW w:w="2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423.0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412.1</w:t>
            </w: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SG&amp;A as a % of gross profit</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(Same Store)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68.7 %</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66.9 %</w:t>
            </w:r>
          </w:p>
        </w:tc>
        <w:tc>
          <w:tcPr>
            <w:tcW w:w="0" w:type="dxa"/>
            <w:vAlign w:val="bottom"/>
          </w:tcPr>
          <w:p>
            <w:pPr>
              <w:spacing w:after="0"/>
              <w:rPr>
                <w:sz w:val="1"/>
                <w:szCs w:val="1"/>
                <w:color w:val="auto"/>
              </w:rPr>
            </w:pPr>
          </w:p>
        </w:tc>
      </w:tr>
      <w:tr>
        <w:trPr>
          <w:trHeight w:val="479"/>
        </w:trPr>
        <w:tc>
          <w:tcPr>
            <w:tcW w:w="2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Gain on dealership</w:t>
            </w:r>
          </w:p>
        </w:tc>
        <w:tc>
          <w:tcPr>
            <w:tcW w:w="180" w:type="dxa"/>
            <w:vAlign w:val="bottom"/>
          </w:tcPr>
          <w:p>
            <w:pPr>
              <w:spacing w:after="0"/>
              <w:rPr>
                <w:sz w:val="12"/>
                <w:szCs w:val="12"/>
                <w:color w:val="auto"/>
              </w:rPr>
            </w:pPr>
          </w:p>
        </w:tc>
        <w:tc>
          <w:tcPr>
            <w:tcW w:w="10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180" w:type="dxa"/>
            <w:vAlign w:val="bottom"/>
          </w:tcPr>
          <w:p>
            <w:pPr>
              <w:spacing w:after="0"/>
              <w:rPr>
                <w:sz w:val="12"/>
                <w:szCs w:val="12"/>
                <w:color w:val="auto"/>
              </w:rPr>
            </w:pPr>
          </w:p>
        </w:tc>
        <w:tc>
          <w:tcPr>
            <w:tcW w:w="940" w:type="dxa"/>
            <w:vAlign w:val="bottom"/>
            <w:vMerge w:val="restart"/>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260" w:type="dxa"/>
            <w:vAlign w:val="bottom"/>
          </w:tcPr>
          <w:p>
            <w:pPr>
              <w:spacing w:after="0"/>
              <w:rPr>
                <w:sz w:val="12"/>
                <w:szCs w:val="12"/>
                <w:color w:val="auto"/>
              </w:rPr>
            </w:pPr>
          </w:p>
        </w:tc>
        <w:tc>
          <w:tcPr>
            <w:tcW w:w="1340" w:type="dxa"/>
            <w:vAlign w:val="bottom"/>
            <w:gridSpan w:val="2"/>
          </w:tcPr>
          <w:p>
            <w:pPr>
              <w:jc w:val="center"/>
              <w:ind w:right="144"/>
              <w:spacing w:after="0" w:line="145" w:lineRule="exact"/>
              <w:rPr>
                <w:sz w:val="20"/>
                <w:szCs w:val="20"/>
                <w:color w:val="auto"/>
              </w:rPr>
            </w:pPr>
            <w:r>
              <w:rPr>
                <w:rFonts w:ascii="Times New Roman" w:cs="Times New Roman" w:eastAsia="Times New Roman" w:hAnsi="Times New Roman"/>
                <w:sz w:val="15"/>
                <w:szCs w:val="15"/>
                <w:b w:val="1"/>
                <w:bCs w:val="1"/>
                <w:color w:val="auto"/>
              </w:rPr>
              <w:t>Professional fees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0" w:type="dxa"/>
            <w:vAlign w:val="bottom"/>
          </w:tcPr>
          <w:p>
            <w:pPr>
              <w:spacing w:after="0"/>
              <w:rPr>
                <w:sz w:val="1"/>
                <w:szCs w:val="1"/>
                <w:color w:val="auto"/>
              </w:rPr>
            </w:pPr>
          </w:p>
        </w:tc>
      </w:tr>
      <w:tr>
        <w:trPr>
          <w:trHeight w:val="147"/>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GAAP</w:t>
            </w: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164"/>
              <w:spacing w:after="0" w:line="148" w:lineRule="exact"/>
              <w:rPr>
                <w:sz w:val="20"/>
                <w:szCs w:val="20"/>
                <w:color w:val="auto"/>
              </w:rPr>
            </w:pPr>
            <w:r>
              <w:rPr>
                <w:rFonts w:ascii="Times New Roman" w:cs="Times New Roman" w:eastAsia="Times New Roman" w:hAnsi="Times New Roman"/>
                <w:sz w:val="15"/>
                <w:szCs w:val="15"/>
                <w:b w:val="1"/>
                <w:bCs w:val="1"/>
                <w:color w:val="auto"/>
              </w:rPr>
              <w:t>associated with</w:t>
            </w:r>
          </w:p>
        </w:tc>
        <w:tc>
          <w:tcPr>
            <w:tcW w:w="12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Income tax effect</w:t>
            </w: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divestitures, net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impairments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recovery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5"/>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Selling, general and</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(SG&amp;A)</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456.4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(2.8)</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463.5</w:t>
            </w:r>
          </w:p>
        </w:tc>
        <w:tc>
          <w:tcPr>
            <w:tcW w:w="0" w:type="dxa"/>
            <w:vAlign w:val="bottom"/>
          </w:tcPr>
          <w:p>
            <w:pPr>
              <w:spacing w:after="0"/>
              <w:rPr>
                <w:sz w:val="1"/>
                <w:szCs w:val="1"/>
                <w:color w:val="auto"/>
              </w:rPr>
            </w:pPr>
          </w:p>
        </w:tc>
      </w:tr>
      <w:tr>
        <w:trPr>
          <w:trHeight w:val="199"/>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234.3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center"/>
              <w:ind w:left="484"/>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2.8</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241.5</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center"/>
              <w:ind w:left="484"/>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2.8</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134.3</w:t>
            </w: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0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Weighted average common</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outstanding - diluted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19.7</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6.71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center"/>
              <w:ind w:left="484"/>
              <w:spacing w:after="0"/>
              <w:rPr>
                <w:sz w:val="20"/>
                <w:szCs w:val="20"/>
                <w:color w:val="auto"/>
              </w:rPr>
            </w:pPr>
            <w:r>
              <w:rPr>
                <w:rFonts w:ascii="Times New Roman" w:cs="Times New Roman" w:eastAsia="Times New Roman" w:hAnsi="Times New Roman"/>
                <w:sz w:val="15"/>
                <w:szCs w:val="15"/>
                <w:color w:val="auto"/>
              </w:rPr>
              <w:t>(0.38)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98"/>
              </w:rPr>
              <w:t>0.11</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6.82</w:t>
            </w: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63.0 %</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64.0 %</w:t>
            </w: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Income from operations as a %</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 revenue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0" w:type="dxa"/>
            <w:vAlign w:val="bottom"/>
          </w:tcPr>
          <w:p>
            <w:pPr>
              <w:spacing w:after="0"/>
              <w:rPr>
                <w:sz w:val="1"/>
                <w:szCs w:val="1"/>
                <w:color w:val="auto"/>
              </w:rPr>
            </w:pPr>
          </w:p>
        </w:tc>
      </w:tr>
      <w:tr>
        <w:trPr>
          <w:trHeight w:val="272"/>
        </w:trPr>
        <w:tc>
          <w:tcPr>
            <w:tcW w:w="2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417.4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center"/>
              <w:ind w:left="504"/>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spacing w:after="0"/>
              <w:rPr>
                <w:sz w:val="17"/>
                <w:szCs w:val="17"/>
                <w:color w:val="auto"/>
              </w:rPr>
            </w:pPr>
          </w:p>
        </w:tc>
        <w:tc>
          <w:tcPr>
            <w:tcW w:w="4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(2.8)</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424.5</w:t>
            </w: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SG&amp;A as a % of gross profit</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(Same Store)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62.4 %</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85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Adjusted cash flow from operations: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2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223.2</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Floor Plan Notes Payable—Non-Trade, net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gridSpan w:val="2"/>
          </w:tcPr>
          <w:p>
            <w:pPr>
              <w:ind w:left="320"/>
              <w:spacing w:after="0" w:line="175" w:lineRule="exact"/>
              <w:rPr>
                <w:sz w:val="20"/>
                <w:szCs w:val="20"/>
                <w:color w:val="auto"/>
              </w:rPr>
            </w:pPr>
            <w:r>
              <w:rPr>
                <w:rFonts w:ascii="Times New Roman" w:cs="Times New Roman" w:eastAsia="Times New Roman" w:hAnsi="Times New Roman"/>
                <w:sz w:val="18"/>
                <w:szCs w:val="18"/>
                <w:color w:val="auto"/>
              </w:rPr>
              <w:t>Change in Floor Plan Notes Payable—Non-Trade associated with floor plan offset, used vehicle borrowing base</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changes adjusted for acquisitions and divestitures</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8540" w:type="dxa"/>
            <w:vAlign w:val="bottom"/>
            <w:gridSpan w:val="2"/>
            <w:shd w:val="clear" w:color="auto" w:fill="CCEEFF"/>
          </w:tcPr>
          <w:p>
            <w:pPr>
              <w:ind w:left="320"/>
              <w:spacing w:after="0" w:line="175" w:lineRule="exact"/>
              <w:rPr>
                <w:sz w:val="20"/>
                <w:szCs w:val="20"/>
                <w:color w:val="auto"/>
              </w:rPr>
            </w:pPr>
            <w:r>
              <w:rPr>
                <w:rFonts w:ascii="Times New Roman" w:cs="Times New Roman" w:eastAsia="Times New Roman" w:hAnsi="Times New Roman"/>
                <w:sz w:val="18"/>
                <w:szCs w:val="18"/>
                <w:color w:val="auto"/>
              </w:rPr>
              <w:t>Change in Floor Plan Notes Payable—Trade associated with floor plan offset, adjusted for acquisitions and</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8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divestitures</w:t>
            </w:r>
          </w:p>
        </w:tc>
        <w:tc>
          <w:tcPr>
            <w:tcW w:w="8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Adjusted cash flow provided by operating activities</w:t>
            </w:r>
          </w:p>
        </w:tc>
        <w:tc>
          <w:tcPr>
            <w:tcW w:w="8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jc w:val="right"/>
              <w:ind w:right="284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2"/>
        </w:trPr>
        <w:tc>
          <w:tcPr>
            <w:tcW w:w="856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2026-04-28T06:30:57Z</dcterms:created>
  <dcterms:modified xsi:type="dcterms:W3CDTF">2026-04-28T06:30:57Z</dcterms:modified>
</cp:coreProperties>
</file>