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51435</wp:posOffset>
            </wp:positionV>
            <wp:extent cx="2425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167640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Asbury Automotive Group, Inc.</w:t>
      </w:r>
    </w:p>
    <w:p>
      <w:pPr>
        <w:spacing w:after="0" w:line="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41"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5780" w:type="dxa"/>
            <w:vAlign w:val="bottom"/>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187"/>
        </w:trPr>
        <w:tc>
          <w:tcPr>
            <w:tcW w:w="2620" w:type="dxa"/>
            <w:vAlign w:val="bottom"/>
          </w:tcPr>
          <w:p>
            <w:pPr>
              <w:spacing w:after="0"/>
              <w:rPr>
                <w:sz w:val="16"/>
                <w:szCs w:val="16"/>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tc>
      </w:tr>
      <w:tr>
        <w:trPr>
          <w:trHeight w:val="347"/>
        </w:trPr>
        <w:tc>
          <w:tcPr>
            <w:tcW w:w="2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001-31262</w:t>
            </w:r>
          </w:p>
        </w:tc>
        <w:tc>
          <w:tcPr>
            <w:tcW w:w="5780" w:type="dxa"/>
            <w:vAlign w:val="bottom"/>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01-0609375</w:t>
            </w:r>
          </w:p>
        </w:tc>
      </w:tr>
      <w:tr>
        <w:trPr>
          <w:trHeight w:val="166"/>
        </w:trPr>
        <w:tc>
          <w:tcPr>
            <w:tcW w:w="2620" w:type="dxa"/>
            <w:vAlign w:val="bottom"/>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5780" w:type="dxa"/>
            <w:vAlign w:val="bottom"/>
          </w:tcPr>
          <w:p>
            <w:pPr>
              <w:jc w:val="center"/>
              <w:ind w:left="3880"/>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345"/>
        </w:trPr>
        <w:tc>
          <w:tcPr>
            <w:tcW w:w="2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6655 Peachtree Dunwoody Road</w:t>
            </w:r>
          </w:p>
        </w:tc>
        <w:tc>
          <w:tcPr>
            <w:tcW w:w="5780" w:type="dxa"/>
            <w:vAlign w:val="bottom"/>
          </w:tcPr>
          <w:p>
            <w:pPr>
              <w:spacing w:after="0"/>
              <w:rPr>
                <w:sz w:val="24"/>
                <w:szCs w:val="24"/>
                <w:color w:val="auto"/>
              </w:rPr>
            </w:pPr>
          </w:p>
        </w:tc>
      </w:tr>
      <w:tr>
        <w:trPr>
          <w:trHeight w:val="229"/>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Atlanta, GA</w:t>
            </w:r>
          </w:p>
        </w:tc>
        <w:tc>
          <w:tcPr>
            <w:tcW w:w="5780" w:type="dxa"/>
            <w:vAlign w:val="bottom"/>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30328</w:t>
            </w:r>
          </w:p>
        </w:tc>
      </w:tr>
      <w:tr>
        <w:trPr>
          <w:trHeight w:val="239"/>
        </w:trPr>
        <w:tc>
          <w:tcPr>
            <w:tcW w:w="262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780" w:type="dxa"/>
            <w:vAlign w:val="bottom"/>
          </w:tcPr>
          <w:p>
            <w:pPr>
              <w:jc w:val="center"/>
              <w:ind w:left="388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641"/>
        </w:trPr>
        <w:tc>
          <w:tcPr>
            <w:tcW w:w="2620" w:type="dxa"/>
            <w:vAlign w:val="bottom"/>
          </w:tcPr>
          <w:p>
            <w:pPr>
              <w:spacing w:after="0"/>
              <w:rPr>
                <w:sz w:val="24"/>
                <w:szCs w:val="24"/>
                <w:color w:val="auto"/>
              </w:rPr>
            </w:pPr>
          </w:p>
        </w:tc>
        <w:tc>
          <w:tcPr>
            <w:tcW w:w="5780" w:type="dxa"/>
            <w:vAlign w:val="bottom"/>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(770) 418-8200</w:t>
            </w:r>
          </w:p>
        </w:tc>
      </w:tr>
      <w:tr>
        <w:trPr>
          <w:trHeight w:val="166"/>
        </w:trPr>
        <w:tc>
          <w:tcPr>
            <w:tcW w:w="2620" w:type="dxa"/>
            <w:vAlign w:val="bottom"/>
          </w:tcPr>
          <w:p>
            <w:pPr>
              <w:spacing w:after="0"/>
              <w:rPr>
                <w:sz w:val="14"/>
                <w:szCs w:val="14"/>
                <w:color w:val="auto"/>
              </w:rPr>
            </w:pPr>
          </w:p>
        </w:tc>
        <w:tc>
          <w:tcPr>
            <w:tcW w:w="5780" w:type="dxa"/>
            <w:vAlign w:val="bottom"/>
          </w:tcPr>
          <w:p>
            <w:pPr>
              <w:jc w:val="center"/>
              <w:ind w:right="262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r>
    </w:tbl>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5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123825</wp:posOffset>
            </wp:positionV>
            <wp:extent cx="2425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3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4"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8"/>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ABG</w:t>
            </w:r>
          </w:p>
        </w:tc>
        <w:tc>
          <w:tcPr>
            <w:tcW w:w="10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440" w:type="dxa"/>
            <w:vAlign w:val="bottom"/>
          </w:tcPr>
          <w:p>
            <w:pPr>
              <w:spacing w:after="0"/>
              <w:rPr>
                <w:sz w:val="19"/>
                <w:szCs w:val="19"/>
                <w:color w:val="auto"/>
              </w:rPr>
            </w:pPr>
          </w:p>
        </w:tc>
      </w:tr>
      <w:tr>
        <w:trPr>
          <w:trHeight w:val="1204"/>
        </w:trPr>
        <w:tc>
          <w:tcPr>
            <w:tcW w:w="4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 w:name="page2"/>
    <w:bookmarkEnd w:id="1"/>
    <w:p>
      <w:pPr>
        <w:ind w:right="36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57"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7792085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2" w:name="page3"/>
    <w:bookmarkEnd w:id="2"/>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January 29, 2026, the Board of Directors (the “Board”) of Asbury Automotive Group, Inc. (the “Company”), upon the recommendation of the Governance &amp; Nominating Committee, appointed Christopher DiSantis to serve as a member of the Board effective March 1, 2026. The appointment of Mr. DiSantis will bring the total number of Company Directors to eleven, ten of whom are independent. The Board has appointed Mr. DiSantis to the Audit Committee and the Compensation &amp; Human Resources Committee, also effective March 1, 2026.</w:t>
      </w:r>
    </w:p>
    <w:p>
      <w:pPr>
        <w:spacing w:after="0" w:line="7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Mr. DiSantis will participate in the Company’s non-employee director compensation program, which is described in the Company’s Proxy Statement on Schedule 14A filed with the U.S. Securities and Exchange Commission on April 2, 2025, as may be amended from time to time by the Board. Mr. DiSantis also will enter into the Company’s standard indemnification agreement for directors.</w:t>
      </w:r>
    </w:p>
    <w:p>
      <w:pPr>
        <w:spacing w:after="0" w:line="6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Additionally, on January 29, 2026, Philip F. Maritz notified the Board that he is not standing for re-election at the Company’s 2026 Annual Meeting of Stockholders. Mr. Maritz’s decision not to stand for re-election is not due to any disagreements with the Company or any of its operations, policies or practices. He has served on the Company’s Board since April 2002. The Company thanks Mr. Maritz for his years of service.</w:t>
      </w:r>
    </w:p>
    <w:p>
      <w:pPr>
        <w:spacing w:after="0" w:line="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these changes to the Board is attached hereto as Exhibit 99.1 to this Current Report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On and effective as of January 29, 2026, the Board amended the Company’s By-Laws (the “By-Laws”) regarding special stockholder meetings. Article</w:t>
      </w:r>
    </w:p>
    <w:p>
      <w:pPr>
        <w:spacing w:after="0" w:line="39" w:lineRule="exact"/>
        <w:rPr>
          <w:sz w:val="20"/>
          <w:szCs w:val="20"/>
          <w:color w:val="auto"/>
        </w:rPr>
      </w:pPr>
    </w:p>
    <w:p>
      <w:pPr>
        <w:jc w:val="both"/>
        <w:ind w:right="60" w:firstLine="8"/>
        <w:spacing w:after="0" w:line="255" w:lineRule="auto"/>
        <w:tabs>
          <w:tab w:leader="none" w:pos="1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By-Laws has been amended to lower the threshold for stockholders to be able to request that the Board call a special meeting from 50% to 25% of all outstanding shares of the Company entitled to vote. The amendments also clarify the procedures to be followed by stockholders in order to properly call a special meeting of stockholders.</w:t>
      </w:r>
    </w:p>
    <w:p>
      <w:pPr>
        <w:spacing w:after="0" w:line="7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This description of the amendments to the By-Laws is qualified in its entirety by reference to the text of the By-Laws, which is filed as Exhibit 3.1 to this Current Report on Form 8-K and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800" w:hanging="387"/>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exhibits are furnished as part of this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2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By-Laws of Asbury Automotive Group, Inc., as amended.</w:t>
            </w:r>
          </w:p>
        </w:tc>
      </w:tr>
      <w:tr>
        <w:trPr>
          <w:trHeight w:val="210"/>
        </w:trPr>
        <w:tc>
          <w:tcPr>
            <w:tcW w:w="150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68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February 4, 2026.</w:t>
            </w:r>
          </w:p>
        </w:tc>
      </w:tr>
      <w:tr>
        <w:trPr>
          <w:trHeight w:val="250"/>
        </w:trPr>
        <w:tc>
          <w:tcPr>
            <w:tcW w:w="1000" w:type="dxa"/>
            <w:vAlign w:val="bottom"/>
            <w:gridSpan w:val="2"/>
          </w:tcPr>
          <w:p>
            <w:pPr>
              <w:spacing w:after="0"/>
              <w:rPr>
                <w:sz w:val="21"/>
                <w:szCs w:val="21"/>
                <w:color w:val="auto"/>
              </w:rPr>
            </w:pPr>
          </w:p>
        </w:tc>
        <w:tc>
          <w:tcPr>
            <w:tcW w:w="320" w:type="dxa"/>
            <w:vAlign w:val="bottom"/>
            <w:tcBorders>
              <w:top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27"/>
        </w:trPr>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2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tc>
      </w:tr>
      <w:tr>
        <w:trPr>
          <w:trHeight w:val="81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2026</w:t>
            </w: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Dean A. Calloway</w:t>
            </w:r>
          </w:p>
        </w:tc>
      </w:tr>
      <w:tr>
        <w:trPr>
          <w:trHeight w:val="205"/>
        </w:trPr>
        <w:tc>
          <w:tcPr>
            <w:tcW w:w="3560" w:type="dxa"/>
            <w:vAlign w:val="bottom"/>
          </w:tcPr>
          <w:p>
            <w:pPr>
              <w:spacing w:after="0"/>
              <w:rPr>
                <w:sz w:val="17"/>
                <w:szCs w:val="17"/>
                <w:color w:val="auto"/>
              </w:rPr>
            </w:pPr>
          </w:p>
        </w:tc>
        <w:tc>
          <w:tcPr>
            <w:tcW w:w="2680" w:type="dxa"/>
            <w:vAlign w:val="bottom"/>
          </w:tcPr>
          <w:p>
            <w:pPr>
              <w:ind w:left="19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Dean A. Calloway</w:t>
            </w:r>
          </w:p>
        </w:tc>
      </w:tr>
      <w:tr>
        <w:trPr>
          <w:trHeight w:val="234"/>
        </w:trPr>
        <w:tc>
          <w:tcPr>
            <w:tcW w:w="3560" w:type="dxa"/>
            <w:vAlign w:val="bottom"/>
          </w:tcPr>
          <w:p>
            <w:pPr>
              <w:spacing w:after="0"/>
              <w:rPr>
                <w:sz w:val="20"/>
                <w:szCs w:val="20"/>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Senior Vice President, General Counsel &amp; Secretary</w:t>
            </w:r>
          </w:p>
        </w:tc>
      </w:tr>
    </w:tbl>
    <w:p>
      <w:pPr>
        <w:sectPr>
          <w:pgSz w:w="11900" w:h="16838" w:orient="portrait"/>
          <w:cols w:equalWidth="0" w:num="1">
            <w:col w:w="11220"/>
          </w:cols>
          <w:pgMar w:left="320" w:top="88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ASBURY AUTOMOTIVE GROUP, INC.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OFFICES</w:t>
      </w:r>
    </w:p>
    <w:p>
      <w:pPr>
        <w:spacing w:after="0" w:line="196"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DELAWARE OFFICE</w:t>
      </w:r>
      <w:r>
        <w:rPr>
          <w:rFonts w:ascii="Times New Roman" w:cs="Times New Roman" w:eastAsia="Times New Roman" w:hAnsi="Times New Roman"/>
          <w:sz w:val="21"/>
          <w:szCs w:val="21"/>
          <w:color w:val="auto"/>
        </w:rPr>
        <w:t>. The principal office of Asbury Automotive Group, Inc.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 in the State of Delaware shall be in the City of Wilmington, County of New Castle, and the resident agent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charge thereof shall be The Corporation Trust Company.</w:t>
      </w:r>
    </w:p>
    <w:p>
      <w:pPr>
        <w:spacing w:after="0" w:line="207" w:lineRule="exact"/>
        <w:rPr>
          <w:sz w:val="20"/>
          <w:szCs w:val="20"/>
          <w:color w:val="auto"/>
        </w:rPr>
      </w:pPr>
    </w:p>
    <w:p>
      <w:pPr>
        <w:jc w:val="both"/>
        <w:ind w:right="3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have offices at such other place or places as from time to time the board of directors of the Corporation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and each member thereof, a “</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may determine or the business of the Corporation may require.</w:t>
      </w:r>
    </w:p>
    <w:p>
      <w:pPr>
        <w:spacing w:after="0" w:line="173"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xml:space="preserve"> . The books and records of the Corporation may be kept outside the State of Delaware at such place or places as may from time to time be designated by the Board of Directors.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MEETING OF STOCKHOLDERS</w:t>
      </w:r>
    </w:p>
    <w:p>
      <w:pPr>
        <w:spacing w:after="0" w:line="196"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The annual meeting of the stockholders of the Corporation shall be held on such date and at such time as may be fixed by resolution of the Board of Directors.</w:t>
      </w:r>
    </w:p>
    <w:p>
      <w:pPr>
        <w:spacing w:after="0" w:line="158"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SPECIAL MEETING</w:t>
      </w:r>
      <w:r>
        <w:rPr>
          <w:rFonts w:ascii="Times New Roman" w:cs="Times New Roman" w:eastAsia="Times New Roman" w:hAnsi="Times New Roman"/>
          <w:sz w:val="21"/>
          <w:szCs w:val="21"/>
          <w:color w:val="auto"/>
        </w:rPr>
        <w:t>. Except as otherwise required by law and subject to the rights of the holders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class or series of stock having a preference over the common stock, par value $0.01 per share, of the Corporation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as to dividends or upon liquidation, dissolution or winding up, special meetings of stockholders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for any purpose or purposes may be called only by (a) the Board of Directors pursuant to a resolution stating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 or purposes thereof approved by a majority of the total number of Directors which the Corporation would have if there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were no vacancies or unfilled newly-created directorships (the “</w:t>
      </w:r>
      <w:r>
        <w:rPr>
          <w:rFonts w:ascii="Times New Roman" w:cs="Times New Roman" w:eastAsia="Times New Roman" w:hAnsi="Times New Roman"/>
          <w:sz w:val="22"/>
          <w:szCs w:val="22"/>
          <w:u w:val="single" w:color="auto"/>
          <w:color w:val="auto"/>
        </w:rPr>
        <w:t>WHOLE BOARD</w:t>
      </w:r>
      <w:r>
        <w:rPr>
          <w:rFonts w:ascii="Times New Roman" w:cs="Times New Roman" w:eastAsia="Times New Roman" w:hAnsi="Times New Roman"/>
          <w:sz w:val="22"/>
          <w:szCs w:val="22"/>
          <w:color w:val="auto"/>
        </w:rPr>
        <w:t>”), or (b) by the Chairman of the Board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Directors (the “</w:t>
      </w: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either upon his own initiative or the written request of the holders of at least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0000"/>
          <w:strike w:val="1"/>
        </w:rPr>
        <w:t>50</w:t>
      </w:r>
      <w:r>
        <w:rPr>
          <w:rFonts w:ascii="Times New Roman" w:cs="Times New Roman" w:eastAsia="Times New Roman" w:hAnsi="Times New Roman"/>
          <w:sz w:val="22"/>
          <w:szCs w:val="22"/>
          <w:u w:val="single" w:color="auto"/>
          <w:color w:val="0000FF"/>
        </w:rPr>
        <w:t>25</w:t>
      </w:r>
      <w:r>
        <w:rPr>
          <w:rFonts w:ascii="Times New Roman" w:cs="Times New Roman" w:eastAsia="Times New Roman" w:hAnsi="Times New Roman"/>
          <w:sz w:val="22"/>
          <w:szCs w:val="22"/>
          <w:color w:val="000000"/>
        </w:rPr>
        <w:t>% of the voting power of all Voting Stock then outstanding. No business other than that stated in the notice shall be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transacted at any special meeting.</w:t>
      </w:r>
    </w:p>
    <w:p>
      <w:pPr>
        <w:spacing w:after="0" w:line="196" w:lineRule="exact"/>
        <w:rPr>
          <w:sz w:val="20"/>
          <w:szCs w:val="20"/>
          <w:color w:val="auto"/>
        </w:rPr>
      </w:pPr>
    </w:p>
    <w:p>
      <w:pPr>
        <w:ind w:right="1000" w:firstLine="648"/>
        <w:spacing w:after="0" w:line="271" w:lineRule="auto"/>
        <w:rPr>
          <w:sz w:val="20"/>
          <w:szCs w:val="20"/>
          <w:color w:val="auto"/>
        </w:rPr>
      </w:pPr>
      <w:r>
        <w:rPr>
          <w:rFonts w:ascii="Times New Roman" w:cs="Times New Roman" w:eastAsia="Times New Roman" w:hAnsi="Times New Roman"/>
          <w:sz w:val="22"/>
          <w:szCs w:val="22"/>
          <w:u w:val="single" w:color="auto"/>
          <w:color w:val="0000FF"/>
        </w:rPr>
        <w:t>For a stockholder or stockholders to properly request a call of a special meeting of stockholders, the requesting stockholder(s) must (i) make the request in proper written form</w:t>
      </w:r>
    </w:p>
    <w:p>
      <w:pPr>
        <w:sectPr>
          <w:pgSz w:w="11900" w:h="16838" w:orient="portrait"/>
          <w:cols w:equalWidth="0" w:num="1">
            <w:col w:w="11240"/>
          </w:cols>
          <w:pgMar w:left="320" w:top="1418" w:right="33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21"/>
          <w:szCs w:val="21"/>
          <w:u w:val="single" w:color="auto"/>
          <w:color w:val="0000FF"/>
        </w:rPr>
        <w:t>delivered either in person or by registered mail to the Chairman of the Board or the Secretary of the Corporation, (ii) be a stockholder or stockholders at the time of giving the notice for the special meeting, (iii) remain a stockholder or stockholders on the record date for the determination of stockholders entitled to notice of and to vote at the special meeting and at the time of the special meeting, and (iv) be entitled to vote at such special meeting. To be in proper written form, the request by the requesting stockholder(s) must include the information set forth in Section 2.07(a)(ii) of this Article II and must meet the requirements set forth in Section 2(a)(ii)(A-C) of this Article II (except that for purposes of this section, any reference in Section 2.07(a)(ii) of this Article II to “annual meeting” will be deemed to be a reference to the “special meeting” contemplated by this section). Such provided information must be updated and supplemented in accordance with Section 2.07(a)(ii) of this Article II. For proposals of business to be properly requested by a stockholder or stockholders to be brought before a special meeting, such proposals of business must relate to an item of business that (i) is a proper subject for stockholder action under the Certificate of Incorporation (as defined below), these By-Laws, and applicable law, and (ii) is not expressly reserved for action by the Board of Directors under the Certificate of Incorporation, these By-Laws, or applicable law.</w:t>
      </w:r>
    </w:p>
    <w:p>
      <w:pPr>
        <w:spacing w:after="0" w:line="170" w:lineRule="exact"/>
        <w:rPr>
          <w:sz w:val="20"/>
          <w:szCs w:val="20"/>
          <w:color w:val="auto"/>
        </w:rPr>
      </w:pPr>
    </w:p>
    <w:p>
      <w:pPr>
        <w:ind w:firstLine="216"/>
        <w:spacing w:after="0" w:line="268" w:lineRule="auto"/>
        <w:rPr>
          <w:sz w:val="20"/>
          <w:szCs w:val="20"/>
          <w:color w:val="auto"/>
        </w:rPr>
      </w:pPr>
      <w:r>
        <w:rPr>
          <w:rFonts w:ascii="Times New Roman" w:cs="Times New Roman" w:eastAsia="Times New Roman" w:hAnsi="Times New Roman"/>
          <w:sz w:val="21"/>
          <w:szCs w:val="21"/>
          <w:u w:val="single" w:color="auto"/>
          <w:color w:val="0000FF"/>
        </w:rPr>
        <w:t>A request for a special meeting shall be invalid if: (i) it is not made in compliance with this Section 2.02 of this Article II; (ii) it includes the same or a substantially similar item that was presented at any stockholder meeting held within the twelve months preceding the request receipt date; (iii) a substantially similar item is included in the Corporation’s notice for a meeting called to occur within ninety calendar days of the request receipt date; or (iv) the request is received during the period commencing ninety calendar days prior to the anniversary of the most recent annual meeting and ending on the date of the next annual meeting.</w:t>
      </w:r>
    </w:p>
    <w:p>
      <w:pPr>
        <w:spacing w:after="0" w:line="164" w:lineRule="exact"/>
        <w:rPr>
          <w:sz w:val="20"/>
          <w:szCs w:val="20"/>
          <w:color w:val="auto"/>
        </w:rPr>
      </w:pPr>
    </w:p>
    <w:p>
      <w:pPr>
        <w:ind w:right="40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PLACE OF MEETING</w:t>
      </w:r>
      <w:r>
        <w:rPr>
          <w:rFonts w:ascii="Times New Roman" w:cs="Times New Roman" w:eastAsia="Times New Roman" w:hAnsi="Times New Roman"/>
          <w:sz w:val="22"/>
          <w:szCs w:val="22"/>
          <w:color w:val="auto"/>
        </w:rPr>
        <w:t>. The Board of Directors or the Chairman of the Board, as the case may be, may designate the place, if any, of meeting for any annual meeting or for any special meeting of the stockholders. If no designation is so made, the place of meeting shall be the principal office of the Corporation.</w:t>
      </w:r>
    </w:p>
    <w:p>
      <w:pPr>
        <w:spacing w:after="0" w:line="167"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NOTICE OF MEETING</w:t>
      </w:r>
      <w:r>
        <w:rPr>
          <w:rFonts w:ascii="Times New Roman" w:cs="Times New Roman" w:eastAsia="Times New Roman" w:hAnsi="Times New Roman"/>
          <w:sz w:val="22"/>
          <w:szCs w:val="22"/>
          <w:color w:val="auto"/>
        </w:rPr>
        <w:t>. Notice, stating the place, day and hour of the meeting and the purpose or purposes for which the meeting is called, shall be delivered by the Corporation not less than 10 calendar days nor more than 60 calendar days before the date of the meeting, either personally, by mail or by other lawful means, to each stockholder of record entitled to vote at such meeting. If mailed, such notice shall be deemed to be delivered when deposited in the United States mail with postage thereon prepaid, addressed to the stockholder at such person’s address as it appears on the stock transfer books of the Corporation. Such further notice shall be given as may be required by law. Only such business shall be conducted at a special meeting of stockholders as shall have been brought before the meeting pursuant to the Corporation’s notice of meeting. Meetings may be held without notice if all stockholders entitled to notice are present (except when stockholders entitled to notice attend the meeting for the express purpose of objecting, at the beginning of the meeting, because the meeting is not lawfully called or convened), or if notice is waived by those not present in accordance with Section 6.04. Any previously scheduled meeting of the stockholders may be postponed, and any</w:t>
      </w:r>
    </w:p>
    <w:p>
      <w:pPr>
        <w:sectPr>
          <w:pgSz w:w="11900" w:h="16838" w:orient="portrait"/>
          <w:cols w:equalWidth="0" w:num="1">
            <w:col w:w="11240"/>
          </w:cols>
          <w:pgMar w:left="320" w:top="1422" w:right="339" w:bottom="1440" w:gutter="0" w:footer="0" w:header="0"/>
        </w:sectPr>
      </w:pPr>
    </w:p>
    <w:bookmarkStart w:id="6" w:name="page7"/>
    <w:bookmarkEnd w:id="6"/>
    <w:p>
      <w:pPr>
        <w:ind w:right="220"/>
        <w:spacing w:after="0" w:line="271" w:lineRule="auto"/>
        <w:rPr>
          <w:sz w:val="20"/>
          <w:szCs w:val="20"/>
          <w:color w:val="auto"/>
        </w:rPr>
      </w:pPr>
      <w:r>
        <w:rPr>
          <w:rFonts w:ascii="Times New Roman" w:cs="Times New Roman" w:eastAsia="Times New Roman" w:hAnsi="Times New Roman"/>
          <w:sz w:val="22"/>
          <w:szCs w:val="22"/>
          <w:color w:val="auto"/>
        </w:rPr>
        <w:t>special meeting of the stockholders may be canceled, by resolution of the Board of Directors, upon public notice given prior to the date previously scheduled for such meeting of stockholders.</w:t>
      </w:r>
    </w:p>
    <w:p>
      <w:pPr>
        <w:spacing w:after="0" w:line="158"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QUORUM AND ADJOURNMENT; VOTING</w:t>
      </w:r>
      <w:r>
        <w:rPr>
          <w:rFonts w:ascii="Times New Roman" w:cs="Times New Roman" w:eastAsia="Times New Roman" w:hAnsi="Times New Roman"/>
          <w:sz w:val="22"/>
          <w:szCs w:val="22"/>
          <w:color w:val="auto"/>
        </w:rPr>
        <w:t>. Except as otherwise provided by law or by the Certificate of Incorporation of the Corporation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the holders of a majority of the voting power of all outstanding shares of the Corporation entitled to vote generally in the election of Directors (the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represented in person or by proxy, shall constitute a quorum at a meeting of stockholders, except that when specified business is to be voted on by a class or series of stock voting as a class, the holders of a majority of the voting power of the outstanding shares of such class or series shall constitute a quorum of such class or series for the transaction of such business. The chairman of the meeting may adjourn the meeting from time to time, whether or not there is such a quorum. No notice of the time and place of adjourned meetings need be given except as required by law. The stockholders present at a duly called meeting at which a quorum is present may continue to transact business until adjournment, notwithstanding the withdrawal of enough stockholders to leave less than a quorum.</w:t>
      </w:r>
    </w:p>
    <w:p>
      <w:pPr>
        <w:spacing w:after="0" w:line="183"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 At all meetings of stockholders, a stockholder may vote by proxy in accordance with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or by such person’s duly authorized attorney in fact.</w:t>
      </w:r>
    </w:p>
    <w:p>
      <w:pPr>
        <w:spacing w:after="0" w:line="171"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NOTICE OF STOCKHOLDER BUSINESS AND NOMINATIONS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60" w:hanging="456"/>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MEETINGS OF STOCKHOLDERS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firstLine="644"/>
        <w:spacing w:after="0" w:line="251" w:lineRule="auto"/>
        <w:tabs>
          <w:tab w:leader="none" w:pos="17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Proposals of business to be considered by the stockholders at an annual meeting of stockholders (other than the nomination of a person for election to the Board of Directors) may be made (A) pursuant to the Corporation’s notice of meeting pursuant to Section 2.04, (B) by or at the direction of the Chairman of the Board or (C) by any stockholder of the Corporation who was a stockholder of record at the time of giving of notice provided for in this Section 2.07, who is a stockholder of record at the time of the annual meeting, who is entitled to vote at the annual meeting and who complies with all applicable requirements set forth in this Section 2.07.</w:t>
      </w:r>
    </w:p>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Subject to the rights, if any, of the holders of any series of preferred stock of the Corporation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to elect additional directors as may be provided in an applicable Preferred Stock Designation</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(as defined in the Certificate of Incorporation), nominations of persons for election to the Board of Directors at an annual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meeting of stockholders may be made only (A) by or at the direction of the Board of Directors or (B) by a stockholder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who (x) has complied with all applicable requirements of this Section 2.07 in relation to such nomination, (y) was a</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stockholder of record of the Corporation at the time of giving the notice required by this Section 2.07 and is a stockholder</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of record of the Corporation at the time of the annual meeting, and (z) is entitled to vote at the annual meeting.</w:t>
      </w:r>
    </w:p>
    <w:p>
      <w:pPr>
        <w:sectPr>
          <w:pgSz w:w="11900" w:h="16838" w:orient="portrait"/>
          <w:cols w:equalWidth="0" w:num="1">
            <w:col w:w="11180"/>
          </w:cols>
          <w:pgMar w:left="320" w:top="1422" w:right="399" w:bottom="1440" w:gutter="0" w:footer="0" w:header="0"/>
        </w:sectPr>
      </w:pPr>
    </w:p>
    <w:bookmarkStart w:id="7" w:name="page8"/>
    <w:bookmarkEnd w:id="7"/>
    <w:p>
      <w:pPr>
        <w:ind w:right="4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For the avoidance of doubt, the foregoing will be the exclusive means for a stockholder to submit business before an annual meeting of stockholders (other than proposals properly made in accordance with Rule 14a-8 under the </w:t>
      </w:r>
      <w:r>
        <w:rPr>
          <w:rFonts w:ascii="Times New Roman" w:cs="Times New Roman" w:eastAsia="Times New Roman" w:hAnsi="Times New Roman"/>
          <w:sz w:val="22"/>
          <w:szCs w:val="22"/>
          <w:color w:val="FF0000"/>
          <w:strike w:val="1"/>
        </w:rPr>
        <w:t>Securities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Exchange Act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of 1934 (such act, and the rules and regulations promulgated thereunder, the “Exchange Act”)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included in the notice of meeting given by or at the direction of the Board of Directors).</w:t>
      </w:r>
    </w:p>
    <w:p>
      <w:pPr>
        <w:spacing w:after="0" w:line="176" w:lineRule="exact"/>
        <w:rPr>
          <w:sz w:val="20"/>
          <w:szCs w:val="20"/>
          <w:color w:val="auto"/>
        </w:rPr>
      </w:pPr>
    </w:p>
    <w:p>
      <w:pPr>
        <w:ind w:right="20" w:firstLine="644"/>
        <w:spacing w:after="0" w:line="247" w:lineRule="auto"/>
        <w:tabs>
          <w:tab w:leader="none" w:pos="112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nomination of a person for election to the Board of Directors, or for other business to be properly brought before an annual meeting by a stockholder pursuant to subsection (a)(i) of this Section 2.07, the stockholder must have given timely notice thereof in writing to the Secretary of the Corporation and such other business must otherwise be a proper matter for stockholder action. To be timely, a stockholder’s notice shall be delivered to the Secretary of the Corporation at the principal executive offices of the Corporation not later than the close of business on the ninetieth calendar day nor earlier than the close of business on the one hundred twentieth calendar day prior to the first anniversary of the preceding year’s annual meeting; PROVIDED, HOWEVER, that in the event that the date of the annual meeting is more than thirty calendar days before or more than sixty calendar days after such anniversary date, notice by the stockholder to be timely must be so delivered not earlier than the close of business on the one hundred twentieth calendar day prior to such annual meeting and not later than the close of business on the later of the ninetieth calendar day prior to such annual meeting or the tenth calendar day following the calendar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Such stockholder’s notice shall set forth:</w:t>
      </w:r>
    </w:p>
    <w:p>
      <w:pPr>
        <w:spacing w:after="0" w:line="233" w:lineRule="exact"/>
        <w:rPr>
          <w:sz w:val="20"/>
          <w:szCs w:val="20"/>
          <w:color w:val="auto"/>
        </w:rPr>
      </w:pPr>
    </w:p>
    <w:p>
      <w:pPr>
        <w:ind w:left="1800" w:hanging="508"/>
        <w:spacing w:after="0"/>
        <w:tabs>
          <w:tab w:leader="none" w:pos="18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whom the stockholder proposes to nominate for election or re-election as a</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w:t>
      </w:r>
    </w:p>
    <w:p>
      <w:pPr>
        <w:spacing w:after="0" w:line="195" w:lineRule="exact"/>
        <w:rPr>
          <w:rFonts w:ascii="Times New Roman" w:cs="Times New Roman" w:eastAsia="Times New Roman" w:hAnsi="Times New Roman"/>
          <w:sz w:val="22"/>
          <w:szCs w:val="22"/>
          <w:color w:val="auto"/>
        </w:rPr>
      </w:pPr>
    </w:p>
    <w:p>
      <w:pPr>
        <w:jc w:val="both"/>
        <w:ind w:left="1300" w:right="140" w:firstLine="640"/>
        <w:spacing w:after="0" w:line="257" w:lineRule="auto"/>
        <w:tabs>
          <w:tab w:leader="none" w:pos="241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with respect to such proposed nominee that would be required to be set forth in a stockholder’s notice pursuant to this Section 2.07 if such proposed nominee were a Proposing Person (as defined below);</w:t>
      </w:r>
    </w:p>
    <w:p>
      <w:pPr>
        <w:spacing w:after="0" w:line="186" w:lineRule="exact"/>
        <w:rPr>
          <w:rFonts w:ascii="Times New Roman" w:cs="Times New Roman" w:eastAsia="Times New Roman" w:hAnsi="Times New Roman"/>
          <w:sz w:val="22"/>
          <w:szCs w:val="22"/>
          <w:color w:val="auto"/>
        </w:rPr>
      </w:pPr>
    </w:p>
    <w:p>
      <w:pPr>
        <w:ind w:left="1300" w:firstLine="640"/>
        <w:spacing w:after="0" w:line="275" w:lineRule="auto"/>
        <w:tabs>
          <w:tab w:leader="none" w:pos="2416"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information that would be required to be disclosed pursuant to Items 403 and 404 under Regulation S-K if the stockholder giving the notice or any other Proposing Person were the “registrant” for purposes of such rule and the proposed nominee were a director or executive officer of such registrant;</w:t>
      </w:r>
    </w:p>
    <w:p>
      <w:pPr>
        <w:spacing w:after="0" w:line="155" w:lineRule="exact"/>
        <w:rPr>
          <w:rFonts w:ascii="Times New Roman" w:cs="Times New Roman" w:eastAsia="Times New Roman" w:hAnsi="Times New Roman"/>
          <w:sz w:val="21"/>
          <w:szCs w:val="21"/>
          <w:color w:val="auto"/>
        </w:rPr>
      </w:pPr>
    </w:p>
    <w:p>
      <w:pPr>
        <w:jc w:val="both"/>
        <w:ind w:left="1300" w:right="560" w:firstLine="640"/>
        <w:spacing w:after="0" w:line="295" w:lineRule="auto"/>
        <w:tabs>
          <w:tab w:leader="none" w:pos="2416"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questionnaire with respect to the identity, background and qualification of the proposed nominee and the background of any other person or entity on whose behalf the nomination</w:t>
      </w:r>
    </w:p>
    <w:p>
      <w:pPr>
        <w:sectPr>
          <w:pgSz w:w="11900" w:h="16838" w:orient="portrait"/>
          <w:cols w:equalWidth="0" w:num="1">
            <w:col w:w="10540"/>
          </w:cols>
          <w:pgMar w:left="980" w:top="1422" w:right="379" w:bottom="1440" w:gutter="0" w:footer="0" w:header="0"/>
        </w:sectPr>
      </w:pPr>
    </w:p>
    <w:bookmarkStart w:id="8" w:name="page9"/>
    <w:bookmarkEnd w:id="8"/>
    <w:p>
      <w:pPr>
        <w:ind w:left="840"/>
        <w:spacing w:after="0"/>
        <w:rPr>
          <w:sz w:val="20"/>
          <w:szCs w:val="20"/>
          <w:color w:val="auto"/>
        </w:rPr>
      </w:pPr>
      <w:r>
        <w:rPr>
          <w:rFonts w:ascii="Times New Roman" w:cs="Times New Roman" w:eastAsia="Times New Roman" w:hAnsi="Times New Roman"/>
          <w:sz w:val="22"/>
          <w:szCs w:val="22"/>
          <w:color w:val="auto"/>
        </w:rPr>
        <w:t>is being made (which questionnaire will be provided by the Secretary upon written request);</w:t>
      </w:r>
    </w:p>
    <w:p>
      <w:pPr>
        <w:spacing w:after="0" w:line="220" w:lineRule="exact"/>
        <w:rPr>
          <w:sz w:val="20"/>
          <w:szCs w:val="20"/>
          <w:color w:val="auto"/>
        </w:rPr>
      </w:pPr>
    </w:p>
    <w:p>
      <w:pPr>
        <w:ind w:left="840" w:firstLine="640"/>
        <w:spacing w:after="0" w:line="259" w:lineRule="auto"/>
        <w:tabs>
          <w:tab w:leader="none" w:pos="1956"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representation and agreement (in the form provided by the Secretary upon written request) that the proposed nominee (i) is not and will not become a party to (x) any agreement, arrangement or understanding with, and has not given any commitment or assurance to, any person or entity as to how the proposed nominee, if elected as a director of the Corporation, will act or vote on any issue or question (a “</w:t>
      </w:r>
      <w:r>
        <w:rPr>
          <w:rFonts w:ascii="Times New Roman" w:cs="Times New Roman" w:eastAsia="Times New Roman" w:hAnsi="Times New Roman"/>
          <w:sz w:val="21"/>
          <w:szCs w:val="21"/>
          <w:u w:val="single" w:color="auto"/>
          <w:color w:val="auto"/>
        </w:rPr>
        <w:t>VOTING COMMITMENT</w:t>
      </w:r>
      <w:r>
        <w:rPr>
          <w:rFonts w:ascii="Times New Roman" w:cs="Times New Roman" w:eastAsia="Times New Roman" w:hAnsi="Times New Roman"/>
          <w:sz w:val="21"/>
          <w:szCs w:val="21"/>
          <w:color w:val="auto"/>
        </w:rPr>
        <w:t>”) that has not been disclosed to the Corporation or (y) any Voting Commitment that could limit or interfere with the proposed nominee’s ability to comply, if elected as a director of the Corporation, with the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w:t>
      </w:r>
    </w:p>
    <w:p>
      <w:pPr>
        <w:spacing w:after="0" w:line="10" w:lineRule="exact"/>
        <w:rPr>
          <w:rFonts w:ascii="Times New Roman" w:cs="Times New Roman" w:eastAsia="Times New Roman" w:hAnsi="Times New Roman"/>
          <w:sz w:val="21"/>
          <w:szCs w:val="21"/>
          <w:color w:val="auto"/>
        </w:rPr>
      </w:pPr>
    </w:p>
    <w:p>
      <w:pPr>
        <w:jc w:val="both"/>
        <w:ind w:left="840" w:right="360" w:hanging="8"/>
        <w:spacing w:after="0" w:line="245" w:lineRule="auto"/>
        <w:tabs>
          <w:tab w:leader="none" w:pos="12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elected as a director of the Corporation, the proposed nominee would be in compliance, and will comply, with all applicable publicly disclosed corporate governance, conflict of interest, confidentiality and stock ownership and trading policies and guidelines of the Corporation; and</w:t>
      </w:r>
    </w:p>
    <w:p>
      <w:pPr>
        <w:spacing w:after="0" w:line="200" w:lineRule="exact"/>
        <w:rPr>
          <w:rFonts w:ascii="Times New Roman" w:cs="Times New Roman" w:eastAsia="Times New Roman" w:hAnsi="Times New Roman"/>
          <w:sz w:val="22"/>
          <w:szCs w:val="22"/>
          <w:color w:val="auto"/>
        </w:rPr>
      </w:pPr>
    </w:p>
    <w:p>
      <w:pPr>
        <w:ind w:left="840" w:right="80" w:firstLine="640"/>
        <w:spacing w:after="0" w:line="252" w:lineRule="auto"/>
        <w:tabs>
          <w:tab w:leader="none" w:pos="1956"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information relating to such person that is required to be disclosed in solicitations of proxies for the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79" w:lineRule="exact"/>
        <w:rPr>
          <w:sz w:val="20"/>
          <w:szCs w:val="20"/>
          <w:color w:val="auto"/>
        </w:rPr>
      </w:pPr>
    </w:p>
    <w:p>
      <w:pPr>
        <w:ind w:left="180" w:right="20" w:firstLine="652"/>
        <w:spacing w:after="0" w:line="250" w:lineRule="auto"/>
        <w:tabs>
          <w:tab w:leader="none" w:pos="13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business other than the nomination of a person for election to the Board of Directors, that a stockholder proposes to bring before the meeting, a description in reasonable detail of the business desired to be brought before the meeting, the text of the proposal or business (including the text of any resolutions proposed for consideration and in the event that such business includes a proposal to amend either the Certificate of Incorporation or these By-Laws, the language of the proposed amendment), the reasons for conducting such business at the meeting and any material interest in such business of any Proposing Person on whose behalf the proposal is made and a description in reasonable detail of all agreements, arrangements and understandings among the Proposing Persons or between any Proposing Person and any other person or entity in connection with the proposal; and</w:t>
      </w:r>
    </w:p>
    <w:p>
      <w:pPr>
        <w:spacing w:after="0" w:line="179" w:lineRule="exact"/>
        <w:rPr>
          <w:rFonts w:ascii="Times New Roman" w:cs="Times New Roman" w:eastAsia="Times New Roman" w:hAnsi="Times New Roman"/>
          <w:sz w:val="22"/>
          <w:szCs w:val="22"/>
          <w:color w:val="auto"/>
        </w:rPr>
      </w:pPr>
    </w:p>
    <w:p>
      <w:pPr>
        <w:ind w:left="180" w:right="160" w:firstLine="652"/>
        <w:spacing w:after="0" w:line="271" w:lineRule="auto"/>
        <w:tabs>
          <w:tab w:leader="none" w:pos="13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the beneficial owner or owners, if different, on whose behalf the nomination or proposal, as the case may</w:t>
      </w:r>
    </w:p>
    <w:p>
      <w:pPr>
        <w:sectPr>
          <w:pgSz w:w="11900" w:h="16838" w:orient="portrait"/>
          <w:cols w:equalWidth="0" w:num="1">
            <w:col w:w="10120"/>
          </w:cols>
          <w:pgMar w:left="1440" w:top="1422" w:right="339" w:bottom="1440" w:gutter="0" w:footer="0" w:header="0"/>
        </w:sectPr>
      </w:pPr>
    </w:p>
    <w:bookmarkStart w:id="9" w:name="page10"/>
    <w:bookmarkEnd w:id="9"/>
    <w:p>
      <w:pPr>
        <w:ind w:left="180"/>
        <w:spacing w:after="0" w:line="258" w:lineRule="auto"/>
        <w:rPr>
          <w:sz w:val="20"/>
          <w:szCs w:val="20"/>
          <w:color w:val="auto"/>
        </w:rPr>
      </w:pPr>
      <w:r>
        <w:rPr>
          <w:rFonts w:ascii="Times New Roman" w:cs="Times New Roman" w:eastAsia="Times New Roman" w:hAnsi="Times New Roman"/>
          <w:sz w:val="21"/>
          <w:szCs w:val="21"/>
          <w:color w:val="auto"/>
        </w:rPr>
        <w:t>be, is made and any “affiliate” or “associate” (each within the meaning of Rule 12b-2 under the Exchange Act) of any of the foregoing (each, a “</w:t>
      </w:r>
      <w:r>
        <w:rPr>
          <w:rFonts w:ascii="Times New Roman" w:cs="Times New Roman" w:eastAsia="Times New Roman" w:hAnsi="Times New Roman"/>
          <w:sz w:val="21"/>
          <w:szCs w:val="21"/>
          <w:u w:val="single" w:color="auto"/>
          <w:color w:val="auto"/>
        </w:rPr>
        <w:t>PROPOSING PERSON</w:t>
      </w:r>
      <w:r>
        <w:rPr>
          <w:rFonts w:ascii="Times New Roman" w:cs="Times New Roman" w:eastAsia="Times New Roman" w:hAnsi="Times New Roman"/>
          <w:sz w:val="21"/>
          <w:szCs w:val="21"/>
          <w:color w:val="auto"/>
        </w:rPr>
        <w:t>”), (i) the name and address of such Proposing Person, as they appear on the Corporation’s books, (ii) the class and number of shares of stock of the Corporation which are owned beneficially and of record by each such Proposing Person (including any shares of any class of stock of the Corporation as to which such Proposing Person has a right to acquire beneficial ownership, whether such right is exercisable immediately or after the passage of time), (iii) a representation that the stockholder giving the notice is a holder of record of stock of the Corporation entitled to vote at such meeting and intends to appear in person or by proxy at the meeting to propose such business or nomination, (iv) a representation whether any Proposing Person intends or is part of a group which intends (x) to deliver a proxy statement and/or form of proxy to holders of at least the percentage of the Corporation’s outstanding capital stock required to approve or adopt the proposal or elect the nominee, as the case may be and/or (y) otherwise to solicit proxies from stockholders in support of such proposal or nomination, (v) a description of (x) any option, warrant, convertible security, stock appreciation right or similar right (including any derivative securities, as defined under Rule 16a-1 under the Exchange Act), whether or not presently exercisable, with an exercise or conversion privilege or a settlement payment or mechanism at a price related to any class of securities of the Corporation or with a value derived in whole or in part from the value of any class of securities of the Corporation, whether or not such instrument or right is subject to settlement in whole or in part in the underlying class of securities of the Corporation or otherwise, directly or indirectly held of record or owned beneficially by such Proposing Person and (y) each other direct or indirect opportunity of such Proposing Person to profit or share in any profit derived from, or to manage the risk or benefit from, any increase or decrease in the value of the Corporation’s securities, in each case regardless of whether (A) such interest conveys any voting rights in such security to such Proposing Person, (B) such interest is required to be, or is capable of being, settled through delivery of such security, or (C) such Proposing Person may have entered into other transactions that hedge the economic effect of any such interest (any such interest referred to in this clause (v), being a “</w:t>
      </w:r>
      <w:r>
        <w:rPr>
          <w:rFonts w:ascii="Times New Roman" w:cs="Times New Roman" w:eastAsia="Times New Roman" w:hAnsi="Times New Roman"/>
          <w:sz w:val="21"/>
          <w:szCs w:val="21"/>
          <w:u w:val="single" w:color="auto"/>
          <w:color w:val="auto"/>
        </w:rPr>
        <w:t>DERIVATIVE INTEREST</w:t>
      </w:r>
      <w:r>
        <w:rPr>
          <w:rFonts w:ascii="Times New Roman" w:cs="Times New Roman" w:eastAsia="Times New Roman" w:hAnsi="Times New Roman"/>
          <w:sz w:val="21"/>
          <w:szCs w:val="21"/>
          <w:color w:val="auto"/>
        </w:rPr>
        <w:t>”); (vi) any proxy, contract, arrangement, understanding or relationship pursuant to which the Proposing Person has a right to vote any shares of the Corporation or which has the effect of increasing or decreasing the voting power of such Proposing Person; (vii) any rights directly or indirectly held of record or beneficially by the Proposing Person to dividends on the shares of the Corporation that are separated or separable from the underlying shares of the Corporation; (viii) any performance-related fees (other than an asset-based fee) to which the Proposing Person may be entitled as a result of any increase or decrease in the value of shares of the Corporation or Derivative Interests; and (ix) any other information relating to such Proposing Person that would be required to be disclosed in a proxy statement or other filing required pursuant to Section 14(a) of the Exchange Act to be made in connection with a</w:t>
      </w:r>
    </w:p>
    <w:p>
      <w:pPr>
        <w:sectPr>
          <w:pgSz w:w="11900" w:h="16838" w:orient="portrait"/>
          <w:cols w:equalWidth="0" w:num="1">
            <w:col w:w="10120"/>
          </w:cols>
          <w:pgMar w:left="1440" w:top="1422" w:right="339" w:bottom="1440" w:gutter="0" w:footer="0" w:header="0"/>
        </w:sectPr>
      </w:pPr>
    </w:p>
    <w:bookmarkStart w:id="10" w:name="page11"/>
    <w:bookmarkEnd w:id="10"/>
    <w:p>
      <w:pPr>
        <w:ind w:left="180" w:right="420"/>
        <w:spacing w:after="0" w:line="271" w:lineRule="auto"/>
        <w:rPr>
          <w:sz w:val="20"/>
          <w:szCs w:val="20"/>
          <w:color w:val="auto"/>
        </w:rPr>
      </w:pPr>
      <w:r>
        <w:rPr>
          <w:rFonts w:ascii="Times New Roman" w:cs="Times New Roman" w:eastAsia="Times New Roman" w:hAnsi="Times New Roman"/>
          <w:sz w:val="22"/>
          <w:szCs w:val="22"/>
          <w:color w:val="auto"/>
        </w:rPr>
        <w:t>general solicitation of proxies or consents by such Proposing Person in support of the business proposed to be brought before the meeting.</w:t>
      </w:r>
    </w:p>
    <w:p>
      <w:pPr>
        <w:spacing w:after="0" w:line="158" w:lineRule="exact"/>
        <w:rPr>
          <w:sz w:val="20"/>
          <w:szCs w:val="20"/>
          <w:color w:val="auto"/>
        </w:rPr>
      </w:pPr>
    </w:p>
    <w:p>
      <w:pPr>
        <w:ind w:left="-460" w:firstLine="644"/>
        <w:spacing w:after="0" w:line="250" w:lineRule="auto"/>
        <w:tabs>
          <w:tab w:leader="none" w:pos="72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second sentence of paragraph (a)(ii) of this Section 2.07 to the contrary, in the event that the number of Directors to be elected to the Board of Directors at an annual meeting is increased and there is no public announcement by the Corporation naming all of the nominees for Director or specifying the size of the increased Board of Directors at least one hundred calendar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tenth calendar day following the day on which such public announcement is first made by the Corporation.</w:t>
      </w:r>
    </w:p>
    <w:p>
      <w:pPr>
        <w:spacing w:after="0" w:line="186" w:lineRule="exact"/>
        <w:rPr>
          <w:rFonts w:ascii="Times New Roman" w:cs="Times New Roman" w:eastAsia="Times New Roman" w:hAnsi="Times New Roman"/>
          <w:sz w:val="22"/>
          <w:szCs w:val="22"/>
          <w:color w:val="auto"/>
        </w:rPr>
      </w:pPr>
    </w:p>
    <w:p>
      <w:pPr>
        <w:ind w:left="-460" w:firstLine="644"/>
        <w:spacing w:after="0" w:line="249" w:lineRule="auto"/>
        <w:tabs>
          <w:tab w:leader="none" w:pos="70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nominating a person for election to the Board of Directors providing notice of other business proposed to be brought before an annual meeting must further update and supplement such notice, if necessary, so that the information provided or required to be provided in such notice, is true and correct at all times up to and including the date of such meeting and any adjournment or postponement thereof. Such update and supplement shall be delivered or mailed to the Secretary at the principal executive offices of the Corporation, (A) in the case of the update and supplement required to be made as of the record date, not later than the later of five business days after the record date for the meeting and five business days after the first public disclosure of the record date for the meeting, and (B) in the case of the update and supplement required to be made as of 10 business days prior to the meeting or any adjournment or postponement thereof, not later than eight business days prior to the date for the meeting, if practicable (or, if not practicable, on the first practicable date prior to any adjournment or postponement thereof).</w:t>
      </w:r>
    </w:p>
    <w:p>
      <w:pPr>
        <w:spacing w:after="0" w:line="183" w:lineRule="exact"/>
        <w:rPr>
          <w:sz w:val="20"/>
          <w:szCs w:val="20"/>
          <w:color w:val="auto"/>
        </w:rPr>
      </w:pPr>
    </w:p>
    <w:p>
      <w:pPr>
        <w:ind w:left="-1120" w:right="80" w:firstLine="1304"/>
        <w:spacing w:after="0" w:line="248" w:lineRule="auto"/>
        <w:tabs>
          <w:tab w:leader="none" w:pos="6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 OF STOCKHOLDERS</w:t>
      </w:r>
      <w:r>
        <w:rPr>
          <w:rFonts w:ascii="Times New Roman" w:cs="Times New Roman" w:eastAsia="Times New Roman" w:hAnsi="Times New Roman"/>
          <w:sz w:val="22"/>
          <w:szCs w:val="22"/>
          <w:color w:val="auto"/>
        </w:rPr>
        <w:t>. Only such business shall be conducted at a special meeting of stockholders as shall have been properly brought before the meeting pursuant to the Corporation’s notice of meeting under Section 2.04. Nominations of persons for election to the Board of Directors at a special meeting of stockholders at which Directors are to be elected may only be made (i) pursuant to the Corporation’s notice of meeting, (ii) by or at the direction of the Chairman of the Board or (iii) provided that the Board of Directors has determined that Directors shall be elected at such meeting, by any stockholder of the Corporation who is a stockholder of record at the time of giving of notice provided for in this By-Law, who shall be entitled to vote at the meeting and who otherwise complies with all applicable procedures and obligations set forth in this By-Law for the nomination of a person for election to the Board of Directors (notwithstanding the fact that a nomination pursuant to this subsection is not in connection with an annual meeting). In the event the Corporation calls a special meeting of stockholders for the purpose of electing one or more Directors to the Board of Directors, any stockholder entitled to vote in such election of Directors may nominate pursuant to clause (iii) of the immediately preceding sentence of this Section 2.07(b) a person or persons</w:t>
      </w:r>
    </w:p>
    <w:p>
      <w:pPr>
        <w:sectPr>
          <w:pgSz w:w="11900" w:h="16838" w:orient="portrait"/>
          <w:cols w:equalWidth="0" w:num="1">
            <w:col w:w="10080"/>
          </w:cols>
          <w:pgMar w:left="1440" w:top="1422" w:right="379" w:bottom="1440" w:gutter="0" w:footer="0" w:header="0"/>
        </w:sectPr>
      </w:pPr>
    </w:p>
    <w:bookmarkStart w:id="11" w:name="page12"/>
    <w:bookmarkEnd w:id="11"/>
    <w:p>
      <w:pPr>
        <w:spacing w:after="0" w:line="249" w:lineRule="auto"/>
        <w:rPr>
          <w:sz w:val="20"/>
          <w:szCs w:val="20"/>
          <w:color w:val="auto"/>
        </w:rPr>
      </w:pPr>
      <w:r>
        <w:rPr>
          <w:rFonts w:ascii="Times New Roman" w:cs="Times New Roman" w:eastAsia="Times New Roman" w:hAnsi="Times New Roman"/>
          <w:sz w:val="22"/>
          <w:szCs w:val="22"/>
          <w:color w:val="auto"/>
        </w:rPr>
        <w:t>(as the case may be), for election to such position(s) as specified in the Corporation’s notice of meeting, if the stockholder’s notice required by paragraph (a)(ii) of this Section 2.07 shall be delivered to the Secretary at the principal executive offices of the Corporation not earlier than the close of business on the one hundred twentieth calendar day prior to such special meeting and not later than the close of business on the later of the ninetieth calendar day prior to such special meeting or the tenth calendar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95" w:lineRule="exact"/>
        <w:rPr>
          <w:sz w:val="20"/>
          <w:szCs w:val="20"/>
          <w:color w:val="auto"/>
        </w:rPr>
      </w:pPr>
    </w:p>
    <w:p>
      <w:pPr>
        <w:ind w:left="1760" w:hanging="456"/>
        <w:spacing w:after="0"/>
        <w:tabs>
          <w:tab w:leader="none" w:pos="1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right="20" w:firstLine="644"/>
        <w:spacing w:after="0" w:line="247" w:lineRule="auto"/>
        <w:tabs>
          <w:tab w:leader="none" w:pos="172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such persons who are nominated in accordance with the procedures set forth in this Section 2.07 shall be eligible to serve as Directors and only such business shall be conducted at a meeting of stockholders as shall have been brought before the meeting in accordance with the procedures set forth in this By-Law. Except as otherwise provided by law, the Certificate of Incorporation or these By-Laws, the chairman of the meeting shall have the power and duty to determine whether a nomination or any business proposed to be brought before the meeting was made or proposed, as the case may be, in accordance with the procedures set forth in this Section 2.07 (including whether any Proposing Person on whose behalf a nomination or proposal is made solicited (or is part of a group which solicited) or did not so solicit, as the case may be, proxies in support of such stockholder’s nominee or proposal in compliance with such stockholder’s representation as required by this Section 2.07) and, if any proposed nomination or business is not in compliance with this By-Law, to declare that such defective proposal or nomination shall be disregarded. Notwithstanding the foregoing provisions of this Section 2.07,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w:t>
      </w:r>
    </w:p>
    <w:p>
      <w:pPr>
        <w:spacing w:after="0" w:line="189" w:lineRule="exact"/>
        <w:rPr>
          <w:rFonts w:ascii="Times New Roman" w:cs="Times New Roman" w:eastAsia="Times New Roman" w:hAnsi="Times New Roman"/>
          <w:sz w:val="22"/>
          <w:szCs w:val="22"/>
          <w:color w:val="auto"/>
        </w:rPr>
      </w:pPr>
    </w:p>
    <w:p>
      <w:pPr>
        <w:ind w:left="660" w:right="20" w:firstLine="644"/>
        <w:spacing w:after="0" w:line="281" w:lineRule="auto"/>
        <w:tabs>
          <w:tab w:leader="none" w:pos="178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50" w:lineRule="exact"/>
        <w:rPr>
          <w:rFonts w:ascii="Times New Roman" w:cs="Times New Roman" w:eastAsia="Times New Roman" w:hAnsi="Times New Roman"/>
          <w:sz w:val="21"/>
          <w:szCs w:val="21"/>
          <w:color w:val="auto"/>
        </w:rPr>
      </w:pPr>
    </w:p>
    <w:p>
      <w:pPr>
        <w:ind w:left="660" w:right="60" w:firstLine="644"/>
        <w:spacing w:after="0" w:line="252" w:lineRule="auto"/>
        <w:tabs>
          <w:tab w:leader="none" w:pos="184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2.07, a stockholder shall also comply with all applicable requirements of the Exchange Act and the rules and regulations thereunder with respect to the matters set forth in this Section 2.07. Nothing in this Section 2.07 shall be deemed to affect any rights (a) of stockholders to request inclusion of proposals in the Corporation’s proxy statement pursuant to Rule</w:t>
      </w:r>
    </w:p>
    <w:p>
      <w:pPr>
        <w:sectPr>
          <w:pgSz w:w="11900" w:h="16838" w:orient="portrait"/>
          <w:cols w:equalWidth="0" w:num="1">
            <w:col w:w="11220"/>
          </w:cols>
          <w:pgMar w:left="320" w:top="1422" w:right="359" w:bottom="1440" w:gutter="0" w:footer="0" w:header="0"/>
        </w:sectPr>
      </w:pPr>
    </w:p>
    <w:bookmarkStart w:id="12" w:name="page13"/>
    <w:bookmarkEnd w:id="12"/>
    <w:p>
      <w:pPr>
        <w:ind w:left="660" w:right="100"/>
        <w:spacing w:after="0" w:line="271" w:lineRule="auto"/>
        <w:rPr>
          <w:sz w:val="20"/>
          <w:szCs w:val="20"/>
          <w:color w:val="auto"/>
        </w:rPr>
      </w:pPr>
      <w:r>
        <w:rPr>
          <w:rFonts w:ascii="Times New Roman" w:cs="Times New Roman" w:eastAsia="Times New Roman" w:hAnsi="Times New Roman"/>
          <w:sz w:val="22"/>
          <w:szCs w:val="22"/>
          <w:color w:val="auto"/>
        </w:rPr>
        <w:t>14a-8 under the Exchange Act or (b) of the holders of any series of Preferred Stock to elect Directors under an applicable Preferred Stock Designation.</w:t>
      </w:r>
    </w:p>
    <w:p>
      <w:pPr>
        <w:spacing w:after="0" w:line="15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PROCEDURE FOR ELECTION OF DIRECTORS; REQUIRED VOTE</w:t>
      </w:r>
      <w:r>
        <w:rPr>
          <w:rFonts w:ascii="Times New Roman" w:cs="Times New Roman" w:eastAsia="Times New Roman" w:hAnsi="Times New Roman"/>
          <w:sz w:val="22"/>
          <w:szCs w:val="22"/>
          <w:color w:val="auto"/>
        </w:rPr>
        <w:t>. Election of Directors at all meetings of the stockholders at which Directors are to be elected shall be by ballot, and, subject to the rights of the holders of any series of Preferred Stock to elect Directors under an applicable Preferred Stock Designation, a plurality of the votes cast thereat shall elect Directors. Except as otherwise provided by law, the Certificate of Incorporation, a Preferred Stock Designation, applicable stock exchange rules or other rules and regulations applicable to the Corporation or these By-Laws, in all matters other than the election of Directors, the affirmative vote of a majority of the voting power of the shares present in person or represented by proxy at the meeting and entitled to vote on the matter shall be the act of the stockholders.</w:t>
      </w:r>
    </w:p>
    <w:p>
      <w:pPr>
        <w:spacing w:after="0" w:line="179" w:lineRule="exact"/>
        <w:rPr>
          <w:sz w:val="20"/>
          <w:szCs w:val="20"/>
          <w:color w:val="auto"/>
        </w:rPr>
      </w:pPr>
    </w:p>
    <w:p>
      <w:pPr>
        <w:ind w:firstLine="1304"/>
        <w:spacing w:after="0" w:line="249" w:lineRule="auto"/>
        <w:tabs>
          <w:tab w:leader="none" w:pos="17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by resolution shall appoint, or shall authorize an officer of the Corporation to appoint, one or more inspectors, which 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chairman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w:t>
      </w:r>
    </w:p>
    <w:p>
      <w:pPr>
        <w:spacing w:after="0" w:line="181" w:lineRule="exact"/>
        <w:rPr>
          <w:rFonts w:ascii="Times New Roman" w:cs="Times New Roman" w:eastAsia="Times New Roman" w:hAnsi="Times New Roman"/>
          <w:sz w:val="22"/>
          <w:szCs w:val="22"/>
          <w:color w:val="auto"/>
        </w:rPr>
      </w:pPr>
    </w:p>
    <w:p>
      <w:pPr>
        <w:ind w:right="40" w:firstLine="1304"/>
        <w:spacing w:after="0" w:line="248" w:lineRule="auto"/>
        <w:tabs>
          <w:tab w:leader="none" w:pos="1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to adjourn the meeting, to prescribe such rules, regulations and procedures and to do all such acts as, in the judgment of such presiding officer, are appropriate for the proper conduct of the meeting. Such rules, regulations or procedures, whether adopted by the Board of Directors or prescribed by the presiding officer of the meeting, may include, without limitation, the following: (i)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w:t>
      </w:r>
    </w:p>
    <w:p>
      <w:pPr>
        <w:sectPr>
          <w:pgSz w:w="11900" w:h="16838" w:orient="portrait"/>
          <w:cols w:equalWidth="0" w:num="1">
            <w:col w:w="11240"/>
          </w:cols>
          <w:pgMar w:left="320" w:top="1422" w:right="339" w:bottom="1440" w:gutter="0" w:footer="0" w:header="0"/>
        </w:sectPr>
      </w:pPr>
    </w:p>
    <w:bookmarkStart w:id="13" w:name="page14"/>
    <w:bookmarkEnd w:id="13"/>
    <w:p>
      <w:pPr>
        <w:ind w:right="100"/>
        <w:spacing w:after="0" w:line="256" w:lineRule="auto"/>
        <w:rPr>
          <w:sz w:val="20"/>
          <w:szCs w:val="20"/>
          <w:color w:val="auto"/>
        </w:rPr>
      </w:pPr>
      <w:r>
        <w:rPr>
          <w:rFonts w:ascii="Times New Roman" w:cs="Times New Roman" w:eastAsia="Times New Roman" w:hAnsi="Times New Roman"/>
          <w:sz w:val="22"/>
          <w:szCs w:val="22"/>
          <w:color w:val="auto"/>
        </w:rPr>
        <w:t>before the meeting and if such presiding officer should so determine, such person shall so declare to the meeting that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BOARD OF DIRECTORS</w:t>
      </w:r>
    </w:p>
    <w:p>
      <w:pPr>
        <w:spacing w:after="0" w:line="196" w:lineRule="exact"/>
        <w:rPr>
          <w:sz w:val="20"/>
          <w:szCs w:val="20"/>
          <w:color w:val="auto"/>
        </w:rPr>
      </w:pPr>
    </w:p>
    <w:p>
      <w:pPr>
        <w:ind w:right="160" w:firstLine="648"/>
        <w:spacing w:after="0" w:line="272"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u w:val="single" w:color="auto"/>
          <w:color w:val="auto"/>
        </w:rPr>
        <w:t>GENERAL POWERS</w:t>
      </w:r>
      <w:r>
        <w:rPr>
          <w:rFonts w:ascii="Times New Roman" w:cs="Times New Roman" w:eastAsia="Times New Roman" w:hAnsi="Times New Roman"/>
          <w:sz w:val="21"/>
          <w:szCs w:val="21"/>
          <w:color w:val="auto"/>
        </w:rPr>
        <w:t>. The business and affairs of the Corporation shall be managed by or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161" w:lineRule="exact"/>
        <w:rPr>
          <w:sz w:val="20"/>
          <w:szCs w:val="20"/>
          <w:color w:val="auto"/>
        </w:rPr>
      </w:pPr>
    </w:p>
    <w:p>
      <w:pPr>
        <w:jc w:val="both"/>
        <w:ind w:right="440" w:firstLine="648"/>
        <w:spacing w:after="0" w:line="275"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u w:val="single" w:color="auto"/>
          <w:color w:val="auto"/>
        </w:rPr>
        <w:t>REGULAR MEETINGS</w:t>
      </w:r>
      <w:r>
        <w:rPr>
          <w:rFonts w:ascii="Times New Roman" w:cs="Times New Roman" w:eastAsia="Times New Roman" w:hAnsi="Times New Roman"/>
          <w:sz w:val="21"/>
          <w:szCs w:val="21"/>
          <w:color w:val="auto"/>
        </w:rPr>
        <w:t>. A regular meeting of the Board of Directors shall be held without other notice than this By-Law in conjunction with the annual meeting of stockholders. The Board of Directors may, by resolution, provide the time and place for the holding of additional regular meetings without other notice than such resolution.</w:t>
      </w:r>
    </w:p>
    <w:p>
      <w:pPr>
        <w:spacing w:after="0" w:line="155"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shall be called it the request of the Chairman of the Board, the President and Chief Executive Officer or a majority of the Board of Directors then in office. The person or persons authorized to call special meetings of the Board of Directors may fix the place and time of the meetings.</w:t>
      </w:r>
    </w:p>
    <w:p>
      <w:pPr>
        <w:spacing w:after="0" w:line="16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Notice of any special meeting of Directors shall be given to each Director at such person’s business or residence in writing by hand delivery, first-class or overnight mail or courier service, telegram or facsimile transmission, orally by telephone or any other lawful means. If mailed by first-class mail, such notice shall be deemed adequately delivered when deposited in the United States mail so addressed, with postage thereon prepaid, at least 5 calendar days before such meeting. If by telegram, overnight mail or courier service, such notice shall be deemed adequately delivered when the telegram is delivered to the telegraph company or the notice is delivered to the overnight mail or courier service company at least 24 hours before such meeting. If by facsimile transmission, such notice shall be deemed adequately delivered when the notice is transmitted at least 12 hours before such meeting. If by telephone, by hand delivery or by other lawful means, the notice shall be given at least 12 hours prior to the time set for the meeting. Neither the business to be transacted at, nor the purpose of, any regular or special meeting of the Board of Directors need be specified in the notice of such meeting, except for amendments to these By-Laws, as provided under Section 8.01. A meeting may be held at any time without notice if all the Directors are present (except when Directors attend for the express purpose of objecting, at the beginning of the meeting, because it is not lawfully called or conveyed) or if those not present waive notice of the meeting either before or after such meeting.</w:t>
      </w:r>
    </w:p>
    <w:p>
      <w:pPr>
        <w:sectPr>
          <w:pgSz w:w="11900" w:h="16838" w:orient="portrait"/>
          <w:cols w:equalWidth="0" w:num="1">
            <w:col w:w="11200"/>
          </w:cols>
          <w:pgMar w:left="320" w:top="1422" w:right="379" w:bottom="1440" w:gutter="0" w:footer="0" w:header="0"/>
        </w:sectPr>
      </w:pPr>
    </w:p>
    <w:bookmarkStart w:id="14" w:name="page15"/>
    <w:bookmarkEnd w:id="14"/>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ACTION BY CONSENT OF BOARD OF DIRECTORS</w:t>
      </w:r>
      <w:r>
        <w:rPr>
          <w:rFonts w:ascii="Times New Roman" w:cs="Times New Roman" w:eastAsia="Times New Roman" w:hAnsi="Times New Roman"/>
          <w:sz w:val="22"/>
          <w:szCs w:val="22"/>
          <w:color w:val="auto"/>
        </w:rPr>
        <w:t>. Any action required or permitted to be taken at any meeting of the Board of Directors or of any committee thereof may be taken without a meeting if all members of the Board of Directors or committee, as the case may be, consent thereto in accordance with applicable law.</w:t>
      </w:r>
    </w:p>
    <w:p>
      <w:pPr>
        <w:spacing w:after="0" w:line="186" w:lineRule="exact"/>
        <w:rPr>
          <w:sz w:val="20"/>
          <w:szCs w:val="20"/>
          <w:color w:val="auto"/>
        </w:rPr>
      </w:pPr>
    </w:p>
    <w:p>
      <w:pPr>
        <w:ind w:right="3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CONFERENCE TELEPHONE MEETINGS</w:t>
      </w:r>
      <w:r>
        <w:rPr>
          <w:rFonts w:ascii="Times New Roman" w:cs="Times New Roman" w:eastAsia="Times New Roman" w:hAnsi="Times New Roman"/>
          <w:sz w:val="22"/>
          <w:szCs w:val="22"/>
          <w:color w:val="auto"/>
        </w:rPr>
        <w:t>. Members of the Board of Directors or any committee thereof may participate in a meeting of the Board of Directors or such committee by means of conference telephone or other communications equipment by means of which all persons participating in the meeting can hear each other, and such participation in a meeting shall constitute presence in person at such meeting.</w:t>
      </w:r>
    </w:p>
    <w:p>
      <w:pPr>
        <w:spacing w:after="0" w:line="17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Subject to Article VI of the Certificate of Incorporation, a whole number of Directors equal to at least a majority of the Whole Board shall constitute a quorum for the 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w:t>
      </w:r>
    </w:p>
    <w:p>
      <w:pPr>
        <w:spacing w:after="0" w:line="179"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3.08.</w:t>
      </w:r>
      <w:r>
        <w:rPr>
          <w:sz w:val="20"/>
          <w:szCs w:val="20"/>
          <w:color w:val="auto"/>
        </w:rPr>
        <w:tab/>
      </w:r>
      <w:r>
        <w:rPr>
          <w:rFonts w:ascii="Times New Roman" w:cs="Times New Roman" w:eastAsia="Times New Roman" w:hAnsi="Times New Roman"/>
          <w:sz w:val="21"/>
          <w:szCs w:val="21"/>
          <w:u w:val="single" w:color="auto"/>
          <w:color w:val="auto"/>
        </w:rPr>
        <w:t>COMMITTEES OF THE BOARD OF DIRECTORS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52" w:lineRule="auto"/>
        <w:tabs>
          <w:tab w:leader="none" w:pos="17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may from time to time designate committees, which shall consist of one or more Directors. The Board of Directors may designate one or more Directors as alternate members of any committee, who may replace any absent or disqualified member at any meeting of the committee. Any such committee may, to the extent permitted by law, exercise such powers and shall have such responsibilities as shall be specified in the designating resolution. In the absence or disqualification of any member of such committee or committees, the member or members thereof present at any meeting and not disqualified from voting, whether or not constituting a quorum, may unanimously appoint another member of the Board of Directors to act at the meeting in the place of any such absent or disqualified member.</w:t>
      </w:r>
    </w:p>
    <w:p>
      <w:pPr>
        <w:spacing w:after="0" w:line="179" w:lineRule="exact"/>
        <w:rPr>
          <w:rFonts w:ascii="Times New Roman" w:cs="Times New Roman" w:eastAsia="Times New Roman" w:hAnsi="Times New Roman"/>
          <w:sz w:val="22"/>
          <w:szCs w:val="22"/>
          <w:color w:val="auto"/>
        </w:rPr>
      </w:pPr>
    </w:p>
    <w:p>
      <w:pPr>
        <w:ind w:right="180" w:firstLine="1304"/>
        <w:spacing w:after="0" w:line="251" w:lineRule="auto"/>
        <w:tabs>
          <w:tab w:leader="none" w:pos="175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any committee may determine its action and fix the time and place of its meetings, unless the Board of Directors shall otherwise provide. Notice of such meetings shall be given to each member of the committee in the manner provided for in Section 3.04. The Board of Directors shall have power at any time to fill vacancies in, to change the membership of, or to dissolve any such committee. Nothing herein shall be deemed to prevent the Board of Directors from appointing one or more committees consisting in whole or in part of persons who are not Directors; provided, however, that no such committee shall have or may exercise any authority of the Board of Directors.</w:t>
      </w:r>
    </w:p>
    <w:p>
      <w:pPr>
        <w:spacing w:after="0" w:line="181"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The Board of Directors shall cause to be kept a record containing the minutes of the proceedings of the meetings of the Board of Directors and of the stockholders, appropriate stock books and registers and such books of records and accounts as may be necessary for the proper conduct of the business of the Corporation.</w:t>
      </w:r>
    </w:p>
    <w:p>
      <w:pPr>
        <w:sectPr>
          <w:pgSz w:w="11900" w:h="16838" w:orient="portrait"/>
          <w:cols w:equalWidth="0" w:num="1">
            <w:col w:w="11220"/>
          </w:cols>
          <w:pgMar w:left="320" w:top="1422" w:right="359" w:bottom="1440" w:gutter="0" w:footer="0" w:header="0"/>
        </w:sectPr>
      </w:pPr>
    </w:p>
    <w:bookmarkStart w:id="15" w:name="page16"/>
    <w:bookmarkEnd w:id="15"/>
    <w:p>
      <w:pPr>
        <w:ind w:right="6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xml:space="preserve"> . A Chairman of the Board shall be chosen from among the Directors. The Chairman of the Board shall preside at all meetings of the stockholders and of the Board of Directors. The Chairman of the Board shall have such other powers and duties as may from time to time be conferred by the Board of Directors. The Board of Directors also may elect a Vice-Chairman to act in the place of the Chairman of the Board upon his or her absence or inability to act.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OFFICERS</w:t>
      </w:r>
    </w:p>
    <w:p>
      <w:pPr>
        <w:spacing w:after="0" w:line="19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ELECTED OFFICERS</w:t>
      </w:r>
      <w:r>
        <w:rPr>
          <w:rFonts w:ascii="Times New Roman" w:cs="Times New Roman" w:eastAsia="Times New Roman" w:hAnsi="Times New Roman"/>
          <w:sz w:val="22"/>
          <w:szCs w:val="22"/>
          <w:color w:val="auto"/>
        </w:rPr>
        <w:t>. The elected officers of the Corporation shall be a President and Chief Executive Officer, a Secretary, a Treasurer, and such other officers (including, without limitation, Senior Vice Presidents and Executive Vice Presidents and Vice Presidents) as the Board of Directors from time to time may deem proper. All officers elected by the Board of Directors shall each have such powers and duties as generally pertain to their respective offices, subject to the specific provisions of this Article IV. Such officers shall also have such powers and duties as from time to time may be conferred by the Board of Directors or by any committee thereof. The Board of Directors or any committee thereof may from time to time elect, or the Chairman of the Board or President and Chief Executive Officer may appoint, such other officers (including one or more Vice Presidents, Controllers, Assistant Secretaries and Assistant Treasurers), as may be necessary or desirable for the conduct of the business of the Corporation. Such other officers and agents shall have such duties and shall hold their offices for such terms as shall be provided in these By-Laws or as may be prescribed by the Board of Directors or such committee or by the Chairman of the Board or President and Chief Executive Officer, as the case may be.</w:t>
      </w:r>
    </w:p>
    <w:p>
      <w:pPr>
        <w:spacing w:after="0" w:line="18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ELECTION AND TERM OF OFFICE</w:t>
      </w:r>
      <w:r>
        <w:rPr>
          <w:rFonts w:ascii="Times New Roman" w:cs="Times New Roman" w:eastAsia="Times New Roman" w:hAnsi="Times New Roman"/>
          <w:sz w:val="22"/>
          <w:szCs w:val="22"/>
          <w:color w:val="auto"/>
        </w:rPr>
        <w:t>. The elected officers of the Corporation shall be elected annually by the Board of Directors at the regular meeting of the Board of Directors held in conjunction with the annual meeting of the stockholders. If the election of officers shall not be held at such meeting, such election shall be held as soon thereafter as convenient. Each officer shall hold office until such person’s successor shall have been duly elected and shall have qualified or until such person’s death or until he shall resign or be removed pursuant to Section 4.08.</w:t>
      </w:r>
    </w:p>
    <w:p>
      <w:pPr>
        <w:spacing w:after="0" w:line="179"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4.03. </w:t>
      </w:r>
      <w:r>
        <w:rPr>
          <w:rFonts w:ascii="Times New Roman" w:cs="Times New Roman" w:eastAsia="Times New Roman" w:hAnsi="Times New Roman"/>
          <w:sz w:val="21"/>
          <w:szCs w:val="21"/>
          <w:u w:val="single" w:color="auto"/>
          <w:color w:val="auto"/>
        </w:rPr>
        <w:t>PRESIDENT; CHIEF EXECUTIVE OFFICER</w:t>
      </w:r>
      <w:r>
        <w:rPr>
          <w:rFonts w:ascii="Times New Roman" w:cs="Times New Roman" w:eastAsia="Times New Roman" w:hAnsi="Times New Roman"/>
          <w:sz w:val="21"/>
          <w:szCs w:val="21"/>
          <w:color w:val="auto"/>
        </w:rPr>
        <w:t>. The President shall be the Chief Executive Officer of the Corporation, shall act in a general executive capacity and shall be responsible for the administration and operation of the Corporation’s business and general supervision of its policies and affairs. The President and Chief Executive Officer, if he or she is also a Director, shall, in the absence of or because of the inability to act of the Chairman or Vice Chairman of the Board, perform all duties of the Chairman of the Board and preside at all meetings of stockholders and of the Board of Directors.</w:t>
      </w:r>
    </w:p>
    <w:p>
      <w:pPr>
        <w:spacing w:after="0" w:line="164"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Each Senior Vice President and Executive Vice President and any Vice President shall have such powers and shall perform such duties as shall be assigned to such person by the Board of Directors or by the President and Chief Executive Officer.</w:t>
      </w:r>
    </w:p>
    <w:p>
      <w:pPr>
        <w:sectPr>
          <w:pgSz w:w="11900" w:h="16838" w:orient="portrait"/>
          <w:cols w:equalWidth="0" w:num="1">
            <w:col w:w="11200"/>
          </w:cols>
          <w:pgMar w:left="320" w:top="1422" w:right="379" w:bottom="1440" w:gutter="0" w:footer="0" w:header="0"/>
        </w:sectPr>
      </w:pPr>
    </w:p>
    <w:bookmarkStart w:id="16" w:name="page17"/>
    <w:bookmarkEnd w:id="16"/>
    <w:p>
      <w:pPr>
        <w:ind w:left="66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4.05.</w:t>
      </w:r>
      <w:r>
        <w:rPr>
          <w:sz w:val="20"/>
          <w:szCs w:val="20"/>
          <w:color w:val="auto"/>
        </w:rPr>
        <w:tab/>
      </w:r>
      <w:r>
        <w:rPr>
          <w:rFonts w:ascii="Times New Roman" w:cs="Times New Roman" w:eastAsia="Times New Roman" w:hAnsi="Times New Roman"/>
          <w:sz w:val="21"/>
          <w:szCs w:val="21"/>
          <w:u w:val="single" w:color="auto"/>
          <w:color w:val="auto"/>
        </w:rPr>
        <w:t>TREASURER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60" w:firstLine="1304"/>
        <w:spacing w:after="0" w:line="253" w:lineRule="auto"/>
        <w:tabs>
          <w:tab w:leader="none" w:pos="174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Treasurer shall exercise general supervision over the receipt, custody and disbursement of corporate funds. The Treasurer shall cause the funds of the Corporation to be deposited in such banks as may be authorized by the Board of Directors, or in such banks as may be designated as depositories in the manner provided by resolution of the Board of Directors The Treasurer shall have such further powers and duties and shall be subject to such directions as may be granted or imposed from time to time by the Board of Directors, the Chairman of the Board or the President and Chief Executive Officer.</w:t>
      </w:r>
    </w:p>
    <w:p>
      <w:pPr>
        <w:spacing w:after="0" w:line="178" w:lineRule="exact"/>
        <w:rPr>
          <w:rFonts w:ascii="Times New Roman" w:cs="Times New Roman" w:eastAsia="Times New Roman" w:hAnsi="Times New Roman"/>
          <w:sz w:val="22"/>
          <w:szCs w:val="22"/>
          <w:color w:val="auto"/>
        </w:rPr>
      </w:pPr>
    </w:p>
    <w:p>
      <w:pPr>
        <w:ind w:right="20" w:firstLine="1304"/>
        <w:spacing w:after="0" w:line="268" w:lineRule="auto"/>
        <w:tabs>
          <w:tab w:leader="none" w:pos="17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the Chairman of the Board or the President and Chief Executive Officer may designate one or more Assistant Treasurers who shall have such of the authority and perform such of the duties of the Treasurer as may be assigned to them by the Board of Directors, the Chairman of the Board or the President and Chief Executive Officer. During the Treasurer’s absence or inability, the Treasurer’s authority and duties shall be possessed by such Assistant Treasurer’ s) as the Board of Directors, the Chairman of the Board or the President and Chief Executive Officer may designate.</w:t>
      </w:r>
    </w:p>
    <w:p>
      <w:pPr>
        <w:spacing w:after="0" w:line="164"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u w:val="single" w:color="auto"/>
          <w:color w:val="auto"/>
        </w:rPr>
        <w:t>SECRETARY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50" w:lineRule="auto"/>
        <w:tabs>
          <w:tab w:leader="none" w:pos="174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Secretary shall keep or cause to be kept in one or more books provided for that purpose, the minutes of all meetings of the Board of Directors, the committees of the Board of Directors and the stockholders; shall see that all notices are duly given in accordance with the provisions of these By-Laws and as required by law; shall be custodian of the records and the seal of the Corporation and affix and attest the seal to all stock certificates of the Corporation (unless the seal of the Corporation on such certificates shall be a facsimile, as hereinafter provided) and affix and attest the seal to all other documents to be executed on behalf of the Corporation under its seal and shall see that the books, reports, statements, certificates and other documents and records required by law to be kept and filed are properly kept and filed; and in general, shall perform all the duties incident to the office of Secretary and such other duties as from time to time may be assigned to the Secretary by the Board of Directors, the Chairman of the Board or the President and Chief Executive Officer.</w:t>
      </w:r>
    </w:p>
    <w:p>
      <w:pPr>
        <w:spacing w:after="0" w:line="179" w:lineRule="exact"/>
        <w:rPr>
          <w:rFonts w:ascii="Times New Roman" w:cs="Times New Roman" w:eastAsia="Times New Roman" w:hAnsi="Times New Roman"/>
          <w:sz w:val="22"/>
          <w:szCs w:val="22"/>
          <w:color w:val="auto"/>
        </w:rPr>
      </w:pPr>
    </w:p>
    <w:p>
      <w:pPr>
        <w:ind w:right="160" w:firstLine="1304"/>
        <w:spacing w:after="0" w:line="251" w:lineRule="auto"/>
        <w:tabs>
          <w:tab w:leader="none" w:pos="17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the Chairman of the Board or the President and Chief Executive Officer may designate one or more Assistant Secretaries who shall have such of the authority and perform such of the duties of the Secretary as may be provided in these By-Laws or assigned to them by the Board of Directors, the Chairman of the Board or the President and Chief Executive Officer. During the Secretary’s absence or inability, the Secretary’s authority and duties shall be possessed by such Assistant Secretary or Assistant Secretaries as the Board of Directors, the Chairman of the Board or the President and Chief Executive Officer may designate.</w:t>
      </w:r>
    </w:p>
    <w:p>
      <w:pPr>
        <w:spacing w:after="0" w:line="181" w:lineRule="exact"/>
        <w:rPr>
          <w:sz w:val="20"/>
          <w:szCs w:val="20"/>
          <w:color w:val="auto"/>
        </w:rPr>
      </w:pPr>
    </w:p>
    <w:p>
      <w:pPr>
        <w:jc w:val="both"/>
        <w:ind w:right="38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Any officer or agent of the Corporation may be removed by the affirmative vote of a majority of the Board of Directors whenever, in their judgment, the best interests of the Corporation would be served thereby. Any officer or agent appointed by the Chairman of the Board or the President and Chief Executive Officer may be</w:t>
      </w:r>
    </w:p>
    <w:p>
      <w:pPr>
        <w:sectPr>
          <w:pgSz w:w="11900" w:h="16838" w:orient="portrait"/>
          <w:cols w:equalWidth="0" w:num="1">
            <w:col w:w="11240"/>
          </w:cols>
          <w:pgMar w:left="320" w:top="1422" w:right="339" w:bottom="1440" w:gutter="0" w:footer="0" w:header="0"/>
        </w:sectPr>
      </w:pPr>
    </w:p>
    <w:bookmarkStart w:id="17" w:name="page18"/>
    <w:bookmarkEnd w:id="17"/>
    <w:p>
      <w:pPr>
        <w:ind w:right="200"/>
        <w:spacing w:after="0" w:line="272" w:lineRule="auto"/>
        <w:rPr>
          <w:sz w:val="20"/>
          <w:szCs w:val="20"/>
          <w:color w:val="auto"/>
        </w:rPr>
      </w:pPr>
      <w:r>
        <w:rPr>
          <w:rFonts w:ascii="Times New Roman" w:cs="Times New Roman" w:eastAsia="Times New Roman" w:hAnsi="Times New Roman"/>
          <w:sz w:val="21"/>
          <w:szCs w:val="21"/>
          <w:color w:val="auto"/>
        </w:rPr>
        <w:t>removed by him or her whenever, in such person’s judgment, the best interests of the Corporation would be served thereby. No elected officer shall have any contractual rights against the Corporation for compensation by virtue of such election beyond the date of the election of such person’s successor, such person’s death, such person’s resignation or such person’s removal, whichever event shall first occur, except as otherwise provided in an employment contract or under an employee benefit plan.</w:t>
      </w:r>
    </w:p>
    <w:p>
      <w:pPr>
        <w:spacing w:after="0" w:line="16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4.08.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xml:space="preserve"> . A newly created elected office and a vacancy in any elected office because of death, resignation, or removal may be filled by the Board of Directors for the unexpired portion of the term at any meeting of the Board of Directors. Any vacancy in an office appointed by the Chairman of the Board or the President and Chief Executive Officer because of death, resignation, or removal may be filled by the Chairman of the Board or the President and Chief Executive Officer.</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STOCK CERTIFICATES AND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-29210</wp:posOffset>
            </wp:positionV>
            <wp:extent cx="27070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7005" cy="8890"/>
                    </a:xfrm>
                    <a:prstGeom prst="rect">
                      <a:avLst/>
                    </a:prstGeom>
                    <a:noFill/>
                  </pic:spPr>
                </pic:pic>
              </a:graphicData>
            </a:graphic>
          </wp:anchor>
        </w:drawing>
      </w:r>
    </w:p>
    <w:p>
      <w:pPr>
        <w:spacing w:after="0" w:line="17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STOCK CERTIFICATES AND TRANSFERS</w:t>
      </w:r>
      <w:r>
        <w:rPr>
          <w:rFonts w:ascii="Times New Roman" w:cs="Times New Roman" w:eastAsia="Times New Roman" w:hAnsi="Times New Roman"/>
          <w:sz w:val="22"/>
          <w:szCs w:val="22"/>
          <w:color w:val="auto"/>
        </w:rPr>
        <w:t>. The interest of each stockholder of the Corporation shall be evidenced by certificates for shares of stock in such form as the Corporation may from time to time prescribe. The shares of the stock of the Corporation shall be transferred on the books of the Corporation by the holder thereof in person or by such person’s attorney,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The certificates of stock shall be signed, countersigned and registered in such manner as the Board of Directors may by resolution prescribe or as may otherwise be permitted by applicable law,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 Notwithstanding the foregoing provisions regarding share certificates, the Corporation may provide that, subject to the rights of stockholders under applicable law, some or all of any or all classes or series of the Corporation’s common or any preferred shares may be uncertificated shares.</w:t>
      </w:r>
    </w:p>
    <w:p>
      <w:pPr>
        <w:spacing w:after="0" w:line="206"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u w:val="single" w:color="auto"/>
          <w:color w:val="auto"/>
        </w:rPr>
        <w:t>LOST, STOLEN OR DESTROYED CERTIFICATES</w:t>
      </w:r>
      <w:r>
        <w:rPr>
          <w:rFonts w:ascii="Times New Roman" w:cs="Times New Roman" w:eastAsia="Times New Roman" w:hAnsi="Times New Roman"/>
          <w:sz w:val="21"/>
          <w:szCs w:val="21"/>
          <w:color w:val="auto"/>
        </w:rPr>
        <w:t>. No certificate for shares of stock in the Corporation shall be issued in place of any certificate alleged to have been lost, destroyed or stolen, except on production of such evidence of such loss, destruction or theft and on delivery to the Corporation of a bond or indemnity in such amount, upon such terms and secured by such surety, as the Board of Directors or any financial officer may in its or such person’s discretion require.</w:t>
      </w:r>
    </w:p>
    <w:p>
      <w:pPr>
        <w:sectPr>
          <w:pgSz w:w="11900" w:h="16838" w:orient="portrait"/>
          <w:cols w:equalWidth="0" w:num="1">
            <w:col w:w="11200"/>
          </w:cols>
          <w:pgMar w:left="320" w:top="1422" w:right="379" w:bottom="1440" w:gutter="0" w:footer="0" w:header="0"/>
        </w:sectPr>
      </w:pPr>
    </w:p>
    <w:bookmarkStart w:id="18" w:name="page19"/>
    <w:bookmarkEnd w:id="18"/>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 PROVISIONS</w:t>
      </w:r>
    </w:p>
    <w:p>
      <w:pPr>
        <w:spacing w:after="0" w:line="196"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of the Corporation shall begin on the first day of January and end on the last day of December of each year.</w:t>
      </w:r>
    </w:p>
    <w:p>
      <w:pPr>
        <w:spacing w:after="0" w:line="144"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The Board of Directors may from time to time declare, and the Corporation may pay, dividends on its outstanding shares in the manner and upon the terms and conditions provided by law and the Certificate of Incorporation.</w:t>
      </w:r>
    </w:p>
    <w:p>
      <w:pPr>
        <w:spacing w:after="0" w:line="173" w:lineRule="exact"/>
        <w:rPr>
          <w:sz w:val="20"/>
          <w:szCs w:val="20"/>
          <w:color w:val="auto"/>
        </w:rPr>
      </w:pPr>
    </w:p>
    <w:p>
      <w:pPr>
        <w:ind w:right="68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SEAL</w:t>
      </w:r>
      <w:r>
        <w:rPr>
          <w:rFonts w:ascii="Times New Roman" w:cs="Times New Roman" w:eastAsia="Times New Roman" w:hAnsi="Times New Roman"/>
          <w:sz w:val="22"/>
          <w:szCs w:val="22"/>
          <w:color w:val="auto"/>
        </w:rPr>
        <w:t>. The corporate seal shall have inscribed thereon the words “Corporate Seal,” the year of incorporation and the word “Delaware.”</w:t>
      </w:r>
    </w:p>
    <w:p>
      <w:pPr>
        <w:spacing w:after="0" w:line="144"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WAIVER OF NOTICE</w:t>
      </w:r>
      <w:r>
        <w:rPr>
          <w:rFonts w:ascii="Times New Roman" w:cs="Times New Roman" w:eastAsia="Times New Roman" w:hAnsi="Times New Roman"/>
          <w:sz w:val="21"/>
          <w:szCs w:val="21"/>
          <w:color w:val="auto"/>
        </w:rPr>
        <w:t>. Whenever any notice is required to be given to any stockholder or Director under the provisions of the DGCL or these By-Laws, a waiver thereof given in accordance with applicable law shall be deemed equivalent to the giving of such notice. Neither the business to be transacted at, nor the purpose of, any annual or special meeting of the stockholders or the Board of Directors or committee thereof need be specified in any waiver of notice of such meeting.</w:t>
      </w:r>
    </w:p>
    <w:p>
      <w:pPr>
        <w:spacing w:after="0" w:line="163"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AUDITS</w:t>
      </w:r>
      <w:r>
        <w:rPr>
          <w:rFonts w:ascii="Times New Roman" w:cs="Times New Roman" w:eastAsia="Times New Roman" w:hAnsi="Times New Roman"/>
          <w:sz w:val="22"/>
          <w:szCs w:val="22"/>
          <w:color w:val="auto"/>
        </w:rPr>
        <w:t>. The accounts, books and records of the Corporation shall be audited upon the conclusion of each fiscal year by an independent certified public accountant selected by the Board of Directors, and it shall be the duty of the Board of Directors to cause such audit to be done annually.</w:t>
      </w:r>
    </w:p>
    <w:p>
      <w:pPr>
        <w:spacing w:after="0" w:line="167"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6.06. </w:t>
      </w:r>
      <w:r>
        <w:rPr>
          <w:rFonts w:ascii="Times New Roman" w:cs="Times New Roman" w:eastAsia="Times New Roman" w:hAnsi="Times New Roman"/>
          <w:sz w:val="21"/>
          <w:szCs w:val="21"/>
          <w:u w:val="single" w:color="auto"/>
          <w:color w:val="auto"/>
        </w:rPr>
        <w:t>RESIGNATIONS</w:t>
      </w:r>
      <w:r>
        <w:rPr>
          <w:rFonts w:ascii="Times New Roman" w:cs="Times New Roman" w:eastAsia="Times New Roman" w:hAnsi="Times New Roman"/>
          <w:sz w:val="21"/>
          <w:szCs w:val="21"/>
          <w:color w:val="auto"/>
        </w:rPr>
        <w:t>. Any Director or any officer, whether elected or appointed, may resign at any time by giving written notice of such resignation to the Chairman of the Board, the President and Chief Executive Officer, or the Secretary, and such resignation shall be deemed to be effective as of the close of business on the date said notice is received by the Chairman of the Board, the President and Chief Executive Officer, or the Secretary, or at such later time as is specified therein. No formal action shall be required of the Board of Directors or the stockholders to make any such resignation effective.</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CONTRACTS, PROXIES, EXCLUSIVE FORUM,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-29210</wp:posOffset>
            </wp:positionV>
            <wp:extent cx="3345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5815" cy="8255"/>
                    </a:xfrm>
                    <a:prstGeom prst="rect">
                      <a:avLst/>
                    </a:prstGeom>
                    <a:noFill/>
                  </pic:spPr>
                </pic:pic>
              </a:graphicData>
            </a:graphic>
          </wp:anchor>
        </w:drawing>
      </w:r>
    </w:p>
    <w:p>
      <w:pPr>
        <w:spacing w:after="0" w:line="176"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Except as otherwise required by law, the Certificate of Incorporation, a Preferred Stock Designation, or these By-Laws, any contracts or other instruments may be executed and delivered in the name and on the behalf of the Corporation by such officer or officers of the Corporation as the Board of Directors may from time to time direct. Such authority may be general or confined to specific instances as the Board of Directors may determine. The Chairman of the Board, the President and Chief Executive Officer or any Senior Vice President, Executive Vice President or Vice President may execute bonds, contracts, deeds, leases and other instruments to be made or executed or for or on behalf of the Corporation. Subject to any restrictions imposed by the Board of Directors or the Chairman of the Board, the President and Chief Executive Officer or any Senior Vice President,</w:t>
      </w:r>
    </w:p>
    <w:p>
      <w:pPr>
        <w:sectPr>
          <w:pgSz w:w="11900" w:h="16838" w:orient="portrait"/>
          <w:cols w:equalWidth="0" w:num="1">
            <w:col w:w="11180"/>
          </w:cols>
          <w:pgMar w:left="320" w:top="1418" w:right="399" w:bottom="1440" w:gutter="0" w:footer="0" w:header="0"/>
        </w:sectPr>
      </w:pPr>
    </w:p>
    <w:bookmarkStart w:id="19" w:name="page20"/>
    <w:bookmarkEnd w:id="19"/>
    <w:p>
      <w:pPr>
        <w:ind w:right="160"/>
        <w:spacing w:after="0" w:line="257" w:lineRule="auto"/>
        <w:rPr>
          <w:sz w:val="20"/>
          <w:szCs w:val="20"/>
          <w:color w:val="auto"/>
        </w:rPr>
      </w:pPr>
      <w:r>
        <w:rPr>
          <w:rFonts w:ascii="Times New Roman" w:cs="Times New Roman" w:eastAsia="Times New Roman" w:hAnsi="Times New Roman"/>
          <w:sz w:val="22"/>
          <w:szCs w:val="22"/>
          <w:color w:val="auto"/>
        </w:rPr>
        <w:t>Executive Vice President or Vice President of the Corporation may delegate contractual powers to others under such person’s jurisdiction, it being understood, however, that any such delegation of power shall not relieve such officer of responsibility with respect to the exercise of such delegated power.</w:t>
      </w:r>
    </w:p>
    <w:p>
      <w:pPr>
        <w:spacing w:after="0" w:line="18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 Unless otherwise provided by resolution adopted by the Board of Directors, the Chairman of the Board, the President and Chief Executive Officer or any Senior Vice President, Executive Vice President or Vice President may from time to time appoint an attorney or attorneys or agent or agents of the Corporation, in the name and on behalf of the Corporation, to cast the votes which the Corporation may be entitled to cast as the holders of stock or other securities in any other entity, any of whose stock or other securities may be held by the Corporation, at meetings of the holders of the stock or other securities of such other entity, or to consent in accordance with applicable law, in the name of the Corporation as such holder, to any action by such other entity, and may instruct the person or persons so appointed as to the manner of casting such votes or giving such consent, and may execute or cause to be executed in the name and on behalf of the Corporation and under its corporate seal or otherwise, all such proxies, consents or other instruments as such person may deem necessary or proper in the premises.</w:t>
      </w:r>
    </w:p>
    <w:p>
      <w:pPr>
        <w:spacing w:after="0" w:line="191"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u w:val="single" w:color="auto"/>
          <w:color w:val="auto"/>
        </w:rPr>
        <w:t>FORUM FOR ADJUDICATION OF DISPUTES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40" w:firstLine="1304"/>
        <w:spacing w:after="0" w:line="251" w:lineRule="auto"/>
        <w:tabs>
          <w:tab w:leader="none" w:pos="175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shall be a state or federal court located within the state of Delaware, in all cases subject to the court’s having personal jurisdiction over the indispensable parties named as defendants.</w:t>
      </w:r>
    </w:p>
    <w:p>
      <w:pPr>
        <w:spacing w:after="0" w:line="181" w:lineRule="exact"/>
        <w:rPr>
          <w:rFonts w:ascii="Times New Roman" w:cs="Times New Roman" w:eastAsia="Times New Roman" w:hAnsi="Times New Roman"/>
          <w:sz w:val="22"/>
          <w:szCs w:val="22"/>
          <w:color w:val="auto"/>
        </w:rPr>
      </w:pPr>
    </w:p>
    <w:p>
      <w:pPr>
        <w:ind w:firstLine="1304"/>
        <w:spacing w:after="0" w:line="261" w:lineRule="auto"/>
        <w:tabs>
          <w:tab w:leader="none" w:pos="176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action the subject matter of which is within the scope of paragraph (a)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paragraph (a) above (an “</w:t>
      </w:r>
      <w:r>
        <w:rPr>
          <w:rFonts w:ascii="Times New Roman" w:cs="Times New Roman" w:eastAsia="Times New Roman" w:hAnsi="Times New Roman"/>
          <w:sz w:val="21"/>
          <w:szCs w:val="21"/>
          <w:u w:val="single" w:color="auto"/>
          <w:color w:val="auto"/>
        </w:rPr>
        <w:t>FSC ENFORCEMENT ACTION</w:t>
      </w:r>
      <w:r>
        <w:rPr>
          <w:rFonts w:ascii="Times New Roman" w:cs="Times New Roman" w:eastAsia="Times New Roman" w:hAnsi="Times New Roman"/>
          <w:sz w:val="21"/>
          <w:szCs w:val="21"/>
          <w:color w:val="auto"/>
        </w:rPr>
        <w:t>”) and</w:t>
      </w:r>
    </w:p>
    <w:p>
      <w:pPr>
        <w:spacing w:after="0" w:line="1" w:lineRule="exact"/>
        <w:rPr>
          <w:rFonts w:ascii="Times New Roman" w:cs="Times New Roman" w:eastAsia="Times New Roman" w:hAnsi="Times New Roman"/>
          <w:sz w:val="21"/>
          <w:szCs w:val="21"/>
          <w:color w:val="auto"/>
        </w:rPr>
      </w:pPr>
    </w:p>
    <w:p>
      <w:pPr>
        <w:ind w:right="260" w:firstLine="8"/>
        <w:spacing w:after="0" w:line="259" w:lineRule="auto"/>
        <w:tabs>
          <w:tab w:leader="none" w:pos="3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service of process made upon such stockholder in any FSC Enforcement Action by service upon such stockholder’s counsel in the Foreign Action as agent for such stockholder.”</w:t>
      </w:r>
    </w:p>
    <w:p>
      <w:pPr>
        <w:spacing w:after="0" w:line="1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u w:val="single" w:color="auto"/>
          <w:color w:val="auto"/>
        </w:rPr>
        <w:t>AMENDMENTS</w:t>
      </w:r>
    </w:p>
    <w:p>
      <w:pPr>
        <w:spacing w:after="0" w:line="196"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The By-Laws may be altered or repealed and new By-Laws may be adopted (a) at any annual or special meeting of stockholders by the affirmative vote of the holders of a majority of the voting power of the Voting Stock then outstanding, voting as a single class, provided, however, that any proposed alteration or repeal</w:t>
      </w:r>
    </w:p>
    <w:p>
      <w:pPr>
        <w:sectPr>
          <w:pgSz w:w="11900" w:h="16838" w:orient="portrait"/>
          <w:cols w:equalWidth="0" w:num="1">
            <w:col w:w="11220"/>
          </w:cols>
          <w:pgMar w:left="320" w:top="1422" w:right="359" w:bottom="1440" w:gutter="0" w:footer="0" w:header="0"/>
        </w:sectPr>
      </w:pPr>
    </w:p>
    <w:bookmarkStart w:id="20" w:name="page21"/>
    <w:bookmarkEnd w:id="20"/>
    <w:p>
      <w:pPr>
        <w:spacing w:after="0" w:line="253" w:lineRule="auto"/>
        <w:rPr>
          <w:sz w:val="20"/>
          <w:szCs w:val="20"/>
          <w:color w:val="auto"/>
        </w:rPr>
      </w:pPr>
      <w:r>
        <w:rPr>
          <w:rFonts w:ascii="Times New Roman" w:cs="Times New Roman" w:eastAsia="Times New Roman" w:hAnsi="Times New Roman"/>
          <w:sz w:val="22"/>
          <w:szCs w:val="22"/>
          <w:color w:val="auto"/>
        </w:rPr>
        <w:t>of, or the adoption of any By-Law inconsistent with, Section 2.02, Section 2.07 or this Section 8.01, by the stockholders shall require the affirmative vote of the holders of at least 80% of the voting power of all Voting Stock then outstanding, voting together as a single class, and provided, further, however, that, in the case of any such stockholder action at a special meeting of stockholders, notice of the proposed alteration, repeal or adoption of the new By-Law or By-Laws must be contained in the notice of such special meeting, or (b) by the affirmative vote of a majority of the Whole Board.</w:t>
      </w:r>
    </w:p>
    <w:p>
      <w:pPr>
        <w:sectPr>
          <w:pgSz w:w="11900" w:h="16838" w:orient="portrait"/>
          <w:cols w:equalWidth="0" w:num="1">
            <w:col w:w="11240"/>
          </w:cols>
          <w:pgMar w:left="320" w:top="1422" w:right="339" w:bottom="1440" w:gutter="0" w:footer="0" w:header="0"/>
        </w:sectPr>
      </w:pPr>
    </w:p>
    <w:bookmarkStart w:id="21" w:name="page22"/>
    <w:bookmarkEnd w:id="21"/>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82892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89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Investors &amp; Reporters May Contact:</w:t>
      </w:r>
    </w:p>
    <w:p>
      <w:pPr>
        <w:spacing w:after="0" w:line="2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20"/>
          <w:szCs w:val="20"/>
          <w:color w:val="auto"/>
        </w:rPr>
        <w:t>Joe Sorice</w:t>
      </w:r>
    </w:p>
    <w:p>
      <w:pPr>
        <w:spacing w:after="0" w:line="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20"/>
          <w:szCs w:val="20"/>
          <w:color w:val="auto"/>
        </w:rPr>
        <w:t>Sr. Manager, Investor Relations</w:t>
      </w:r>
    </w:p>
    <w:p>
      <w:pPr>
        <w:spacing w:after="0" w:line="13"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20"/>
          <w:szCs w:val="20"/>
          <w:color w:val="auto"/>
        </w:rPr>
        <w:t>(770) 418-8211</w:t>
      </w:r>
    </w:p>
    <w:p>
      <w:pPr>
        <w:spacing w:after="0" w:line="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20"/>
          <w:szCs w:val="20"/>
          <w:color w:val="auto"/>
        </w:rPr>
        <w:t>ir@asburyauto.com</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Asbury Automotive Group Appoints New Director to Its Board</w:t>
      </w:r>
    </w:p>
    <w:p>
      <w:pPr>
        <w:spacing w:after="0" w:line="232"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25"/>
          <w:szCs w:val="25"/>
          <w:color w:val="auto"/>
        </w:rPr>
      </w:pPr>
      <w:r>
        <w:rPr>
          <w:rFonts w:ascii="Times New Roman" w:cs="Times New Roman" w:eastAsia="Times New Roman" w:hAnsi="Times New Roman"/>
          <w:sz w:val="22"/>
          <w:szCs w:val="22"/>
          <w:i w:val="1"/>
          <w:iCs w:val="1"/>
          <w:color w:val="auto"/>
        </w:rPr>
        <w:t>Asbury appoints Christopher DiSantis to its Board of Directors effective March 1, 2026</w:t>
      </w:r>
    </w:p>
    <w:p>
      <w:pPr>
        <w:spacing w:after="0" w:line="63" w:lineRule="exact"/>
        <w:rPr>
          <w:rFonts w:ascii="Arial" w:cs="Arial" w:eastAsia="Arial" w:hAnsi="Arial"/>
          <w:sz w:val="25"/>
          <w:szCs w:val="25"/>
          <w:color w:val="auto"/>
        </w:rPr>
      </w:pPr>
    </w:p>
    <w:p>
      <w:pPr>
        <w:ind w:left="640" w:hanging="308"/>
        <w:spacing w:after="0"/>
        <w:tabs>
          <w:tab w:leader="none" w:pos="640" w:val="left"/>
        </w:tabs>
        <w:numPr>
          <w:ilvl w:val="0"/>
          <w:numId w:val="21"/>
        </w:numPr>
        <w:rPr>
          <w:rFonts w:ascii="Arial" w:cs="Arial" w:eastAsia="Arial" w:hAnsi="Arial"/>
          <w:sz w:val="25"/>
          <w:szCs w:val="25"/>
          <w:color w:val="auto"/>
        </w:rPr>
      </w:pPr>
      <w:r>
        <w:rPr>
          <w:rFonts w:ascii="Times New Roman" w:cs="Times New Roman" w:eastAsia="Times New Roman" w:hAnsi="Times New Roman"/>
          <w:sz w:val="22"/>
          <w:szCs w:val="22"/>
          <w:i w:val="1"/>
          <w:iCs w:val="1"/>
          <w:color w:val="auto"/>
        </w:rPr>
        <w:t>Philip Maritz notifies Board that he will not stand for re-election at the 2026 Annual Meeting</w:t>
      </w:r>
    </w:p>
    <w:p>
      <w:pPr>
        <w:spacing w:after="0" w:line="27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2"/>
          <w:szCs w:val="22"/>
          <w:color w:val="auto"/>
        </w:rPr>
        <w:t>ATLANTA, GA. (February 4, 2026) — Asbury Automotive Group, Inc. (NYSE: ABG) (the “Company”), one of the largest automotive retail and service companies in the U.S., announced the appointment of Christopher DiSantis to its Board of Directors effective March 1, 2026. The Board has appointed Mr. DiSantis to the Audit Committee and the Compensation &amp; Human Resources Committee, also effective March 1, 2026. Mr. DiSantis’s appointment brings the total number of directors to eleven, ten of whom are independent, including Mr. DiSantis. The Company also announced that long-time Board member Philip Maritz has notified the Board that he is not standing for re-election, and his term will end, at the Company’s 2026 Annual Meeting of Stockholders.</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22"/>
          <w:szCs w:val="22"/>
          <w:color w:val="auto"/>
        </w:rPr>
        <w:t>“We are thrilled to welcome Chris to the Board and we are fortunate to have him,” said Board Chair Tom Reddin. “Chris has demonstrated a consistent track record of creating value through both operational excellence and transformative growth strategies, operating in various industries including the automotive parts supply sector. We expect Chris to provide valuable strategic insights related to Company planning and operations.”</w:t>
      </w:r>
    </w:p>
    <w:p>
      <w:pPr>
        <w:spacing w:after="0" w:line="107"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22"/>
          <w:szCs w:val="22"/>
          <w:color w:val="auto"/>
        </w:rPr>
        <w:t>“Chris brings an added dimension,” said David Hult, Asbury’s President and Chief Executive Officer. “His value-creation experience demonstrated through repeated scaling, transformation, and performance improvement across complex operating environments will make us a stronger organization.”</w:t>
      </w:r>
    </w:p>
    <w:p>
      <w:pPr>
        <w:spacing w:after="0" w:line="9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2"/>
          <w:szCs w:val="22"/>
          <w:color w:val="auto"/>
        </w:rPr>
        <w:t>Mr. DiSantis is a Partner at American Securities, a private equity firm he joined in 2019. He is a member of the Operating Committee and leads the Resources Group, which assists their portfolio companies in value creation and the implementation of their strategic agendas. During his time at American Securities, Mr. DiSantis has also served in interim leadership roles for several of their companies. Before joining American Securities, Mr. DiSantis served as CEO of Verso Corporation, a North American producer of paper, packaging, and pulp. Prior to Verso, Mr. DiSantis served as CEO of H-D Advanced Manufacturing, a diversified motion-control technology enterprise serving the aerospace and industrial markets; CEO of Latrobe Specialty Metals, Inc., a manufacturer of premium alloys; and President of Hawk Corporation, which designed, manufactured, and distributed precision-engineered components.</w:t>
      </w:r>
    </w:p>
    <w:p>
      <w:pPr>
        <w:spacing w:after="0" w:line="12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2"/>
          <w:szCs w:val="22"/>
          <w:color w:val="auto"/>
        </w:rPr>
        <w:t>Mr. Maritz’ departure marks the end of an era. Among other endeavors, Mr. Maritz is a co-founder and President of Maritz, Wolff &amp; Co., which manages the Hotel Equity Fund, a private equity investment fund</w:t>
      </w:r>
    </w:p>
    <w:p>
      <w:pPr>
        <w:sectPr>
          <w:pgSz w:w="11900" w:h="16838" w:orient="portrait"/>
          <w:cols w:equalWidth="0" w:num="1">
            <w:col w:w="11220"/>
          </w:cols>
          <w:pgMar w:left="320" w:top="900" w:right="35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900" w:right="359" w:bottom="1440" w:gutter="0" w:footer="0" w:header="0"/>
          <w:type w:val="continuous"/>
        </w:sectPr>
      </w:pPr>
    </w:p>
    <w:bookmarkStart w:id="22" w:name="page23"/>
    <w:bookmarkEnd w:id="22"/>
    <w:p>
      <w:pPr>
        <w:spacing w:after="0" w:line="295" w:lineRule="auto"/>
        <w:rPr>
          <w:sz w:val="20"/>
          <w:szCs w:val="20"/>
          <w:color w:val="auto"/>
        </w:rPr>
      </w:pPr>
      <w:r>
        <w:rPr>
          <w:rFonts w:ascii="Times New Roman" w:cs="Times New Roman" w:eastAsia="Times New Roman" w:hAnsi="Times New Roman"/>
          <w:sz w:val="21"/>
          <w:szCs w:val="21"/>
          <w:color w:val="auto"/>
        </w:rPr>
        <w:t>that invests in luxury hotels and resorts; the founder and President of Maritz Properties, a commercial real estate development and investment firm; and the Managing Director of Broadreach Capital Partners, a private equity real estate investment fund and a member of the Council on Foreign Relations. Mr. Maritz was appointed to the Board in April 2002 shortly after Asbury became a publicly-held company. During his tenure on the Board, Mr. Maritz served as Chair of the Audit Committee, Chair of the Risk Management Committee, and Chair of the Governance &amp; Nominating Committee. He currently serves as a member of the Capital Allocation &amp; Risk Management Committee, the Governance &amp; Nominating Committee, and the Executive Committee.</w:t>
      </w:r>
    </w:p>
    <w:p>
      <w:pPr>
        <w:spacing w:after="0" w:line="96" w:lineRule="exact"/>
        <w:rPr>
          <w:sz w:val="20"/>
          <w:szCs w:val="20"/>
          <w:color w:val="auto"/>
        </w:rPr>
      </w:pPr>
    </w:p>
    <w:p>
      <w:pPr>
        <w:ind w:right="120"/>
        <w:spacing w:after="0" w:line="308" w:lineRule="auto"/>
        <w:rPr>
          <w:sz w:val="20"/>
          <w:szCs w:val="20"/>
          <w:color w:val="auto"/>
        </w:rPr>
      </w:pPr>
      <w:r>
        <w:rPr>
          <w:rFonts w:ascii="Times New Roman" w:cs="Times New Roman" w:eastAsia="Times New Roman" w:hAnsi="Times New Roman"/>
          <w:sz w:val="21"/>
          <w:szCs w:val="21"/>
          <w:color w:val="auto"/>
        </w:rPr>
        <w:t>“Philip has been instrumental in helping to guide Asbury from its Initial Public Offering to $18 billion in revenue, a Fortune 500 company operating at over 170 dealership locations in 15 states, and which has been recognized by Forbes as one of America’s Most Successful Small-Cap Companies and by Newsweek as one of the World’s Most Trustworthy Companies,” said Mr. Hult.</w:t>
      </w:r>
    </w:p>
    <w:p>
      <w:pPr>
        <w:spacing w:after="0" w:line="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2"/>
          <w:szCs w:val="22"/>
          <w:color w:val="auto"/>
        </w:rPr>
        <w:t>“Philip’s contributions to Asbury during his tenure on the Board are a testament to his deep experience and sound judgment,” said Mr. Reddin. “Over the course of his almost 24 years as a Board member, Philip provided a rare blend of leadership, strategic insights and rigorous analytical inquiries, especially during pivotal moments in the Company’s history. The Board and the management team are deeply grateful for Philip’s many years of dedicated service and the lasting contributions he has made to Asbury’s success. He is our friend and he will be missed.”</w:t>
      </w:r>
    </w:p>
    <w:p>
      <w:pPr>
        <w:spacing w:after="0" w:line="1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2"/>
          <w:szCs w:val="22"/>
          <w:color w:val="auto"/>
        </w:rPr>
        <w:t>“I am proud of what the Board has accomplished over the last two decades, and thankful to have been a part of that equation,” said Mr. Maritz. “I have every confidence that Asbury’s Board and management team are well-positioned to continue the Company’s mission to be the nation’s most-guest-centric automotive retailer. I wish my friends and colleagues at Asbury continued success.”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Asbury Automotive Group, Inc.</w:t>
      </w:r>
    </w:p>
    <w:p>
      <w:pPr>
        <w:spacing w:after="0" w:line="22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2"/>
          <w:szCs w:val="22"/>
          <w:color w:val="auto"/>
        </w:rPr>
        <w:t>Asbury Automotive Group, Inc. (NYSE: ABG), a Fortune 500 company headquartered in Atlanta, Georgia, is one of the largest automotive retailers in the U.S. In late 2020, Asbury embarked on a multi-year plan to increase revenue and profitability strategically through organic operations, acquisitive growth and innovative technologies, with its guest-centric approach as Asbury’s constant North Star. As of December 31, 2025, Asbury operated 171 new vehicle dealerships, consisting of 223 franchises and representing 36 domestic and foreign brands of vehicles. Asbury also operates Total Care Auto, Powered by Asbury, a leading provider of service contracts and other vehicle protection products, and 39 collision repair centers. Asbury offers an extensive range of automotive products and services, including new and used vehicles; parts and service, which includes vehicle repair and maintenance services, replacement parts and collision repair services; and finance and insurance products, including arranging vehicle financing through third parties and aftermarket products, such as extended service contracts, guaranteed asset protection debt cancellation, and prepaid maintenance. Asbury is recognized as one of America’s Fastest Growing Companies 2024 by the Financial Times, one of the World’s Most Trustworthy Companies 2024 and 2025 by Newsweek, and one of America’s Most Successful Small-Cap Companies by Forbes for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additional information, visit </w:t>
      </w:r>
      <w:r>
        <w:rPr>
          <w:rFonts w:ascii="Times New Roman" w:cs="Times New Roman" w:eastAsia="Times New Roman" w:hAnsi="Times New Roman"/>
          <w:sz w:val="22"/>
          <w:szCs w:val="22"/>
          <w:u w:val="single" w:color="auto"/>
          <w:color w:val="0000ED"/>
        </w:rPr>
        <w:t>www.asburyauto.com</w:t>
      </w:r>
      <w:r>
        <w:rPr>
          <w:rFonts w:ascii="Times New Roman" w:cs="Times New Roman" w:eastAsia="Times New Roman" w:hAnsi="Times New Roman"/>
          <w:sz w:val="22"/>
          <w:szCs w:val="22"/>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0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21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Private Securities Litigation Reform Act of 1995. Forward-looking statements are statements other than historical fact. These statements are based on management's current expectations and beliefs and involve risks and uncertainties that may cause actual results to differ materially from those expressed or implied in our forward-looking statements, which risk factors are set forth in Asbury's filings with the U.S. Securities and Exchange Commission from time to time, including its most recent annual report on Form 10-K and any subsequently filed quarterly reports on Form 10-Q. These forward-looking statements and such risks, uncertainties and other factors speak only as of the date of this press release. We undertake no obligation to publicly update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9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upperLetter"/>
      <w:start w:val="35"/>
    </w:lvl>
  </w:abstractNum>
  <w:abstractNum w:abstractNumId="2">
    <w:nsid w:val="66EF438D"/>
    <w:multiLevelType w:val="hybridMultilevel"/>
    <w:lvl w:ilvl="0">
      <w:lvlJc w:val="left"/>
      <w:lvlText w:val="(%1)"/>
      <w:numFmt w:val="lowerLetter"/>
      <w:start w:val="4"/>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1)"/>
      <w:numFmt w:val="lowerRoman"/>
      <w:start w:val="2"/>
    </w:lvl>
  </w:abstractNum>
  <w:abstractNum w:abstractNumId="6">
    <w:nsid w:val="DED7263"/>
    <w:multiLevelType w:val="hybridMultilevel"/>
    <w:lvl w:ilvl="0">
      <w:lvlJc w:val="left"/>
      <w:lvlText w:val="(%1)"/>
      <w:numFmt w:val="upperLetter"/>
      <w:start w:val="1"/>
    </w:lvl>
    <w:lvl w:ilvl="1">
      <w:lvlJc w:val="left"/>
      <w:lvlText w:val="(%2)"/>
      <w:numFmt w:val="decimal"/>
      <w:start w:val="1"/>
    </w:lvl>
  </w:abstractNum>
  <w:abstractNum w:abstractNumId="7">
    <w:nsid w:val="7FDCC233"/>
    <w:multiLevelType w:val="hybridMultilevel"/>
    <w:lvl w:ilvl="0">
      <w:lvlJc w:val="left"/>
      <w:lvlText w:val="%1"/>
      <w:numFmt w:val="lowerRoman"/>
      <w:start w:val="1"/>
    </w:lvl>
    <w:lvl w:ilvl="1">
      <w:lvlJc w:val="left"/>
      <w:lvlText w:val="(%2)"/>
      <w:numFmt w:val="decimal"/>
      <w:start w:val="4"/>
    </w:lvl>
  </w:abstractNum>
  <w:abstractNum w:abstractNumId="8">
    <w:nsid w:val="1BEFD79F"/>
    <w:multiLevelType w:val="hybridMultilevel"/>
    <w:lvl w:ilvl="0">
      <w:lvlJc w:val="left"/>
      <w:lvlText w:val="(%1)"/>
      <w:numFmt w:val="lowerRoman"/>
      <w:start w:val="3"/>
    </w:lvl>
    <w:lvl w:ilvl="1">
      <w:lvlJc w:val="left"/>
      <w:lvlText w:val="(%2)"/>
      <w:numFmt w:val="decimal"/>
      <w:start w:val="5"/>
    </w:lvl>
  </w:abstractNum>
  <w:abstractNum w:abstractNumId="9">
    <w:nsid w:val="41A7C4C9"/>
    <w:multiLevelType w:val="hybridMultilevel"/>
    <w:lvl w:ilvl="0">
      <w:lvlJc w:val="left"/>
      <w:lvlText w:val="(%1)"/>
      <w:numFmt w:val="upperLetter"/>
      <w:start w:val="2"/>
    </w:lvl>
  </w:abstractNum>
  <w:abstractNum w:abstractNumId="10">
    <w:nsid w:val="6B68079A"/>
    <w:multiLevelType w:val="hybridMultilevel"/>
    <w:lvl w:ilvl="0">
      <w:lvlJc w:val="left"/>
      <w:lvlText w:val="(%1)"/>
      <w:numFmt w:val="lowerRoman"/>
      <w:start w:val="3"/>
    </w:lvl>
  </w:abstractNum>
  <w:abstractNum w:abstractNumId="11">
    <w:nsid w:val="4E6AFB66"/>
    <w:multiLevelType w:val="hybridMultilevel"/>
    <w:lvl w:ilvl="0">
      <w:lvlJc w:val="left"/>
      <w:lvlText w:val="(%1)"/>
      <w:numFmt w:val="lowerLetter"/>
      <w:start w:val="2"/>
    </w:lvl>
  </w:abstractNum>
  <w:abstractNum w:abstractNumId="12">
    <w:nsid w:val="25E45D32"/>
    <w:multiLevelType w:val="hybridMultilevel"/>
    <w:lvl w:ilvl="0">
      <w:lvlJc w:val="left"/>
      <w:lvlText w:val="(%1)"/>
      <w:numFmt w:val="lowerLetter"/>
      <w:start w:val="3"/>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lvl w:ilvl="1">
      <w:lvlJc w:val="left"/>
      <w:lvlText w:val="(%2)"/>
      <w:numFmt w:val="lowerLetter"/>
      <w:start w:val="1"/>
    </w:lvl>
  </w:abstractNum>
  <w:abstractNum w:abstractNumId="19">
    <w:nsid w:val="436C6125"/>
    <w:multiLevelType w:val="hybridMultilevel"/>
    <w:lvl w:ilvl="0">
      <w:lvlJc w:val="left"/>
      <w:lvlText w:val="(%1)"/>
      <w:numFmt w:val="lowerLetter"/>
      <w:start w:val="35"/>
    </w:lvl>
    <w:lvl w:ilvl="1">
      <w:lvlJc w:val="left"/>
      <w:lvlText w:val="%2"/>
      <w:numFmt w:val="lowerLetter"/>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2026-02-04T15:39:01Z</dcterms:created>
  <dcterms:modified xsi:type="dcterms:W3CDTF">2026-02-04T15:39:01Z</dcterms:modified>
</cp:coreProperties>
</file>