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202565</wp:posOffset>
            </wp:positionH>
            <wp:positionV relativeFrom="page">
              <wp:posOffset>277495</wp:posOffset>
            </wp:positionV>
            <wp:extent cx="71437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309245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158115</wp:posOffset>
            </wp:positionV>
            <wp:extent cx="17856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8-K/A</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182880</wp:posOffset>
            </wp:positionV>
            <wp:extent cx="17856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July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172085</wp:posOffset>
            </wp:positionV>
            <wp:extent cx="17856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Asbury Automotive Group, Inc.</w:t>
      </w:r>
    </w:p>
    <w:p>
      <w:pPr>
        <w:spacing w:after="0" w:line="46" w:lineRule="exact"/>
        <w:rPr>
          <w:sz w:val="24"/>
          <w:szCs w:val="24"/>
          <w:color w:val="auto"/>
        </w:rPr>
      </w:pPr>
    </w:p>
    <w:tbl>
      <w:tblPr>
        <w:tblLayout w:type="fixed"/>
        <w:tblInd w:w="1401" w:type="dxa"/>
        <w:tblCellMar>
          <w:top w:w="0" w:type="dxa"/>
          <w:left w:w="0" w:type="dxa"/>
          <w:bottom w:w="0" w:type="dxa"/>
          <w:right w:w="0" w:type="dxa"/>
        </w:tblCellMar>
      </w:tblPr>
      <w:tr>
        <w:trPr>
          <w:trHeight w:val="219"/>
        </w:trPr>
        <w:tc>
          <w:tcPr>
            <w:tcW w:w="83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(Exact name of registrant as specified in its charter)</w:t>
            </w:r>
          </w:p>
        </w:tc>
      </w:tr>
      <w:tr>
        <w:trPr>
          <w:trHeight w:val="225"/>
        </w:trPr>
        <w:tc>
          <w:tcPr>
            <w:tcW w:w="2820" w:type="dxa"/>
            <w:vAlign w:val="bottom"/>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30"/>
        </w:trPr>
        <w:tc>
          <w:tcPr>
            <w:tcW w:w="2820" w:type="dxa"/>
            <w:vAlign w:val="bottom"/>
          </w:tcPr>
          <w:p>
            <w:pPr>
              <w:spacing w:after="0"/>
              <w:rPr>
                <w:sz w:val="24"/>
                <w:szCs w:val="24"/>
                <w:color w:val="auto"/>
              </w:rPr>
            </w:pPr>
          </w:p>
        </w:tc>
        <w:tc>
          <w:tcPr>
            <w:tcW w:w="3000" w:type="dxa"/>
            <w:vAlign w:val="bottom"/>
            <w:gridSpan w:val="2"/>
          </w:tcPr>
          <w:p>
            <w:pPr>
              <w:ind w:left="108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480" w:type="dxa"/>
            <w:vAlign w:val="bottom"/>
          </w:tcPr>
          <w:p>
            <w:pPr>
              <w:spacing w:after="0"/>
              <w:rPr>
                <w:sz w:val="24"/>
                <w:szCs w:val="24"/>
                <w:color w:val="auto"/>
              </w:rPr>
            </w:pPr>
          </w:p>
        </w:tc>
      </w:tr>
      <w:tr>
        <w:trPr>
          <w:trHeight w:val="219"/>
        </w:trPr>
        <w:tc>
          <w:tcPr>
            <w:tcW w:w="5820" w:type="dxa"/>
            <w:vAlign w:val="bottom"/>
            <w:gridSpan w:val="3"/>
          </w:tcPr>
          <w:p>
            <w:pPr>
              <w:jc w:val="center"/>
              <w:ind w:left="2457"/>
              <w:spacing w:after="0"/>
              <w:rPr>
                <w:sz w:val="20"/>
                <w:szCs w:val="20"/>
                <w:color w:val="auto"/>
              </w:rPr>
            </w:pPr>
            <w:r>
              <w:rPr>
                <w:rFonts w:ascii="Times New Roman" w:cs="Times New Roman" w:eastAsia="Times New Roman" w:hAnsi="Times New Roman"/>
                <w:sz w:val="17"/>
                <w:szCs w:val="17"/>
                <w:b w:val="1"/>
                <w:bCs w:val="1"/>
                <w:color w:val="auto"/>
                <w:w w:val="96"/>
              </w:rPr>
              <w:t>(State or other jurisdiction of incorporation)</w:t>
            </w:r>
          </w:p>
        </w:tc>
        <w:tc>
          <w:tcPr>
            <w:tcW w:w="2480" w:type="dxa"/>
            <w:vAlign w:val="bottom"/>
          </w:tcPr>
          <w:p>
            <w:pPr>
              <w:spacing w:after="0"/>
              <w:rPr>
                <w:sz w:val="19"/>
                <w:szCs w:val="19"/>
                <w:color w:val="auto"/>
              </w:rPr>
            </w:pPr>
          </w:p>
        </w:tc>
      </w:tr>
      <w:tr>
        <w:trPr>
          <w:trHeight w:val="376"/>
        </w:trPr>
        <w:tc>
          <w:tcPr>
            <w:tcW w:w="2820" w:type="dxa"/>
            <w:vAlign w:val="bottom"/>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001-31262</w:t>
            </w: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jc w:val="right"/>
              <w:ind w:right="717"/>
              <w:spacing w:after="0"/>
              <w:rPr>
                <w:sz w:val="20"/>
                <w:szCs w:val="20"/>
                <w:color w:val="auto"/>
              </w:rPr>
            </w:pPr>
            <w:r>
              <w:rPr>
                <w:rFonts w:ascii="Times New Roman" w:cs="Times New Roman" w:eastAsia="Times New Roman" w:hAnsi="Times New Roman"/>
                <w:sz w:val="17"/>
                <w:szCs w:val="17"/>
                <w:b w:val="1"/>
                <w:bCs w:val="1"/>
                <w:color w:val="auto"/>
              </w:rPr>
              <w:t>01-0609375</w:t>
            </w:r>
          </w:p>
        </w:tc>
      </w:tr>
      <w:tr>
        <w:trPr>
          <w:trHeight w:val="219"/>
        </w:trPr>
        <w:tc>
          <w:tcPr>
            <w:tcW w:w="5820" w:type="dxa"/>
            <w:vAlign w:val="bottom"/>
            <w:gridSpan w:val="3"/>
          </w:tcPr>
          <w:p>
            <w:pPr>
              <w:jc w:val="center"/>
              <w:ind w:right="3100"/>
              <w:spacing w:after="0"/>
              <w:rPr>
                <w:sz w:val="20"/>
                <w:szCs w:val="20"/>
                <w:color w:val="auto"/>
              </w:rPr>
            </w:pPr>
            <w:r>
              <w:rPr>
                <w:rFonts w:ascii="Times New Roman" w:cs="Times New Roman" w:eastAsia="Times New Roman" w:hAnsi="Times New Roman"/>
                <w:sz w:val="17"/>
                <w:szCs w:val="17"/>
                <w:b w:val="1"/>
                <w:bCs w:val="1"/>
                <w:color w:val="auto"/>
                <w:w w:val="97"/>
              </w:rPr>
              <w:t>(Commission File Number)</w:t>
            </w:r>
          </w:p>
        </w:tc>
        <w:tc>
          <w:tcPr>
            <w:tcW w:w="2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(IRS Employer Identification No.)</w:t>
            </w:r>
          </w:p>
        </w:tc>
      </w:tr>
      <w:tr>
        <w:trPr>
          <w:trHeight w:val="376"/>
        </w:trPr>
        <w:tc>
          <w:tcPr>
            <w:tcW w:w="5820" w:type="dxa"/>
            <w:vAlign w:val="bottom"/>
            <w:gridSpan w:val="3"/>
          </w:tcPr>
          <w:p>
            <w:pPr>
              <w:jc w:val="center"/>
              <w:ind w:right="3120"/>
              <w:spacing w:after="0"/>
              <w:rPr>
                <w:sz w:val="20"/>
                <w:szCs w:val="20"/>
                <w:color w:val="auto"/>
              </w:rPr>
            </w:pPr>
            <w:r>
              <w:rPr>
                <w:rFonts w:ascii="Times New Roman" w:cs="Times New Roman" w:eastAsia="Times New Roman" w:hAnsi="Times New Roman"/>
                <w:sz w:val="17"/>
                <w:szCs w:val="17"/>
                <w:b w:val="1"/>
                <w:bCs w:val="1"/>
                <w:color w:val="auto"/>
                <w:w w:val="96"/>
              </w:rPr>
              <w:t>2905 Premiere Parkway NW Suite 300</w:t>
            </w:r>
          </w:p>
        </w:tc>
        <w:tc>
          <w:tcPr>
            <w:tcW w:w="2480" w:type="dxa"/>
            <w:vAlign w:val="bottom"/>
          </w:tcPr>
          <w:p>
            <w:pPr>
              <w:spacing w:after="0"/>
              <w:rPr>
                <w:sz w:val="24"/>
                <w:szCs w:val="24"/>
                <w:color w:val="auto"/>
              </w:rPr>
            </w:pPr>
          </w:p>
        </w:tc>
      </w:tr>
      <w:tr>
        <w:trPr>
          <w:trHeight w:val="202"/>
        </w:trPr>
        <w:tc>
          <w:tcPr>
            <w:tcW w:w="5820" w:type="dxa"/>
            <w:vAlign w:val="bottom"/>
            <w:gridSpan w:val="3"/>
          </w:tcPr>
          <w:p>
            <w:pPr>
              <w:jc w:val="center"/>
              <w:ind w:right="3120"/>
              <w:spacing w:after="0"/>
              <w:rPr>
                <w:sz w:val="20"/>
                <w:szCs w:val="20"/>
                <w:color w:val="auto"/>
              </w:rPr>
            </w:pPr>
            <w:r>
              <w:rPr>
                <w:rFonts w:ascii="Times New Roman" w:cs="Times New Roman" w:eastAsia="Times New Roman" w:hAnsi="Times New Roman"/>
                <w:sz w:val="17"/>
                <w:szCs w:val="17"/>
                <w:b w:val="1"/>
                <w:bCs w:val="1"/>
                <w:color w:val="auto"/>
                <w:w w:val="96"/>
              </w:rPr>
              <w:t>Duluth, GA</w:t>
            </w:r>
          </w:p>
        </w:tc>
        <w:tc>
          <w:tcPr>
            <w:tcW w:w="2480" w:type="dxa"/>
            <w:vAlign w:val="bottom"/>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rPr>
              <w:t>30097</w:t>
            </w:r>
          </w:p>
        </w:tc>
      </w:tr>
      <w:tr>
        <w:trPr>
          <w:trHeight w:val="215"/>
        </w:trPr>
        <w:tc>
          <w:tcPr>
            <w:tcW w:w="5820" w:type="dxa"/>
            <w:vAlign w:val="bottom"/>
            <w:gridSpan w:val="3"/>
          </w:tcPr>
          <w:p>
            <w:pPr>
              <w:jc w:val="center"/>
              <w:ind w:right="3120"/>
              <w:spacing w:after="0"/>
              <w:rPr>
                <w:sz w:val="20"/>
                <w:szCs w:val="20"/>
                <w:color w:val="auto"/>
              </w:rPr>
            </w:pPr>
            <w:r>
              <w:rPr>
                <w:rFonts w:ascii="Times New Roman" w:cs="Times New Roman" w:eastAsia="Times New Roman" w:hAnsi="Times New Roman"/>
                <w:sz w:val="17"/>
                <w:szCs w:val="17"/>
                <w:color w:val="auto"/>
                <w:w w:val="97"/>
              </w:rPr>
              <w:t>(Address of principal executive offices)</w:t>
            </w:r>
          </w:p>
        </w:tc>
        <w:tc>
          <w:tcPr>
            <w:tcW w:w="2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(770) 418-8200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158750</wp:posOffset>
            </wp:positionV>
            <wp:extent cx="17856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562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ind w:left="1"/>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601" w:hanging="601"/>
        <w:spacing w:after="0"/>
        <w:tabs>
          <w:tab w:leader="none" w:pos="6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25" w:lineRule="exact"/>
        <w:rPr>
          <w:rFonts w:ascii="MS PGothic" w:cs="MS PGothic" w:eastAsia="MS PGothic" w:hAnsi="MS PGothic"/>
          <w:sz w:val="17"/>
          <w:szCs w:val="17"/>
          <w:color w:val="auto"/>
        </w:rPr>
      </w:pPr>
    </w:p>
    <w:p>
      <w:pPr>
        <w:ind w:left="601" w:hanging="601"/>
        <w:spacing w:after="0"/>
        <w:tabs>
          <w:tab w:leader="none" w:pos="6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rFonts w:ascii="MS PGothic" w:cs="MS PGothic" w:eastAsia="MS PGothic" w:hAnsi="MS PGothic"/>
          <w:sz w:val="17"/>
          <w:szCs w:val="17"/>
          <w:color w:val="auto"/>
        </w:rPr>
      </w:pPr>
    </w:p>
    <w:p>
      <w:pPr>
        <w:ind w:left="601" w:hanging="601"/>
        <w:spacing w:after="0"/>
        <w:tabs>
          <w:tab w:leader="none" w:pos="601"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rFonts w:ascii="MS PGothic" w:cs="MS PGothic" w:eastAsia="MS PGothic" w:hAnsi="MS PGothic"/>
          <w:sz w:val="17"/>
          <w:szCs w:val="17"/>
          <w:color w:val="auto"/>
        </w:rPr>
      </w:pPr>
    </w:p>
    <w:p>
      <w:pPr>
        <w:ind w:left="1" w:right="3260" w:hanging="1"/>
        <w:spacing w:after="0" w:line="484" w:lineRule="auto"/>
        <w:tabs>
          <w:tab w:leader="none" w:pos="595"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1" w:type="dxa"/>
        <w:tblCellMar>
          <w:top w:w="0" w:type="dxa"/>
          <w:left w:w="0" w:type="dxa"/>
          <w:bottom w:w="0" w:type="dxa"/>
          <w:right w:w="0" w:type="dxa"/>
        </w:tblCellMar>
      </w:tblPr>
      <w:tr>
        <w:trPr>
          <w:trHeight w:val="198"/>
        </w:trPr>
        <w:tc>
          <w:tcPr>
            <w:tcW w:w="4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Trading</w:t>
            </w:r>
          </w:p>
        </w:tc>
        <w:tc>
          <w:tcPr>
            <w:tcW w:w="4480" w:type="dxa"/>
            <w:vAlign w:val="bottom"/>
          </w:tcPr>
          <w:p>
            <w:pPr>
              <w:spacing w:after="0"/>
              <w:rPr>
                <w:sz w:val="17"/>
                <w:szCs w:val="17"/>
                <w:color w:val="auto"/>
              </w:rPr>
            </w:pPr>
          </w:p>
        </w:tc>
      </w:tr>
      <w:tr>
        <w:trPr>
          <w:trHeight w:val="219"/>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Title of each class</w:t>
            </w: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Name of each exchange on which registered</w:t>
            </w:r>
          </w:p>
        </w:tc>
      </w:tr>
      <w:tr>
        <w:trPr>
          <w:trHeight w:val="20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Common stock, $0.01 par value per share</w:t>
            </w:r>
          </w:p>
        </w:tc>
        <w:tc>
          <w:tcPr>
            <w:tcW w:w="24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4"/>
              </w:rPr>
              <w:t>ABG</w:t>
            </w:r>
          </w:p>
        </w:tc>
        <w:tc>
          <w:tcPr>
            <w:tcW w:w="240" w:type="dxa"/>
            <w:vAlign w:val="bottom"/>
          </w:tcPr>
          <w:p>
            <w:pPr>
              <w:spacing w:after="0"/>
              <w:rPr>
                <w:sz w:val="18"/>
                <w:szCs w:val="18"/>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New York Stock Exchange</w:t>
            </w:r>
          </w:p>
        </w:tc>
      </w:tr>
    </w:tbl>
    <w:p>
      <w:pPr>
        <w:spacing w:after="0" w:line="165" w:lineRule="exact"/>
        <w:rPr>
          <w:sz w:val="24"/>
          <w:szCs w:val="24"/>
          <w:color w:val="auto"/>
        </w:rPr>
      </w:pPr>
    </w:p>
    <w:p>
      <w:pPr>
        <w:ind w:left="1" w:right="280"/>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1"/>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9" w:lineRule="exact"/>
        <w:rPr>
          <w:sz w:val="24"/>
          <w:szCs w:val="24"/>
          <w:color w:val="auto"/>
        </w:rPr>
      </w:pPr>
    </w:p>
    <w:p>
      <w:pPr>
        <w:ind w:left="1" w:right="38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37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71437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416560</wp:posOffset>
            </wp:positionV>
            <wp:extent cx="7143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65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2.01 Completion of Acquisition or Disposition of Assets.</w:t>
      </w:r>
    </w:p>
    <w:p>
      <w:pPr>
        <w:spacing w:after="0" w:line="205" w:lineRule="exact"/>
        <w:rPr>
          <w:sz w:val="20"/>
          <w:szCs w:val="20"/>
          <w:color w:val="auto"/>
        </w:rPr>
      </w:pPr>
    </w:p>
    <w:p>
      <w:pPr>
        <w:ind w:right="60" w:firstLine="595"/>
        <w:spacing w:after="0" w:line="251" w:lineRule="auto"/>
        <w:rPr>
          <w:sz w:val="20"/>
          <w:szCs w:val="20"/>
          <w:color w:val="auto"/>
        </w:rPr>
      </w:pPr>
      <w:r>
        <w:rPr>
          <w:rFonts w:ascii="Times New Roman" w:cs="Times New Roman" w:eastAsia="Times New Roman" w:hAnsi="Times New Roman"/>
          <w:sz w:val="17"/>
          <w:szCs w:val="17"/>
          <w:color w:val="auto"/>
        </w:rPr>
        <w:t>On July 21, 2025, Asbury Automotive Group, Inc. (the “Company”) filed a Current Report on Form 8-K (the “Initial Report”) with the Securities and Exchange Commission (the “SEC”) to report the completion of the acquisition by Asbury Automotive Group, LLC (“Purchaser”), a Delaware limited liability company and a wholly-owned subsidiary of the Company, of substantially all of the assets, including real property and businesses of The Herb Chambers Companies, pursuant to a Purchase and Sale Agreement with various entities that comprise the Herb Chambers automotive dealerships group.</w:t>
      </w:r>
    </w:p>
    <w:p>
      <w:pPr>
        <w:spacing w:after="0" w:line="173" w:lineRule="exact"/>
        <w:rPr>
          <w:sz w:val="20"/>
          <w:szCs w:val="20"/>
          <w:color w:val="auto"/>
        </w:rPr>
      </w:pPr>
    </w:p>
    <w:p>
      <w:pPr>
        <w:ind w:firstLine="594"/>
        <w:spacing w:after="0" w:line="295" w:lineRule="auto"/>
        <w:tabs>
          <w:tab w:leader="none" w:pos="677"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comply with the rules and regulations promulgated by the Securities and Exchange Commission under the Securities Exchange Act of 1934 and the Securities Act of 1933, the Company hereby amends Item 9.01 of our Initial Report for the purpose of filing the financial statements of The Herb Chambers Companies and the related pro forma financial information in accordance with Article 11 of Regulation S-X, which were not previously filed with the Initial Report and are permitted to be filed by amendment no later than 71 calendar days after the date the Initial Form 8-K was required to be filed with the SEC.</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05" w:lineRule="exact"/>
        <w:rPr>
          <w:sz w:val="20"/>
          <w:szCs w:val="20"/>
          <w:color w:val="auto"/>
        </w:rPr>
      </w:pPr>
    </w:p>
    <w:p>
      <w:pPr>
        <w:ind w:left="600" w:hanging="304"/>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of business acquired.</w:t>
      </w:r>
    </w:p>
    <w:p>
      <w:pPr>
        <w:spacing w:after="0" w:line="200" w:lineRule="exact"/>
        <w:rPr>
          <w:rFonts w:ascii="Times New Roman" w:cs="Times New Roman" w:eastAsia="Times New Roman" w:hAnsi="Times New Roman"/>
          <w:sz w:val="17"/>
          <w:szCs w:val="17"/>
          <w:color w:val="auto"/>
        </w:rPr>
      </w:pPr>
    </w:p>
    <w:p>
      <w:pPr>
        <w:ind w:left="600" w:right="34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combined financial statements of The Herb Chambers Companies as of and for the years ended December 31, 2024 and 2023, together with the notes thereto and the independent auditors’ report thereon are filed as Exhibit 99.2 hereto and are incorporated herein by reference.</w:t>
      </w:r>
    </w:p>
    <w:p>
      <w:pPr>
        <w:spacing w:after="0" w:line="159" w:lineRule="exact"/>
        <w:rPr>
          <w:rFonts w:ascii="Times New Roman" w:cs="Times New Roman" w:eastAsia="Times New Roman" w:hAnsi="Times New Roman"/>
          <w:sz w:val="17"/>
          <w:szCs w:val="17"/>
          <w:color w:val="auto"/>
        </w:rPr>
      </w:pPr>
    </w:p>
    <w:p>
      <w:pPr>
        <w:ind w:left="600" w:right="180"/>
        <w:spacing w:after="0" w:line="26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combined financial statements of The Herb Chambers Companies as of and for the three months ended March 31, 2025, together with the notes thereto, are filed as Exhibit 99.3 hereto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71437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 w:name="page3"/>
    <w:bookmarkEnd w:id="2"/>
    <w:p>
      <w:pPr>
        <w:ind w:left="600" w:hanging="304"/>
        <w:spacing w:after="0"/>
        <w:tabs>
          <w:tab w:leader="none" w:pos="6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forma financial information.</w:t>
      </w:r>
    </w:p>
    <w:p>
      <w:pPr>
        <w:spacing w:after="0" w:line="200" w:lineRule="exact"/>
        <w:rPr>
          <w:rFonts w:ascii="Times New Roman" w:cs="Times New Roman" w:eastAsia="Times New Roman" w:hAnsi="Times New Roman"/>
          <w:sz w:val="17"/>
          <w:szCs w:val="17"/>
          <w:color w:val="auto"/>
        </w:rPr>
      </w:pPr>
    </w:p>
    <w:p>
      <w:pPr>
        <w:jc w:val="both"/>
        <w:ind w:left="60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pro forma condensed combined balance sheet of the Company as of March 31, 2025, and unaudited pro forma condensed combined statements of income of the Company for the three months ended March 31, 2025 and the year ended December 31, 2024 are filed as Exhibit 99.4 hereto and are incorporated herein by reference.</w:t>
      </w:r>
    </w:p>
    <w:p>
      <w:pPr>
        <w:spacing w:after="0" w:line="169" w:lineRule="exact"/>
        <w:rPr>
          <w:rFonts w:ascii="Times New Roman" w:cs="Times New Roman" w:eastAsia="Times New Roman" w:hAnsi="Times New Roman"/>
          <w:sz w:val="17"/>
          <w:szCs w:val="17"/>
          <w:color w:val="auto"/>
        </w:rPr>
      </w:pPr>
    </w:p>
    <w:p>
      <w:pPr>
        <w:ind w:left="1280" w:hanging="686"/>
        <w:spacing w:after="0"/>
        <w:tabs>
          <w:tab w:leader="none" w:pos="128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exhibits are furnished as part of this report.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17"/>
                <w:szCs w:val="17"/>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3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6"/>
        </w:trPr>
        <w:tc>
          <w:tcPr>
            <w:tcW w:w="680" w:type="dxa"/>
            <w:vAlign w:val="bottom"/>
          </w:tcPr>
          <w:p>
            <w:pPr>
              <w:spacing w:after="0"/>
              <w:rPr>
                <w:sz w:val="24"/>
                <w:szCs w:val="24"/>
                <w:color w:val="auto"/>
              </w:rPr>
            </w:pPr>
          </w:p>
        </w:tc>
        <w:tc>
          <w:tcPr>
            <w:tcW w:w="540" w:type="dxa"/>
            <w:vAlign w:val="bottom"/>
            <w:gridSpan w:val="2"/>
          </w:tcPr>
          <w:p>
            <w:pPr>
              <w:jc w:val="center"/>
              <w:ind w:left="177"/>
              <w:spacing w:after="0"/>
              <w:rPr>
                <w:sz w:val="20"/>
                <w:szCs w:val="20"/>
                <w:color w:val="auto"/>
              </w:rPr>
            </w:pPr>
            <w:r>
              <w:rPr>
                <w:rFonts w:ascii="Times New Roman" w:cs="Times New Roman" w:eastAsia="Times New Roman" w:hAnsi="Times New Roman"/>
                <w:sz w:val="17"/>
                <w:szCs w:val="17"/>
                <w:color w:val="0000EE"/>
                <w:w w:val="93"/>
              </w:rPr>
              <w:t>23.</w:t>
            </w:r>
            <w:r>
              <w:rPr>
                <w:rFonts w:ascii="Times New Roman" w:cs="Times New Roman" w:eastAsia="Times New Roman" w:hAnsi="Times New Roman"/>
                <w:sz w:val="17"/>
                <w:szCs w:val="17"/>
                <w:u w:val="single" w:color="auto"/>
                <w:color w:val="0000EE"/>
                <w:w w:val="93"/>
              </w:rPr>
              <w:t>1</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2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Consent of CBIZ CPAs P.C.</w:t>
            </w:r>
          </w:p>
        </w:tc>
      </w:tr>
      <w:tr>
        <w:trPr>
          <w:trHeight w:val="20"/>
        </w:trPr>
        <w:tc>
          <w:tcPr>
            <w:tcW w:w="94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1220" w:type="dxa"/>
            <w:vAlign w:val="bottom"/>
            <w:gridSpan w:val="3"/>
          </w:tcPr>
          <w:p>
            <w:pPr>
              <w:jc w:val="center"/>
              <w:ind w:left="857"/>
              <w:spacing w:after="0" w:line="178"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gridSpan w:val="8"/>
          </w:tcPr>
          <w:p>
            <w:pPr>
              <w:spacing w:after="0" w:line="178" w:lineRule="exact"/>
              <w:rPr>
                <w:sz w:val="20"/>
                <w:szCs w:val="20"/>
                <w:color w:val="auto"/>
              </w:rPr>
            </w:pPr>
            <w:r>
              <w:rPr>
                <w:rFonts w:ascii="Times New Roman" w:cs="Times New Roman" w:eastAsia="Times New Roman" w:hAnsi="Times New Roman"/>
                <w:sz w:val="17"/>
                <w:szCs w:val="17"/>
                <w:color w:val="0000EE"/>
                <w:w w:val="97"/>
              </w:rPr>
              <w:t>Audited combined financial statements of The Herb Chambers Companies as of and for the years ended December 31, 2024 and 2023 (with</w:t>
            </w:r>
          </w:p>
        </w:tc>
      </w:tr>
      <w:tr>
        <w:trPr>
          <w:trHeight w:val="158"/>
        </w:trPr>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540" w:type="dxa"/>
            <w:vAlign w:val="bottom"/>
            <w:tcBorders>
              <w:top w:val="single" w:sz="8" w:color="0000EE"/>
              <w:bottom w:val="single" w:sz="8" w:color="0000EE"/>
            </w:tcBorders>
            <w:gridSpan w:val="3"/>
          </w:tcPr>
          <w:p>
            <w:pPr>
              <w:spacing w:after="0" w:line="159" w:lineRule="exact"/>
              <w:rPr>
                <w:sz w:val="20"/>
                <w:szCs w:val="20"/>
                <w:color w:val="auto"/>
              </w:rPr>
            </w:pPr>
            <w:r>
              <w:rPr>
                <w:rFonts w:ascii="Times New Roman" w:cs="Times New Roman" w:eastAsia="Times New Roman" w:hAnsi="Times New Roman"/>
                <w:sz w:val="17"/>
                <w:szCs w:val="17"/>
                <w:color w:val="0000EE"/>
                <w:w w:val="99"/>
              </w:rPr>
              <w:t>independent auditors’ report thereon)</w:t>
            </w:r>
          </w:p>
        </w:tc>
        <w:tc>
          <w:tcPr>
            <w:tcW w:w="6700" w:type="dxa"/>
            <w:vAlign w:val="bottom"/>
            <w:tcBorders>
              <w:top w:val="single" w:sz="8" w:color="0000EE"/>
            </w:tcBorders>
            <w:gridSpan w:val="4"/>
          </w:tcPr>
          <w:p>
            <w:pPr>
              <w:spacing w:after="0"/>
              <w:rPr>
                <w:sz w:val="13"/>
                <w:szCs w:val="13"/>
                <w:color w:val="auto"/>
              </w:rPr>
            </w:pPr>
          </w:p>
        </w:tc>
        <w:tc>
          <w:tcPr>
            <w:tcW w:w="80" w:type="dxa"/>
            <w:vAlign w:val="bottom"/>
          </w:tcPr>
          <w:p>
            <w:pPr>
              <w:spacing w:after="0"/>
              <w:rPr>
                <w:sz w:val="13"/>
                <w:szCs w:val="13"/>
                <w:color w:val="auto"/>
              </w:rPr>
            </w:pPr>
          </w:p>
        </w:tc>
      </w:tr>
      <w:tr>
        <w:trPr>
          <w:trHeight w:val="178"/>
        </w:trPr>
        <w:tc>
          <w:tcPr>
            <w:tcW w:w="1220" w:type="dxa"/>
            <w:vAlign w:val="bottom"/>
            <w:gridSpan w:val="3"/>
          </w:tcPr>
          <w:p>
            <w:pPr>
              <w:jc w:val="center"/>
              <w:ind w:left="857"/>
              <w:spacing w:after="0" w:line="178"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3</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320" w:type="dxa"/>
            <w:vAlign w:val="bottom"/>
            <w:gridSpan w:val="8"/>
          </w:tcPr>
          <w:p>
            <w:pPr>
              <w:spacing w:after="0" w:line="178" w:lineRule="exact"/>
              <w:rPr>
                <w:sz w:val="20"/>
                <w:szCs w:val="20"/>
                <w:color w:val="auto"/>
              </w:rPr>
            </w:pPr>
            <w:r>
              <w:rPr>
                <w:rFonts w:ascii="Times New Roman" w:cs="Times New Roman" w:eastAsia="Times New Roman" w:hAnsi="Times New Roman"/>
                <w:sz w:val="17"/>
                <w:szCs w:val="17"/>
                <w:color w:val="0000EE"/>
              </w:rPr>
              <w:t>Unaudited combined financial statements of The Herb Chambers Companies as of and for the three months ended March 31, 2025</w:t>
            </w:r>
          </w:p>
        </w:tc>
      </w:tr>
      <w:tr>
        <w:trPr>
          <w:trHeight w:val="20"/>
        </w:trPr>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8"/>
        </w:trPr>
        <w:tc>
          <w:tcPr>
            <w:tcW w:w="1220" w:type="dxa"/>
            <w:vAlign w:val="bottom"/>
            <w:gridSpan w:val="3"/>
          </w:tcPr>
          <w:p>
            <w:pPr>
              <w:jc w:val="center"/>
              <w:ind w:left="857"/>
              <w:spacing w:after="0" w:line="178"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320" w:type="dxa"/>
            <w:vAlign w:val="bottom"/>
            <w:gridSpan w:val="8"/>
          </w:tcPr>
          <w:p>
            <w:pPr>
              <w:spacing w:after="0" w:line="178" w:lineRule="exact"/>
              <w:rPr>
                <w:sz w:val="20"/>
                <w:szCs w:val="20"/>
                <w:color w:val="auto"/>
              </w:rPr>
            </w:pPr>
            <w:r>
              <w:rPr>
                <w:rFonts w:ascii="Times New Roman" w:cs="Times New Roman" w:eastAsia="Times New Roman" w:hAnsi="Times New Roman"/>
                <w:sz w:val="17"/>
                <w:szCs w:val="17"/>
                <w:color w:val="0000EE"/>
              </w:rPr>
              <w:t>Unaudited pro forma condensed combined balance sheet of the Company as of March 31, 2025, and unaudited pro forma condensed</w:t>
            </w:r>
          </w:p>
        </w:tc>
      </w:tr>
      <w:tr>
        <w:trPr>
          <w:trHeight w:val="178"/>
        </w:trPr>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40" w:type="dxa"/>
            <w:vAlign w:val="bottom"/>
            <w:tcBorders>
              <w:top w:val="single" w:sz="8" w:color="0000EE"/>
            </w:tcBorders>
            <w:gridSpan w:val="6"/>
          </w:tcPr>
          <w:p>
            <w:pPr>
              <w:spacing w:after="0" w:line="178" w:lineRule="exact"/>
              <w:rPr>
                <w:sz w:val="20"/>
                <w:szCs w:val="20"/>
                <w:color w:val="auto"/>
              </w:rPr>
            </w:pPr>
            <w:r>
              <w:rPr>
                <w:rFonts w:ascii="Times New Roman" w:cs="Times New Roman" w:eastAsia="Times New Roman" w:hAnsi="Times New Roman"/>
                <w:sz w:val="17"/>
                <w:szCs w:val="17"/>
                <w:color w:val="0000EE"/>
                <w:w w:val="97"/>
              </w:rPr>
              <w:t>combined statements of income of the Company for the three months ended March 31, 2025 and the year ended December 31, 2024</w:t>
            </w:r>
          </w:p>
        </w:tc>
        <w:tc>
          <w:tcPr>
            <w:tcW w:w="580" w:type="dxa"/>
            <w:vAlign w:val="bottom"/>
            <w:gridSpan w:val="2"/>
          </w:tcPr>
          <w:p>
            <w:pPr>
              <w:spacing w:after="0"/>
              <w:rPr>
                <w:sz w:val="15"/>
                <w:szCs w:val="15"/>
                <w:color w:val="auto"/>
              </w:rPr>
            </w:pPr>
          </w:p>
        </w:tc>
      </w:tr>
      <w:tr>
        <w:trPr>
          <w:trHeight w:val="216"/>
        </w:trPr>
        <w:tc>
          <w:tcPr>
            <w:tcW w:w="1220" w:type="dxa"/>
            <w:vAlign w:val="bottom"/>
            <w:gridSpan w:val="3"/>
          </w:tcPr>
          <w:p>
            <w:pPr>
              <w:jc w:val="center"/>
              <w:ind w:left="857"/>
              <w:spacing w:after="0"/>
              <w:rPr>
                <w:sz w:val="20"/>
                <w:szCs w:val="20"/>
                <w:color w:val="auto"/>
              </w:rPr>
            </w:pPr>
            <w:r>
              <w:rPr>
                <w:rFonts w:ascii="Times New Roman" w:cs="Times New Roman" w:eastAsia="Times New Roman" w:hAnsi="Times New Roman"/>
                <w:sz w:val="17"/>
                <w:szCs w:val="17"/>
                <w:color w:val="auto"/>
                <w:w w:val="93"/>
              </w:rPr>
              <w:t>104</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600" w:type="dxa"/>
            <w:vAlign w:val="bottom"/>
            <w:gridSpan w:val="3"/>
          </w:tcPr>
          <w:p>
            <w:pPr>
              <w:spacing w:after="0"/>
              <w:rPr>
                <w:sz w:val="18"/>
                <w:szCs w:val="18"/>
                <w:color w:val="auto"/>
              </w:rPr>
            </w:pPr>
          </w:p>
        </w:tc>
      </w:tr>
      <w:tr>
        <w:trPr>
          <w:trHeight w:val="619"/>
        </w:trPr>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5" w:lineRule="exact"/>
        <w:rPr>
          <w:sz w:val="20"/>
          <w:szCs w:val="20"/>
          <w:color w:val="auto"/>
        </w:rPr>
      </w:pPr>
    </w:p>
    <w:p>
      <w:pPr>
        <w:ind w:right="40" w:firstLine="297"/>
        <w:spacing w:after="0" w:line="26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7"/>
                <w:szCs w:val="17"/>
                <w:color w:val="auto"/>
              </w:rPr>
              <w:t>ASBURY AUTOMOTIVE GROUP, INC.</w:t>
            </w:r>
          </w:p>
        </w:tc>
      </w:tr>
      <w:tr>
        <w:trPr>
          <w:trHeight w:val="396"/>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July 29, 2025</w:t>
            </w: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Michael D. Welch</w:t>
            </w:r>
          </w:p>
        </w:tc>
      </w:tr>
      <w:tr>
        <w:trPr>
          <w:trHeight w:val="170"/>
        </w:trPr>
        <w:tc>
          <w:tcPr>
            <w:tcW w:w="3480" w:type="dxa"/>
            <w:vAlign w:val="bottom"/>
          </w:tcPr>
          <w:p>
            <w:pPr>
              <w:spacing w:after="0"/>
              <w:rPr>
                <w:sz w:val="14"/>
                <w:szCs w:val="14"/>
                <w:color w:val="auto"/>
              </w:rPr>
            </w:pPr>
          </w:p>
        </w:tc>
        <w:tc>
          <w:tcPr>
            <w:tcW w:w="2720" w:type="dxa"/>
            <w:vAlign w:val="bottom"/>
          </w:tcPr>
          <w:p>
            <w:pPr>
              <w:ind w:left="2160"/>
              <w:spacing w:after="0" w:line="170" w:lineRule="exact"/>
              <w:rPr>
                <w:sz w:val="20"/>
                <w:szCs w:val="20"/>
                <w:color w:val="auto"/>
              </w:rPr>
            </w:pPr>
            <w:r>
              <w:rPr>
                <w:rFonts w:ascii="Times New Roman" w:cs="Times New Roman" w:eastAsia="Times New Roman" w:hAnsi="Times New Roman"/>
                <w:sz w:val="17"/>
                <w:szCs w:val="17"/>
                <w:b w:val="1"/>
                <w:bCs w:val="1"/>
                <w:color w:val="auto"/>
              </w:rPr>
              <w:t>Name:</w:t>
            </w:r>
          </w:p>
        </w:tc>
        <w:tc>
          <w:tcPr>
            <w:tcW w:w="504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b w:val="1"/>
                <w:bCs w:val="1"/>
                <w:color w:val="auto"/>
              </w:rPr>
              <w:t>Michael D. Welch</w:t>
            </w:r>
          </w:p>
        </w:tc>
      </w:tr>
      <w:tr>
        <w:trPr>
          <w:trHeight w:val="219"/>
        </w:trPr>
        <w:tc>
          <w:tcPr>
            <w:tcW w:w="3480" w:type="dxa"/>
            <w:vAlign w:val="bottom"/>
          </w:tcPr>
          <w:p>
            <w:pPr>
              <w:spacing w:after="0"/>
              <w:rPr>
                <w:sz w:val="19"/>
                <w:szCs w:val="19"/>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504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Senior Vice President and Chief Financial Officer</w:t>
            </w:r>
          </w:p>
        </w:tc>
      </w:tr>
      <w:tr>
        <w:trPr>
          <w:trHeight w:val="619"/>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CONSENT OF INDEPENDENT AUDITORS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S-3 (No. 333-260658 and No. 333-123505) and Form S-8 (Nos. 333-231518, 333-221146, 333-165136, 333-115402, 333-105450 and 333-84646) of Asbury Automotive Group, Inc. of our report dated April 9, 2025, with respect to the financial statements of The Herb Chambers Companies for the year ended December 31, 2024, included in this Current Report on Form 8-K/A (Amendment #1), dated July 29,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CBIZ CPA</w:t>
      </w:r>
      <w:r>
        <w:rPr>
          <w:rFonts w:ascii="Times New Roman" w:cs="Times New Roman" w:eastAsia="Times New Roman" w:hAnsi="Times New Roman"/>
          <w:sz w:val="11"/>
          <w:szCs w:val="11"/>
          <w:color w:val="auto"/>
        </w:rPr>
        <w:t>s</w:t>
      </w:r>
      <w:r>
        <w:rPr>
          <w:rFonts w:ascii="Times New Roman" w:cs="Times New Roman" w:eastAsia="Times New Roman" w:hAnsi="Times New Roman"/>
          <w:sz w:val="17"/>
          <w:szCs w:val="17"/>
          <w:color w:val="auto"/>
        </w:rPr>
        <w:t xml:space="preserve"> P.C.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Hartford, 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394970</wp:posOffset>
            </wp:positionV>
            <wp:extent cx="71437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5"/>
          <w:szCs w:val="15"/>
          <w:b w:val="1"/>
          <w:bCs w:val="1"/>
          <w:color w:val="auto"/>
        </w:rPr>
        <w:t>COMBINED FINANCIAL STATEMENTS AND</w:t>
      </w:r>
    </w:p>
    <w:p>
      <w:pPr>
        <w:spacing w:after="0" w:line="4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COMBINING INFORMATION</w:t>
      </w:r>
    </w:p>
    <w:p>
      <w:pPr>
        <w:spacing w:after="0" w:line="18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AS OF AND FOR THE YEARS ENDED</w:t>
      </w:r>
    </w:p>
    <w:p>
      <w:pPr>
        <w:spacing w:after="0" w:line="2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394970</wp:posOffset>
            </wp:positionV>
            <wp:extent cx="71437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080"/>
          </w:cols>
          <w:pgMar w:left="1440" w:top="31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Independent Auditors’ Report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96"/>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1780" w:type="dxa"/>
            <w:vAlign w:val="bottom"/>
          </w:tcPr>
          <w:p>
            <w:pPr>
              <w:spacing w:after="0"/>
              <w:rPr>
                <w:sz w:val="24"/>
                <w:szCs w:val="24"/>
                <w:color w:val="auto"/>
              </w:rPr>
            </w:pPr>
          </w:p>
        </w:tc>
      </w:tr>
      <w:tr>
        <w:trPr>
          <w:trHeight w:val="380"/>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Combined Balance Sheets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198"/>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Combined Statements of Operations and Comprehensive Income</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198"/>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Combined Statements of Changes in Equity</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5"/>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Combined Statements of Cash Flows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396"/>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r>
      <w:tr>
        <w:trPr>
          <w:trHeight w:val="396"/>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Combining Information</w:t>
            </w:r>
          </w:p>
        </w:tc>
        <w:tc>
          <w:tcPr>
            <w:tcW w:w="1780" w:type="dxa"/>
            <w:vAlign w:val="bottom"/>
          </w:tcPr>
          <w:p>
            <w:pPr>
              <w:spacing w:after="0"/>
              <w:rPr>
                <w:sz w:val="24"/>
                <w:szCs w:val="24"/>
                <w:color w:val="auto"/>
              </w:rPr>
            </w:pPr>
          </w:p>
        </w:tc>
      </w:tr>
      <w:tr>
        <w:trPr>
          <w:trHeight w:val="380"/>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Schedule I – Combining Balance Sheets – December 31,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38-40</w:t>
            </w:r>
          </w:p>
        </w:tc>
      </w:tr>
      <w:tr>
        <w:trPr>
          <w:trHeight w:val="198"/>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Schedule II – Combining Statements of Operations and Comprehensive Income for the year ended December 31, 2024</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41-43</w:t>
            </w:r>
          </w:p>
        </w:tc>
      </w:tr>
      <w:tr>
        <w:trPr>
          <w:trHeight w:val="198"/>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Schedule III – Combining Balance Sheets – December 31, 2023</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44-46</w:t>
            </w:r>
          </w:p>
        </w:tc>
      </w:tr>
      <w:tr>
        <w:trPr>
          <w:trHeight w:val="215"/>
        </w:trPr>
        <w:tc>
          <w:tcPr>
            <w:tcW w:w="9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Schedule IV – Combining Statements of Operations and Comprehensive Income for the year ended December 31, 2023</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47-49</w:t>
            </w:r>
          </w:p>
        </w:tc>
      </w:tr>
      <w:tr>
        <w:trPr>
          <w:trHeight w:val="619"/>
        </w:trPr>
        <w:tc>
          <w:tcPr>
            <w:tcW w:w="9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8" w:right="339" w:bottom="1440" w:gutter="0" w:footer="0" w:header="0"/>
        </w:sectPr>
      </w:pPr>
    </w:p>
    <w:bookmarkStart w:id="7" w:name="page8"/>
    <w:bookmarkEnd w:id="7"/>
    <w:p>
      <w:pPr>
        <w:ind w:left="5620"/>
        <w:spacing w:after="0"/>
        <w:rPr>
          <w:sz w:val="20"/>
          <w:szCs w:val="20"/>
          <w:color w:val="auto"/>
        </w:rPr>
      </w:pPr>
      <w:r>
        <w:rPr>
          <w:rFonts w:ascii="Times New Roman" w:cs="Times New Roman" w:eastAsia="Times New Roman" w:hAnsi="Times New Roman"/>
          <w:sz w:val="17"/>
          <w:szCs w:val="17"/>
          <w:color w:val="auto"/>
        </w:rPr>
        <w:t>CBIZ CPAs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1982470" cy="534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2470" cy="534670"/>
                    </a:xfrm>
                    <a:prstGeom prst="rect">
                      <a:avLst/>
                    </a:prstGeom>
                    <a:noFill/>
                  </pic:spPr>
                </pic:pic>
              </a:graphicData>
            </a:graphic>
          </wp:anchor>
        </w:drawing>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CityPlace I, 185 Asylum Street</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25th Floor</w:t>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Hartford, CT 06103</w:t>
      </w:r>
    </w:p>
    <w:p>
      <w:pPr>
        <w:spacing w:after="0" w:line="1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 860.760.0600</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Independent Auditors’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Herbert G. Chambers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audited the combined financial statements of The Herb Chambers Companies (the “Group”), which comprise the balance sheet as of December 31, 2024, and the related combined statements of operations and comprehensive income, changes in equity, and cash flows for the year then ended, and the related notes to the combined financial statements (collectively referred to as the “financial statements”).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our opinion, the accompanying financial statements present fairly, in all material respects, the financial position of the Group as of December 31, 2024, and the results of its operations and its cash flows for the fiscal year then ended in accordance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Group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Prior Period Financial Statements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financial statements of the Group as of and for the year ended December 31, 2023, were audited by Federman, Lally &amp; Remis LLC whose report dated April 15, 2024, expressed an unmodified opinion on those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Responsibilities of Management for the Financial Statements</w:t>
      </w: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preparing the financial statements, management is required to evaluate whether there are conditions or events, considered in the aggregate, that raise substantial doubt about the Group’s ability to continue as a going concern for one year after the date that the financial statements are issued.</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CBIZ.COM</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 w:name="page9"/>
    <w:bookmarkEnd w:id="8"/>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Auditors’ Responsibilities for the Audit of the Financial Statements</w:t>
      </w:r>
    </w:p>
    <w:p>
      <w:pPr>
        <w:spacing w:after="0" w:line="205" w:lineRule="exact"/>
        <w:rPr>
          <w:sz w:val="20"/>
          <w:szCs w:val="20"/>
          <w:color w:val="auto"/>
        </w:rPr>
      </w:pPr>
    </w:p>
    <w:p>
      <w:pPr>
        <w:jc w:val="both"/>
        <w:ind w:left="1"/>
        <w:spacing w:after="0" w:line="248" w:lineRule="auto"/>
        <w:rPr>
          <w:sz w:val="20"/>
          <w:szCs w:val="20"/>
          <w:color w:val="auto"/>
        </w:rPr>
      </w:pPr>
      <w:r>
        <w:rPr>
          <w:rFonts w:ascii="Times New Roman" w:cs="Times New Roman" w:eastAsia="Times New Roman" w:hAnsi="Times New Roman"/>
          <w:sz w:val="17"/>
          <w:szCs w:val="17"/>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7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In performing an audit in accordance with GAAS, we:</w:t>
      </w:r>
    </w:p>
    <w:p>
      <w:pPr>
        <w:spacing w:after="0" w:line="201" w:lineRule="exact"/>
        <w:rPr>
          <w:sz w:val="20"/>
          <w:szCs w:val="20"/>
          <w:color w:val="auto"/>
        </w:rPr>
      </w:pPr>
    </w:p>
    <w:p>
      <w:pPr>
        <w:ind w:left="301" w:hanging="301"/>
        <w:spacing w:after="0"/>
        <w:tabs>
          <w:tab w:leader="none" w:pos="30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professional judgment and maintain professional skepticism throughout the audit.</w:t>
      </w:r>
    </w:p>
    <w:p>
      <w:pPr>
        <w:spacing w:after="0" w:line="200" w:lineRule="exact"/>
        <w:rPr>
          <w:rFonts w:ascii="Times New Roman" w:cs="Times New Roman" w:eastAsia="Times New Roman" w:hAnsi="Times New Roman"/>
          <w:sz w:val="17"/>
          <w:szCs w:val="17"/>
          <w:color w:val="auto"/>
        </w:rPr>
      </w:pPr>
    </w:p>
    <w:p>
      <w:pPr>
        <w:ind w:left="301" w:hanging="301"/>
        <w:spacing w:after="0" w:line="335" w:lineRule="auto"/>
        <w:tabs>
          <w:tab w:leader="none" w:pos="301"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and assess the risks of material misstatement of the combined financial statements, whether due to fraud or error, and design and perform audit procedures responsive to those risks. Such procedures include examining, on a test basis, evidence regarding the amounts and disclosures in the combined financial statements.</w:t>
      </w:r>
    </w:p>
    <w:p>
      <w:pPr>
        <w:spacing w:after="0" w:line="113" w:lineRule="exact"/>
        <w:rPr>
          <w:rFonts w:ascii="Times New Roman" w:cs="Times New Roman" w:eastAsia="Times New Roman" w:hAnsi="Times New Roman"/>
          <w:sz w:val="15"/>
          <w:szCs w:val="15"/>
          <w:color w:val="auto"/>
        </w:rPr>
      </w:pPr>
    </w:p>
    <w:p>
      <w:pPr>
        <w:ind w:left="301" w:hanging="301"/>
        <w:spacing w:after="0" w:line="267" w:lineRule="auto"/>
        <w:tabs>
          <w:tab w:leader="none" w:pos="30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Group’s internal control. Accordingly, no such opinion is expressed.</w:t>
      </w:r>
    </w:p>
    <w:p>
      <w:pPr>
        <w:spacing w:after="0" w:line="159" w:lineRule="exact"/>
        <w:rPr>
          <w:rFonts w:ascii="Times New Roman" w:cs="Times New Roman" w:eastAsia="Times New Roman" w:hAnsi="Times New Roman"/>
          <w:sz w:val="17"/>
          <w:szCs w:val="17"/>
          <w:color w:val="auto"/>
        </w:rPr>
      </w:pPr>
    </w:p>
    <w:p>
      <w:pPr>
        <w:ind w:left="301" w:hanging="301"/>
        <w:spacing w:after="0" w:line="267" w:lineRule="auto"/>
        <w:tabs>
          <w:tab w:leader="none" w:pos="30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59" w:lineRule="exact"/>
        <w:rPr>
          <w:rFonts w:ascii="Times New Roman" w:cs="Times New Roman" w:eastAsia="Times New Roman" w:hAnsi="Times New Roman"/>
          <w:sz w:val="17"/>
          <w:szCs w:val="17"/>
          <w:color w:val="auto"/>
        </w:rPr>
      </w:pPr>
    </w:p>
    <w:p>
      <w:pPr>
        <w:ind w:left="301" w:hanging="301"/>
        <w:spacing w:after="0" w:line="267" w:lineRule="auto"/>
        <w:tabs>
          <w:tab w:leader="none" w:pos="30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conclude whether, in our judgment, there are conditions or events, considered in the aggregate, that raise substantial doubt about the Group’s ability to continue as a going concern for a reasonable period of time.</w:t>
      </w:r>
    </w:p>
    <w:p>
      <w:pPr>
        <w:spacing w:after="0" w:line="160"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7"/>
          <w:szCs w:val="17"/>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Supplementary Information</w:t>
      </w:r>
    </w:p>
    <w:p>
      <w:pPr>
        <w:spacing w:after="0" w:line="205" w:lineRule="exact"/>
        <w:rPr>
          <w:sz w:val="20"/>
          <w:szCs w:val="20"/>
          <w:color w:val="auto"/>
        </w:rPr>
      </w:pPr>
    </w:p>
    <w:p>
      <w:pPr>
        <w:jc w:val="both"/>
        <w:ind w:left="1"/>
        <w:spacing w:after="0" w:line="246" w:lineRule="auto"/>
        <w:rPr>
          <w:sz w:val="20"/>
          <w:szCs w:val="20"/>
          <w:color w:val="auto"/>
        </w:rPr>
      </w:pPr>
      <w:r>
        <w:rPr>
          <w:rFonts w:ascii="Times New Roman" w:cs="Times New Roman" w:eastAsia="Times New Roman" w:hAnsi="Times New Roman"/>
          <w:sz w:val="17"/>
          <w:szCs w:val="17"/>
          <w:color w:val="auto"/>
        </w:rPr>
        <w:t>Our audit was conducted for the purpose of forming an opinion on the financial statements taken as a whole. The accompanying 2024 combining information included in the accompanying Schedules I through II is presented for purposes of additional analysis. Such information is the responsibility of management and was derived from and relates directly to the underlying accounting and other records used to prepare the financial statements. The information has been subjected to the auditing procedures applied in the audit of the financial statements and certain additional procedures, including comparing and reconciling such information directly to the underlying accounting and other records used to prepare the financial statements or to the financial statements themselves, and other additional procedures in accordance with GAAS. In our opinion, the information is fairly stated in all material respects in relation to the financial statements as a whole. The 2023 combining information included in the accompanying schedules III and IV was subjected to the auditing procedures applied in the 2023 audit of the basic combined financial statements by Federman, Lally &amp; Remis, LLC whose reported dated April 15, 2024 stated that the information was fairly stated in all material respects in relation to the 2023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1604645" cy="290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04645" cy="29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Hartford, CT</w:t>
      </w:r>
    </w:p>
    <w:p>
      <w:pPr>
        <w:spacing w:after="0" w:line="2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April 9, 2025</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COMBINED BALANCE SHEETS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Borders>
              <w:bottom w:val="single" w:sz="8" w:color="CCEEFF"/>
            </w:tcBorders>
          </w:tcPr>
          <w:p>
            <w:pPr>
              <w:spacing w:after="0"/>
              <w:rPr>
                <w:sz w:val="18"/>
                <w:szCs w:val="18"/>
                <w:color w:val="auto"/>
              </w:rPr>
            </w:pPr>
          </w:p>
        </w:tc>
        <w:tc>
          <w:tcPr>
            <w:tcW w:w="6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1"/>
        </w:trPr>
        <w:tc>
          <w:tcPr>
            <w:tcW w:w="24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Assets</w:t>
            </w:r>
          </w:p>
        </w:tc>
        <w:tc>
          <w:tcPr>
            <w:tcW w:w="6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2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6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80,752,620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84,973,670</w:t>
            </w:r>
          </w:p>
        </w:tc>
      </w:tr>
      <w:tr>
        <w:trPr>
          <w:trHeight w:val="19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74,556,161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69,609,428</w:t>
            </w:r>
          </w:p>
        </w:tc>
      </w:tr>
      <w:tr>
        <w:trPr>
          <w:trHeight w:val="182"/>
        </w:trPr>
        <w:tc>
          <w:tcPr>
            <w:tcW w:w="8640" w:type="dxa"/>
            <w:vAlign w:val="bottom"/>
            <w:gridSpan w:val="3"/>
          </w:tcPr>
          <w:p>
            <w:pPr>
              <w:ind w:left="140"/>
              <w:spacing w:after="0" w:line="182" w:lineRule="exact"/>
              <w:rPr>
                <w:sz w:val="20"/>
                <w:szCs w:val="20"/>
                <w:color w:val="auto"/>
              </w:rPr>
            </w:pPr>
            <w:r>
              <w:rPr>
                <w:rFonts w:ascii="Times New Roman" w:cs="Times New Roman" w:eastAsia="Times New Roman" w:hAnsi="Times New Roman"/>
                <w:sz w:val="17"/>
                <w:szCs w:val="17"/>
                <w:color w:val="auto"/>
              </w:rPr>
              <w:t>Accounts receivable, net of allowance for credit losses of $881,912 and $1,011,490 at December 31, 2024 and 2023,</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24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respectively</w:t>
            </w:r>
          </w:p>
        </w:tc>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72,914,315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81,735,117</w:t>
            </w:r>
          </w:p>
        </w:tc>
      </w:tr>
      <w:tr>
        <w:trPr>
          <w:trHeight w:val="19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472,466,687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413,437,261</w:t>
            </w:r>
          </w:p>
        </w:tc>
      </w:tr>
      <w:tr>
        <w:trPr>
          <w:trHeight w:val="198"/>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related parties</w:t>
            </w:r>
          </w:p>
        </w:tc>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398,879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taxes and expenses</w:t>
            </w:r>
          </w:p>
        </w:tc>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2,052,238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1,477,173</w:t>
            </w:r>
          </w:p>
        </w:tc>
      </w:tr>
      <w:tr>
        <w:trPr>
          <w:trHeight w:val="191"/>
        </w:trPr>
        <w:tc>
          <w:tcPr>
            <w:tcW w:w="24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703,140,900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651,232,649</w:t>
            </w:r>
          </w:p>
        </w:tc>
      </w:tr>
      <w:tr>
        <w:trPr>
          <w:trHeight w:val="191"/>
        </w:trPr>
        <w:tc>
          <w:tcPr>
            <w:tcW w:w="24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Property and Equipment</w:t>
            </w:r>
          </w:p>
        </w:tc>
        <w:tc>
          <w:tcPr>
            <w:tcW w:w="6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21,680,505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21,601,811</w:t>
            </w:r>
          </w:p>
        </w:tc>
      </w:tr>
      <w:tr>
        <w:trPr>
          <w:trHeight w:val="191"/>
        </w:trPr>
        <w:tc>
          <w:tcPr>
            <w:tcW w:w="240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 of use assets, net</w:t>
            </w:r>
          </w:p>
        </w:tc>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221,678,732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266,143,428</w:t>
            </w:r>
          </w:p>
        </w:tc>
      </w:tr>
      <w:tr>
        <w:trPr>
          <w:trHeight w:val="19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Due from owner</w:t>
            </w: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104,936,943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64,260,902</w:t>
            </w:r>
          </w:p>
        </w:tc>
      </w:tr>
      <w:tr>
        <w:trPr>
          <w:trHeight w:val="198"/>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6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31,612,738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34,554,755</w:t>
            </w:r>
          </w:p>
        </w:tc>
      </w:tr>
      <w:tr>
        <w:trPr>
          <w:trHeight w:val="198"/>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in partnerships</w:t>
            </w:r>
          </w:p>
        </w:tc>
        <w:tc>
          <w:tcPr>
            <w:tcW w:w="6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1,151,174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1,086,223</w:t>
            </w:r>
          </w:p>
        </w:tc>
      </w:tr>
      <w:tr>
        <w:trPr>
          <w:trHeight w:val="211"/>
        </w:trPr>
        <w:tc>
          <w:tcPr>
            <w:tcW w:w="2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261,453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261,453</w:t>
            </w:r>
          </w:p>
        </w:tc>
      </w:tr>
      <w:tr>
        <w:trPr>
          <w:trHeight w:val="191"/>
        </w:trPr>
        <w:tc>
          <w:tcPr>
            <w:tcW w:w="2400" w:type="dxa"/>
            <w:vAlign w:val="bottom"/>
            <w:tcBorders>
              <w:top w:val="single" w:sz="8" w:color="CCEEFF"/>
            </w:tcBorders>
            <w:shd w:val="clear" w:color="auto" w:fill="CCEEFF"/>
          </w:tcPr>
          <w:p>
            <w:pPr>
              <w:spacing w:after="0"/>
              <w:rPr>
                <w:sz w:val="16"/>
                <w:szCs w:val="16"/>
                <w:color w:val="auto"/>
              </w:rPr>
            </w:pPr>
          </w:p>
        </w:tc>
        <w:tc>
          <w:tcPr>
            <w:tcW w:w="60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2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Other Assets</w:t>
            </w:r>
          </w:p>
        </w:tc>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359,641,040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366,306,761</w:t>
            </w:r>
          </w:p>
        </w:tc>
      </w:tr>
      <w:tr>
        <w:trPr>
          <w:trHeight w:val="191"/>
        </w:trPr>
        <w:tc>
          <w:tcPr>
            <w:tcW w:w="2400" w:type="dxa"/>
            <w:vAlign w:val="bottom"/>
            <w:tcBorders>
              <w:top w:val="single" w:sz="8" w:color="CCEEFF"/>
            </w:tcBorders>
            <w:shd w:val="clear" w:color="auto" w:fill="CCEEFF"/>
          </w:tcPr>
          <w:p>
            <w:pPr>
              <w:spacing w:after="0"/>
              <w:rPr>
                <w:sz w:val="16"/>
                <w:szCs w:val="16"/>
                <w:color w:val="auto"/>
              </w:rPr>
            </w:pPr>
          </w:p>
        </w:tc>
        <w:tc>
          <w:tcPr>
            <w:tcW w:w="60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1,084,462,445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1,039,141,221</w:t>
            </w:r>
          </w:p>
        </w:tc>
      </w:tr>
      <w:tr>
        <w:trPr>
          <w:trHeight w:val="20"/>
        </w:trPr>
        <w:tc>
          <w:tcPr>
            <w:tcW w:w="2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4"/>
        </w:trPr>
        <w:tc>
          <w:tcPr>
            <w:tcW w:w="2400" w:type="dxa"/>
            <w:vAlign w:val="bottom"/>
          </w:tcPr>
          <w:p>
            <w:pPr>
              <w:spacing w:after="0"/>
              <w:rPr>
                <w:sz w:val="24"/>
                <w:szCs w:val="24"/>
                <w:color w:val="auto"/>
              </w:rPr>
            </w:pPr>
          </w:p>
        </w:tc>
        <w:tc>
          <w:tcPr>
            <w:tcW w:w="6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i w:val="1"/>
                <w:iCs w:val="1"/>
                <w:color w:val="auto"/>
              </w:rPr>
              <w:t>The accompanying notes are an integral part of these combined financial statements.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COMBINED BALANCE SHEETS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1"/>
        </w:trPr>
        <w:tc>
          <w:tcPr>
            <w:tcW w:w="58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58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Floorplan notes payable</w:t>
            </w:r>
          </w:p>
        </w:tc>
        <w:tc>
          <w:tcPr>
            <w:tcW w:w="2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453,101,482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403,802,001</w:t>
            </w:r>
          </w:p>
        </w:tc>
      </w:tr>
      <w:tr>
        <w:trPr>
          <w:trHeight w:val="198"/>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40,207,812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39,434,405</w:t>
            </w:r>
          </w:p>
        </w:tc>
      </w:tr>
      <w:tr>
        <w:trPr>
          <w:trHeight w:val="198"/>
        </w:trPr>
        <w:tc>
          <w:tcPr>
            <w:tcW w:w="5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finance lease liability</w:t>
            </w: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433,122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404,611</w:t>
            </w:r>
          </w:p>
        </w:tc>
      </w:tr>
      <w:tr>
        <w:trPr>
          <w:trHeight w:val="198"/>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62,488,258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57,614,349</w:t>
            </w:r>
          </w:p>
        </w:tc>
      </w:tr>
      <w:tr>
        <w:trPr>
          <w:trHeight w:val="211"/>
        </w:trPr>
        <w:tc>
          <w:tcPr>
            <w:tcW w:w="5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545,117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1,262,576</w:t>
            </w:r>
          </w:p>
        </w:tc>
      </w:tr>
      <w:tr>
        <w:trPr>
          <w:trHeight w:val="191"/>
        </w:trPr>
        <w:tc>
          <w:tcPr>
            <w:tcW w:w="5880" w:type="dxa"/>
            <w:vAlign w:val="bottom"/>
            <w:tcBorders>
              <w:top w:val="single" w:sz="8" w:color="CCEEFF"/>
            </w:tcBorders>
            <w:shd w:val="clear" w:color="auto" w:fill="CCEEFF"/>
          </w:tcPr>
          <w:p>
            <w:pPr>
              <w:spacing w:after="0"/>
              <w:rPr>
                <w:sz w:val="16"/>
                <w:szCs w:val="16"/>
                <w:color w:val="auto"/>
              </w:rPr>
            </w:pPr>
          </w:p>
        </w:tc>
        <w:tc>
          <w:tcPr>
            <w:tcW w:w="25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556,775,791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502,517,942</w:t>
            </w:r>
          </w:p>
        </w:tc>
      </w:tr>
      <w:tr>
        <w:trPr>
          <w:trHeight w:val="191"/>
        </w:trPr>
        <w:tc>
          <w:tcPr>
            <w:tcW w:w="5880" w:type="dxa"/>
            <w:vAlign w:val="bottom"/>
            <w:tcBorders>
              <w:top w:val="single" w:sz="8" w:color="CCEEFF"/>
            </w:tcBorders>
            <w:shd w:val="clear" w:color="auto" w:fill="CCEEFF"/>
          </w:tcPr>
          <w:p>
            <w:pPr>
              <w:spacing w:after="0"/>
              <w:rPr>
                <w:sz w:val="16"/>
                <w:szCs w:val="16"/>
                <w:color w:val="auto"/>
              </w:rPr>
            </w:pPr>
          </w:p>
        </w:tc>
        <w:tc>
          <w:tcPr>
            <w:tcW w:w="25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5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Insurance loss fund</w:t>
            </w: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3,780,700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3,665,575</w:t>
            </w:r>
          </w:p>
        </w:tc>
      </w:tr>
      <w:tr>
        <w:trPr>
          <w:trHeight w:val="198"/>
        </w:trPr>
        <w:tc>
          <w:tcPr>
            <w:tcW w:w="5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181,371,799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226,895,768</w:t>
            </w:r>
          </w:p>
        </w:tc>
      </w:tr>
      <w:tr>
        <w:trPr>
          <w:trHeight w:val="211"/>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 liability, net of current portion</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1,495,374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1,928,495</w:t>
            </w:r>
          </w:p>
        </w:tc>
      </w:tr>
      <w:tr>
        <w:trPr>
          <w:trHeight w:val="191"/>
        </w:trPr>
        <w:tc>
          <w:tcPr>
            <w:tcW w:w="58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Long-Term Liabilities</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186,647,873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232,489,838</w:t>
            </w:r>
          </w:p>
        </w:tc>
      </w:tr>
      <w:tr>
        <w:trPr>
          <w:trHeight w:val="191"/>
        </w:trPr>
        <w:tc>
          <w:tcPr>
            <w:tcW w:w="58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743,423,664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735,007,780</w:t>
            </w:r>
          </w:p>
        </w:tc>
      </w:tr>
      <w:tr>
        <w:trPr>
          <w:trHeight w:val="191"/>
        </w:trPr>
        <w:tc>
          <w:tcPr>
            <w:tcW w:w="58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5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2,689,100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2,689,100</w:t>
            </w:r>
          </w:p>
        </w:tc>
      </w:tr>
      <w:tr>
        <w:trPr>
          <w:trHeight w:val="198"/>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31,426,059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31,426,059</w:t>
            </w:r>
          </w:p>
        </w:tc>
      </w:tr>
      <w:tr>
        <w:trPr>
          <w:trHeight w:val="198"/>
        </w:trPr>
        <w:tc>
          <w:tcPr>
            <w:tcW w:w="5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282,356,061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248,391,427</w:t>
            </w:r>
          </w:p>
        </w:tc>
      </w:tr>
      <w:tr>
        <w:trPr>
          <w:trHeight w:val="198"/>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Member's equity</w:t>
            </w:r>
          </w:p>
        </w:tc>
        <w:tc>
          <w:tcPr>
            <w:tcW w:w="2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24,236,020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21,318,729</w:t>
            </w:r>
          </w:p>
        </w:tc>
      </w:tr>
      <w:tr>
        <w:trPr>
          <w:trHeight w:val="211"/>
        </w:trPr>
        <w:tc>
          <w:tcPr>
            <w:tcW w:w="5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comprehensive income</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331,541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308,126</w:t>
            </w:r>
          </w:p>
        </w:tc>
      </w:tr>
      <w:tr>
        <w:trPr>
          <w:trHeight w:val="191"/>
        </w:trPr>
        <w:tc>
          <w:tcPr>
            <w:tcW w:w="5880" w:type="dxa"/>
            <w:vAlign w:val="bottom"/>
            <w:tcBorders>
              <w:top w:val="single" w:sz="8" w:color="CCEEFF"/>
            </w:tcBorders>
            <w:shd w:val="clear" w:color="auto" w:fill="CCEEFF"/>
          </w:tcPr>
          <w:p>
            <w:pPr>
              <w:spacing w:after="0"/>
              <w:rPr>
                <w:sz w:val="16"/>
                <w:szCs w:val="16"/>
                <w:color w:val="auto"/>
              </w:rPr>
            </w:pPr>
          </w:p>
        </w:tc>
        <w:tc>
          <w:tcPr>
            <w:tcW w:w="25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341,038,781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304,133,441</w:t>
            </w:r>
          </w:p>
        </w:tc>
      </w:tr>
      <w:tr>
        <w:trPr>
          <w:trHeight w:val="191"/>
        </w:trPr>
        <w:tc>
          <w:tcPr>
            <w:tcW w:w="5880" w:type="dxa"/>
            <w:vAlign w:val="bottom"/>
            <w:tcBorders>
              <w:top w:val="single" w:sz="8" w:color="CCEEFF"/>
            </w:tcBorders>
            <w:shd w:val="clear" w:color="auto" w:fill="CCEEFF"/>
          </w:tcPr>
          <w:p>
            <w:pPr>
              <w:spacing w:after="0"/>
              <w:rPr>
                <w:sz w:val="16"/>
                <w:szCs w:val="16"/>
                <w:color w:val="auto"/>
              </w:rPr>
            </w:pPr>
          </w:p>
        </w:tc>
        <w:tc>
          <w:tcPr>
            <w:tcW w:w="25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2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1,084,462,445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1,039,141,221</w:t>
            </w:r>
          </w:p>
        </w:tc>
      </w:tr>
      <w:tr>
        <w:trPr>
          <w:trHeight w:val="20"/>
        </w:trPr>
        <w:tc>
          <w:tcPr>
            <w:tcW w:w="84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4"/>
        </w:trPr>
        <w:tc>
          <w:tcPr>
            <w:tcW w:w="8640" w:type="dxa"/>
            <w:vAlign w:val="bottom"/>
            <w:gridSpan w:val="3"/>
          </w:tcPr>
          <w:p>
            <w:pPr>
              <w:ind w:left="2720"/>
              <w:spacing w:after="0"/>
              <w:rPr>
                <w:sz w:val="20"/>
                <w:szCs w:val="20"/>
                <w:color w:val="auto"/>
              </w:rPr>
            </w:pPr>
            <w:r>
              <w:rPr>
                <w:rFonts w:ascii="Times New Roman" w:cs="Times New Roman" w:eastAsia="Times New Roman" w:hAnsi="Times New Roman"/>
                <w:sz w:val="17"/>
                <w:szCs w:val="17"/>
                <w:b w:val="1"/>
                <w:bCs w:val="1"/>
                <w:i w:val="1"/>
                <w:iCs w:val="1"/>
                <w:color w:val="auto"/>
                <w:w w:val="98"/>
              </w:rPr>
              <w:t>The accompanying notes are an integral part of these combined financial statements.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COMBINED STATEMENTS OF OPERATIONS AND COMPREHENSIVE INCOME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20" w:type="dxa"/>
            <w:vAlign w:val="bottom"/>
            <w:tcBorders>
              <w:bottom w:val="single" w:sz="8" w:color="CCEEFF"/>
            </w:tcBorders>
          </w:tcPr>
          <w:p>
            <w:pPr>
              <w:spacing w:after="0"/>
              <w:rPr>
                <w:sz w:val="18"/>
                <w:szCs w:val="18"/>
                <w:color w:val="auto"/>
              </w:rPr>
            </w:pPr>
          </w:p>
        </w:tc>
        <w:tc>
          <w:tcPr>
            <w:tcW w:w="6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1"/>
        </w:trPr>
        <w:tc>
          <w:tcPr>
            <w:tcW w:w="24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Sales</w:t>
            </w:r>
          </w:p>
        </w:tc>
        <w:tc>
          <w:tcPr>
            <w:tcW w:w="60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3,196,456,820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3,086,882,991</w:t>
            </w:r>
          </w:p>
        </w:tc>
        <w:tc>
          <w:tcPr>
            <w:tcW w:w="100" w:type="dxa"/>
            <w:vAlign w:val="bottom"/>
            <w:shd w:val="clear" w:color="auto" w:fill="CCEEFF"/>
          </w:tcPr>
          <w:p>
            <w:pPr>
              <w:spacing w:after="0"/>
              <w:rPr>
                <w:sz w:val="16"/>
                <w:szCs w:val="16"/>
                <w:color w:val="auto"/>
              </w:rPr>
            </w:pPr>
          </w:p>
        </w:tc>
      </w:tr>
      <w:tr>
        <w:trPr>
          <w:trHeight w:val="198"/>
        </w:trPr>
        <w:tc>
          <w:tcPr>
            <w:tcW w:w="24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2,646,281,546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2,505,323,817</w:t>
            </w:r>
          </w:p>
        </w:tc>
      </w:tr>
      <w:tr>
        <w:trPr>
          <w:trHeight w:val="191"/>
        </w:trPr>
        <w:tc>
          <w:tcPr>
            <w:tcW w:w="24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550,175,274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581,559,174</w:t>
            </w:r>
          </w:p>
        </w:tc>
      </w:tr>
      <w:tr>
        <w:trPr>
          <w:trHeight w:val="198"/>
        </w:trPr>
        <w:tc>
          <w:tcPr>
            <w:tcW w:w="24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508,289,660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537,532,283</w:t>
            </w:r>
          </w:p>
        </w:tc>
      </w:tr>
      <w:tr>
        <w:trPr>
          <w:trHeight w:val="191"/>
        </w:trPr>
        <w:tc>
          <w:tcPr>
            <w:tcW w:w="24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41,885,614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44,026,891</w:t>
            </w:r>
          </w:p>
        </w:tc>
      </w:tr>
      <w:tr>
        <w:trPr>
          <w:trHeight w:val="191"/>
        </w:trPr>
        <w:tc>
          <w:tcPr>
            <w:tcW w:w="24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income, net</w:t>
            </w:r>
          </w:p>
        </w:tc>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4,923,317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5,029,779</w:t>
            </w:r>
          </w:p>
        </w:tc>
      </w:tr>
      <w:tr>
        <w:trPr>
          <w:trHeight w:val="198"/>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Gain on sale of franchise</w:t>
            </w:r>
          </w:p>
        </w:tc>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13,204,798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Settlement expense</w:t>
            </w:r>
          </w:p>
        </w:tc>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(11,841,143)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11"/>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10,958,016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18,107,562</w:t>
            </w:r>
          </w:p>
        </w:tc>
      </w:tr>
      <w:tr>
        <w:trPr>
          <w:trHeight w:val="191"/>
        </w:trPr>
        <w:tc>
          <w:tcPr>
            <w:tcW w:w="24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w:t>
            </w:r>
          </w:p>
        </w:tc>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17,244,988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23,137,341</w:t>
            </w:r>
          </w:p>
        </w:tc>
      </w:tr>
      <w:tr>
        <w:trPr>
          <w:trHeight w:val="191"/>
        </w:trPr>
        <w:tc>
          <w:tcPr>
            <w:tcW w:w="24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59,130,602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67,164,232</w:t>
            </w:r>
          </w:p>
        </w:tc>
      </w:tr>
      <w:tr>
        <w:trPr>
          <w:trHeight w:val="198"/>
        </w:trPr>
        <w:tc>
          <w:tcPr>
            <w:tcW w:w="24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6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holding gain</w:t>
            </w:r>
          </w:p>
        </w:tc>
        <w:tc>
          <w:tcPr>
            <w:tcW w:w="6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540,140</w:t>
            </w:r>
          </w:p>
        </w:tc>
      </w:tr>
      <w:tr>
        <w:trPr>
          <w:trHeight w:val="191"/>
        </w:trPr>
        <w:tc>
          <w:tcPr>
            <w:tcW w:w="2420" w:type="dxa"/>
            <w:vAlign w:val="bottom"/>
            <w:tcBorders>
              <w:top w:val="single" w:sz="8" w:color="CCEEFF"/>
            </w:tcBorders>
            <w:shd w:val="clear" w:color="auto" w:fill="CCEEFF"/>
          </w:tcPr>
          <w:p>
            <w:pPr>
              <w:spacing w:after="0"/>
              <w:rPr>
                <w:sz w:val="16"/>
                <w:szCs w:val="16"/>
                <w:color w:val="auto"/>
              </w:rPr>
            </w:pPr>
          </w:p>
        </w:tc>
        <w:tc>
          <w:tcPr>
            <w:tcW w:w="60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3"/>
        </w:trPr>
        <w:tc>
          <w:tcPr>
            <w:tcW w:w="2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62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59,154,017</w:t>
            </w:r>
          </w:p>
        </w:tc>
        <w:tc>
          <w:tcPr>
            <w:tcW w:w="28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67,704,372</w:t>
            </w:r>
          </w:p>
        </w:tc>
      </w:tr>
      <w:tr>
        <w:trPr>
          <w:trHeight w:val="20"/>
        </w:trPr>
        <w:tc>
          <w:tcPr>
            <w:tcW w:w="24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4"/>
        </w:trPr>
        <w:tc>
          <w:tcPr>
            <w:tcW w:w="2420" w:type="dxa"/>
            <w:vAlign w:val="bottom"/>
          </w:tcPr>
          <w:p>
            <w:pPr>
              <w:spacing w:after="0"/>
              <w:rPr>
                <w:sz w:val="24"/>
                <w:szCs w:val="24"/>
                <w:color w:val="auto"/>
              </w:rPr>
            </w:pPr>
          </w:p>
        </w:tc>
        <w:tc>
          <w:tcPr>
            <w:tcW w:w="622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b w:val="1"/>
                <w:bCs w:val="1"/>
                <w:i w:val="1"/>
                <w:iCs w:val="1"/>
                <w:color w:val="auto"/>
              </w:rPr>
              <w:t>The accompanying notes are an integral part of these combined financial statements.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COMBINED STATEMENTS OF CHANGES IN EQUITY</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1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beginning of year</w:t>
            </w:r>
          </w:p>
        </w:tc>
        <w:tc>
          <w:tcPr>
            <w:tcW w:w="22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2,689,100</w:t>
            </w: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2,689,100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end of year</w:t>
            </w:r>
          </w:p>
        </w:tc>
        <w:tc>
          <w:tcPr>
            <w:tcW w:w="22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180" w:type="dxa"/>
            <w:vAlign w:val="bottom"/>
            <w:tcBorders>
              <w:bottom w:val="single" w:sz="8" w:color="CCEEFF"/>
            </w:tcBorders>
            <w:vMerge w:val="continue"/>
          </w:tcPr>
          <w:p>
            <w:pPr>
              <w:spacing w:after="0"/>
              <w:rPr>
                <w:sz w:val="18"/>
                <w:szCs w:val="18"/>
                <w:color w:val="auto"/>
              </w:rPr>
            </w:pPr>
          </w:p>
        </w:tc>
        <w:tc>
          <w:tcPr>
            <w:tcW w:w="226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77"/>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2,689,100</w:t>
            </w:r>
          </w:p>
        </w:tc>
        <w:tc>
          <w:tcPr>
            <w:tcW w:w="24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2,689,100</w:t>
            </w:r>
          </w:p>
        </w:tc>
        <w:tc>
          <w:tcPr>
            <w:tcW w:w="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18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Additional Paid-in Capital</w:t>
            </w:r>
            <w:r>
              <w:rPr>
                <w:rFonts w:ascii="Times New Roman" w:cs="Times New Roman" w:eastAsia="Times New Roman" w:hAnsi="Times New Roman"/>
                <w:sz w:val="17"/>
                <w:szCs w:val="17"/>
                <w:color w:val="auto"/>
              </w:rPr>
              <w:t>, beginning of year</w:t>
            </w:r>
          </w:p>
        </w:tc>
        <w:tc>
          <w:tcPr>
            <w:tcW w:w="25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31,426,059</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31,426,059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18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Additional Paid-in Capital</w:t>
            </w:r>
            <w:r>
              <w:rPr>
                <w:rFonts w:ascii="Times New Roman" w:cs="Times New Roman" w:eastAsia="Times New Roman" w:hAnsi="Times New Roman"/>
                <w:sz w:val="17"/>
                <w:szCs w:val="17"/>
                <w:color w:val="auto"/>
              </w:rPr>
              <w:t>, end of year</w:t>
            </w:r>
          </w:p>
        </w:tc>
        <w:tc>
          <w:tcPr>
            <w:tcW w:w="2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7"/>
              <w:spacing w:after="0" w:line="176"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31,426,059</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31,426,059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Retained Earnings</w:t>
            </w:r>
            <w:r>
              <w:rPr>
                <w:rFonts w:ascii="Times New Roman" w:cs="Times New Roman" w:eastAsia="Times New Roman" w:hAnsi="Times New Roman"/>
                <w:sz w:val="17"/>
                <w:szCs w:val="17"/>
                <w:color w:val="auto"/>
              </w:rPr>
              <w:t>, beginning of year</w:t>
            </w:r>
          </w:p>
        </w:tc>
        <w:tc>
          <w:tcPr>
            <w:tcW w:w="25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248,391,427</w:t>
            </w:r>
          </w:p>
        </w:tc>
        <w:tc>
          <w:tcPr>
            <w:tcW w:w="2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230,456,031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56,133,311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64,196,874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to stockholder</w:t>
            </w: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(22,168,677)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(46,261,478)</w:t>
            </w:r>
          </w:p>
        </w:tc>
        <w:tc>
          <w:tcPr>
            <w:tcW w:w="0" w:type="dxa"/>
            <w:vAlign w:val="bottom"/>
          </w:tcPr>
          <w:p>
            <w:pPr>
              <w:spacing w:after="0"/>
              <w:rPr>
                <w:sz w:val="1"/>
                <w:szCs w:val="1"/>
                <w:color w:val="auto"/>
              </w:rPr>
            </w:pPr>
          </w:p>
        </w:tc>
      </w:tr>
      <w:tr>
        <w:trPr>
          <w:trHeight w:val="191"/>
        </w:trPr>
        <w:tc>
          <w:tcPr>
            <w:tcW w:w="6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Retained Earnings</w:t>
            </w:r>
            <w:r>
              <w:rPr>
                <w:rFonts w:ascii="Times New Roman" w:cs="Times New Roman" w:eastAsia="Times New Roman" w:hAnsi="Times New Roman"/>
                <w:sz w:val="17"/>
                <w:szCs w:val="17"/>
                <w:color w:val="auto"/>
              </w:rPr>
              <w:t>, end of year</w:t>
            </w:r>
          </w:p>
        </w:tc>
        <w:tc>
          <w:tcPr>
            <w:tcW w:w="25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282,356,061</w:t>
            </w:r>
          </w:p>
        </w:tc>
        <w:tc>
          <w:tcPr>
            <w:tcW w:w="2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248,391,427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Member's Equity</w:t>
            </w:r>
            <w:r>
              <w:rPr>
                <w:rFonts w:ascii="Times New Roman" w:cs="Times New Roman" w:eastAsia="Times New Roman" w:hAnsi="Times New Roman"/>
                <w:sz w:val="17"/>
                <w:szCs w:val="17"/>
                <w:color w:val="auto"/>
              </w:rPr>
              <w:t>, beginning of year</w:t>
            </w:r>
          </w:p>
        </w:tc>
        <w:tc>
          <w:tcPr>
            <w:tcW w:w="25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21,318,729</w:t>
            </w:r>
          </w:p>
        </w:tc>
        <w:tc>
          <w:tcPr>
            <w:tcW w:w="2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12,791,371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2,997,291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2,967,358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Member's capital contribution</w:t>
            </w: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5,560,000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to member</w:t>
            </w: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(80,000)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18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Member's Equity</w:t>
            </w:r>
            <w:r>
              <w:rPr>
                <w:rFonts w:ascii="Times New Roman" w:cs="Times New Roman" w:eastAsia="Times New Roman" w:hAnsi="Times New Roman"/>
                <w:sz w:val="17"/>
                <w:szCs w:val="17"/>
                <w:color w:val="auto"/>
              </w:rPr>
              <w:t>, end of year</w:t>
            </w:r>
          </w:p>
        </w:tc>
        <w:tc>
          <w:tcPr>
            <w:tcW w:w="25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24,236,020</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21,318,729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618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beginning of year</w:t>
            </w:r>
          </w:p>
        </w:tc>
        <w:tc>
          <w:tcPr>
            <w:tcW w:w="25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308,126</w:t>
            </w:r>
          </w:p>
        </w:tc>
        <w:tc>
          <w:tcPr>
            <w:tcW w:w="24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(232,014)</w:t>
            </w:r>
          </w:p>
        </w:tc>
        <w:tc>
          <w:tcPr>
            <w:tcW w:w="0" w:type="dxa"/>
            <w:vAlign w:val="bottom"/>
          </w:tcPr>
          <w:p>
            <w:pPr>
              <w:spacing w:after="0"/>
              <w:rPr>
                <w:sz w:val="1"/>
                <w:szCs w:val="1"/>
                <w:color w:val="auto"/>
              </w:rPr>
            </w:pPr>
          </w:p>
        </w:tc>
      </w:tr>
      <w:tr>
        <w:trPr>
          <w:trHeight w:val="198"/>
        </w:trPr>
        <w:tc>
          <w:tcPr>
            <w:tcW w:w="61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Unrealized holding gain</w:t>
            </w: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23,415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540,140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18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w:t>
            </w:r>
            <w:r>
              <w:rPr>
                <w:rFonts w:ascii="Times New Roman" w:cs="Times New Roman" w:eastAsia="Times New Roman" w:hAnsi="Times New Roman"/>
                <w:sz w:val="17"/>
                <w:szCs w:val="17"/>
                <w:color w:val="auto"/>
              </w:rPr>
              <w:t>, end of year</w:t>
            </w:r>
          </w:p>
        </w:tc>
        <w:tc>
          <w:tcPr>
            <w:tcW w:w="25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331,541</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308,126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18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w:t>
            </w:r>
            <w:r>
              <w:rPr>
                <w:rFonts w:ascii="Times New Roman" w:cs="Times New Roman" w:eastAsia="Times New Roman" w:hAnsi="Times New Roman"/>
                <w:sz w:val="17"/>
                <w:szCs w:val="17"/>
                <w:color w:val="auto"/>
              </w:rPr>
              <w:t>, beginning of year</w:t>
            </w:r>
          </w:p>
        </w:tc>
        <w:tc>
          <w:tcPr>
            <w:tcW w:w="25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304,133,441</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277,130,547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holding gain</w:t>
            </w: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23,415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540,140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Member's capital contribution</w:t>
            </w: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5,560,000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Distributions to stockholder and member</w:t>
            </w:r>
          </w:p>
        </w:tc>
        <w:tc>
          <w:tcPr>
            <w:tcW w:w="2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(22,248,677)</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(46,261,478)</w:t>
            </w:r>
          </w:p>
        </w:tc>
        <w:tc>
          <w:tcPr>
            <w:tcW w:w="0" w:type="dxa"/>
            <w:vAlign w:val="bottom"/>
          </w:tcPr>
          <w:p>
            <w:pPr>
              <w:spacing w:after="0"/>
              <w:rPr>
                <w:sz w:val="1"/>
                <w:szCs w:val="1"/>
                <w:color w:val="auto"/>
              </w:rPr>
            </w:pPr>
          </w:p>
        </w:tc>
      </w:tr>
      <w:tr>
        <w:trPr>
          <w:trHeight w:val="198"/>
        </w:trPr>
        <w:tc>
          <w:tcPr>
            <w:tcW w:w="6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59,130,602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67,164,232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18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w:t>
            </w:r>
            <w:r>
              <w:rPr>
                <w:rFonts w:ascii="Times New Roman" w:cs="Times New Roman" w:eastAsia="Times New Roman" w:hAnsi="Times New Roman"/>
                <w:sz w:val="17"/>
                <w:szCs w:val="17"/>
                <w:color w:val="auto"/>
              </w:rPr>
              <w:t>, end of year</w:t>
            </w:r>
          </w:p>
        </w:tc>
        <w:tc>
          <w:tcPr>
            <w:tcW w:w="252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341,038,781</w:t>
            </w:r>
          </w:p>
        </w:tc>
        <w:tc>
          <w:tcPr>
            <w:tcW w:w="24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304,133,441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accompanying notes are an integral part of these combined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COMBINED STATEMENTS OF CASH FLOWS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r>
      <w:tr>
        <w:trPr>
          <w:trHeight w:val="191"/>
        </w:trPr>
        <w:tc>
          <w:tcPr>
            <w:tcW w:w="65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6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59,130,602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67,164,232</w:t>
            </w:r>
          </w:p>
        </w:tc>
        <w:tc>
          <w:tcPr>
            <w:tcW w:w="100" w:type="dxa"/>
            <w:vAlign w:val="bottom"/>
          </w:tcPr>
          <w:p>
            <w:pPr>
              <w:spacing w:after="0"/>
              <w:rPr>
                <w:sz w:val="17"/>
                <w:szCs w:val="17"/>
                <w:color w:val="auto"/>
              </w:rPr>
            </w:pPr>
          </w:p>
        </w:tc>
      </w:tr>
      <w:tr>
        <w:trPr>
          <w:trHeight w:val="198"/>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used by operations: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Depreciation expense</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8,326,722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7,328,638</w:t>
            </w:r>
          </w:p>
        </w:tc>
        <w:tc>
          <w:tcPr>
            <w:tcW w:w="100" w:type="dxa"/>
            <w:vAlign w:val="bottom"/>
          </w:tcPr>
          <w:p>
            <w:pPr>
              <w:spacing w:after="0"/>
              <w:rPr>
                <w:sz w:val="17"/>
                <w:szCs w:val="17"/>
                <w:color w:val="auto"/>
              </w:rPr>
            </w:pPr>
          </w:p>
        </w:tc>
      </w:tr>
      <w:tr>
        <w:trPr>
          <w:trHeight w:val="198"/>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Amortization of right of use assets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37,807,658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36,944,643</w:t>
            </w:r>
          </w:p>
        </w:tc>
        <w:tc>
          <w:tcPr>
            <w:tcW w:w="100" w:type="dxa"/>
            <w:vAlign w:val="bottom"/>
            <w:shd w:val="clear" w:color="auto" w:fill="CCEEFF"/>
          </w:tcPr>
          <w:p>
            <w:pPr>
              <w:spacing w:after="0"/>
              <w:rPr>
                <w:sz w:val="17"/>
                <w:szCs w:val="17"/>
                <w:color w:val="auto"/>
              </w:rPr>
            </w:pP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Allowance for credit losses (recovery)</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(129,578)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564,159</w:t>
            </w:r>
          </w:p>
        </w:tc>
        <w:tc>
          <w:tcPr>
            <w:tcW w:w="100" w:type="dxa"/>
            <w:vAlign w:val="bottom"/>
          </w:tcPr>
          <w:p>
            <w:pPr>
              <w:spacing w:after="0"/>
              <w:rPr>
                <w:sz w:val="17"/>
                <w:szCs w:val="17"/>
                <w:color w:val="auto"/>
              </w:rPr>
            </w:pPr>
          </w:p>
        </w:tc>
      </w:tr>
      <w:tr>
        <w:trPr>
          <w:trHeight w:val="198"/>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Provision for chargebacks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2,197,000</w:t>
            </w:r>
          </w:p>
        </w:tc>
        <w:tc>
          <w:tcPr>
            <w:tcW w:w="100" w:type="dxa"/>
            <w:vAlign w:val="bottom"/>
            <w:shd w:val="clear" w:color="auto" w:fill="CCEEFF"/>
          </w:tcPr>
          <w:p>
            <w:pPr>
              <w:spacing w:after="0"/>
              <w:rPr>
                <w:sz w:val="17"/>
                <w:szCs w:val="17"/>
                <w:color w:val="auto"/>
              </w:rPr>
            </w:pP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(Gain) loss on disposal of property and equipment, net</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(9,342)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00" w:type="dxa"/>
            <w:vAlign w:val="bottom"/>
          </w:tcPr>
          <w:p>
            <w:pPr>
              <w:spacing w:after="0"/>
              <w:rPr>
                <w:sz w:val="17"/>
                <w:szCs w:val="17"/>
                <w:color w:val="auto"/>
              </w:rPr>
            </w:pPr>
          </w:p>
        </w:tc>
      </w:tr>
      <w:tr>
        <w:trPr>
          <w:trHeight w:val="198"/>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Gain on sale of franchise</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(13,204,798)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Investment income, net</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(4,923,317)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(5,029,779)</w:t>
            </w:r>
          </w:p>
        </w:tc>
      </w:tr>
      <w:tr>
        <w:trPr>
          <w:trHeight w:val="198"/>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8,950,380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(22,792,072)</w:t>
            </w:r>
          </w:p>
        </w:tc>
      </w:tr>
      <w:tr>
        <w:trPr>
          <w:trHeight w:val="198"/>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(62,110,886)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(138,983,979)</w:t>
            </w: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Due from related parties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(398,879)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8"/>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Prepaid taxes and expenses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(575,065)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(929,947)</w:t>
            </w: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4,455,462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2,228,602</w:t>
            </w:r>
          </w:p>
        </w:tc>
        <w:tc>
          <w:tcPr>
            <w:tcW w:w="100" w:type="dxa"/>
            <w:vAlign w:val="bottom"/>
          </w:tcPr>
          <w:p>
            <w:pPr>
              <w:spacing w:after="0"/>
              <w:rPr>
                <w:sz w:val="17"/>
                <w:szCs w:val="17"/>
                <w:color w:val="auto"/>
              </w:rPr>
            </w:pPr>
          </w:p>
        </w:tc>
      </w:tr>
      <w:tr>
        <w:trPr>
          <w:trHeight w:val="198"/>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taxes payable</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(717,459)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(2,376,581)</w:t>
            </w: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Repayments on operating lease liabilities</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(38,093,524)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(37,208,245)</w:t>
            </w:r>
          </w:p>
        </w:tc>
      </w:tr>
      <w:tr>
        <w:trPr>
          <w:trHeight w:val="211"/>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Insurance loss fund</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115,125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(565,141)</w:t>
            </w:r>
          </w:p>
        </w:tc>
      </w:tr>
      <w:tr>
        <w:trPr>
          <w:trHeight w:val="191"/>
        </w:trPr>
        <w:tc>
          <w:tcPr>
            <w:tcW w:w="6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by Operating Activities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(959,899)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(91,457,972)</w:t>
            </w:r>
          </w:p>
        </w:tc>
      </w:tr>
      <w:tr>
        <w:trPr>
          <w:trHeight w:val="191"/>
        </w:trPr>
        <w:tc>
          <w:tcPr>
            <w:tcW w:w="6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(4,486,651)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(8,849,238)</w:t>
            </w:r>
          </w:p>
        </w:tc>
      </w:tr>
      <w:tr>
        <w:trPr>
          <w:trHeight w:val="198"/>
        </w:trPr>
        <w:tc>
          <w:tcPr>
            <w:tcW w:w="6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Proceeds from sales of property and equipment</w:t>
            </w: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1"/>
        </w:trPr>
        <w:tc>
          <w:tcPr>
            <w:tcW w:w="6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Increase in investment in partnerships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(64,951)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(62,774)</w:t>
            </w:r>
          </w:p>
        </w:tc>
      </w:tr>
      <w:tr>
        <w:trPr>
          <w:trHeight w:val="191"/>
        </w:trPr>
        <w:tc>
          <w:tcPr>
            <w:tcW w:w="654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6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(4,542,260)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(8,912,012)</w:t>
            </w:r>
          </w:p>
        </w:tc>
      </w:tr>
      <w:tr>
        <w:trPr>
          <w:trHeight w:val="20"/>
        </w:trPr>
        <w:tc>
          <w:tcPr>
            <w:tcW w:w="6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accompanying notes are an integral part of these combined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COMBINED STATEMENTS OF CASH FLOWS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advances on floorplan notes payable</w:t>
            </w: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49,299,481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143,403,436</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repayments on due to/from owner</w:t>
            </w:r>
          </w:p>
        </w:tc>
        <w:tc>
          <w:tcPr>
            <w:tcW w:w="2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(25,365,085)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(23,359,181)</w:t>
            </w:r>
          </w:p>
        </w:tc>
        <w:tc>
          <w:tcPr>
            <w:tcW w:w="0" w:type="dxa"/>
            <w:vAlign w:val="bottom"/>
          </w:tcPr>
          <w:p>
            <w:pPr>
              <w:spacing w:after="0"/>
              <w:rPr>
                <w:sz w:val="1"/>
                <w:szCs w:val="1"/>
                <w:color w:val="auto"/>
              </w:rPr>
            </w:pPr>
          </w:p>
        </w:tc>
      </w:tr>
      <w:tr>
        <w:trPr>
          <w:trHeight w:val="198"/>
        </w:trPr>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 on finance lease liability</w:t>
            </w: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(404,610)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(325,377)</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Member's capital contributions</w:t>
            </w:r>
          </w:p>
        </w:tc>
        <w:tc>
          <w:tcPr>
            <w:tcW w:w="2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5,560,000</w:t>
            </w:r>
          </w:p>
        </w:tc>
        <w:tc>
          <w:tcPr>
            <w:tcW w:w="0" w:type="dxa"/>
            <w:vAlign w:val="bottom"/>
          </w:tcPr>
          <w:p>
            <w:pPr>
              <w:spacing w:after="0"/>
              <w:rPr>
                <w:sz w:val="1"/>
                <w:szCs w:val="1"/>
                <w:color w:val="auto"/>
              </w:rPr>
            </w:pPr>
          </w:p>
        </w:tc>
      </w:tr>
      <w:tr>
        <w:trPr>
          <w:trHeight w:val="211"/>
        </w:trPr>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Distributions paid to stockholder and member</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(22,248,677)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(46,261,478)</w:t>
            </w:r>
          </w:p>
        </w:tc>
        <w:tc>
          <w:tcPr>
            <w:tcW w:w="0" w:type="dxa"/>
            <w:vAlign w:val="bottom"/>
          </w:tcPr>
          <w:p>
            <w:pPr>
              <w:spacing w:after="0"/>
              <w:rPr>
                <w:sz w:val="1"/>
                <w:szCs w:val="1"/>
                <w:color w:val="auto"/>
              </w:rPr>
            </w:pPr>
          </w:p>
        </w:tc>
      </w:tr>
      <w:tr>
        <w:trPr>
          <w:trHeight w:val="191"/>
        </w:trPr>
        <w:tc>
          <w:tcPr>
            <w:tcW w:w="582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1,281,109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79,017,400</w:t>
            </w:r>
          </w:p>
        </w:tc>
        <w:tc>
          <w:tcPr>
            <w:tcW w:w="0" w:type="dxa"/>
            <w:vAlign w:val="bottom"/>
          </w:tcPr>
          <w:p>
            <w:pPr>
              <w:spacing w:after="0"/>
              <w:rPr>
                <w:sz w:val="1"/>
                <w:szCs w:val="1"/>
                <w:color w:val="auto"/>
              </w:rPr>
            </w:pPr>
          </w:p>
        </w:tc>
      </w:tr>
      <w:tr>
        <w:trPr>
          <w:trHeight w:val="191"/>
        </w:trPr>
        <w:tc>
          <w:tcPr>
            <w:tcW w:w="582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Decrease in Cash</w:t>
            </w: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(4,221,050)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(21,352,584)</w:t>
            </w: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Beginning of year</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84,973,670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106,326,254</w:t>
            </w:r>
          </w:p>
        </w:tc>
        <w:tc>
          <w:tcPr>
            <w:tcW w:w="0" w:type="dxa"/>
            <w:vAlign w:val="bottom"/>
          </w:tcPr>
          <w:p>
            <w:pPr>
              <w:spacing w:after="0"/>
              <w:rPr>
                <w:sz w:val="1"/>
                <w:szCs w:val="1"/>
                <w:color w:val="auto"/>
              </w:rPr>
            </w:pPr>
          </w:p>
        </w:tc>
      </w:tr>
      <w:tr>
        <w:trPr>
          <w:trHeight w:val="191"/>
        </w:trPr>
        <w:tc>
          <w:tcPr>
            <w:tcW w:w="582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End of year</w:t>
            </w:r>
          </w:p>
        </w:tc>
        <w:tc>
          <w:tcPr>
            <w:tcW w:w="2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80,752,620</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84,973,670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Supplementary Disclosures (Note 12)</w:t>
            </w:r>
          </w:p>
        </w:tc>
        <w:tc>
          <w:tcPr>
            <w:tcW w:w="2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82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accompanying notes are an integral part of these combined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w:t>
      </w:r>
      <w:r>
        <w:rPr>
          <w:rFonts w:ascii="Times New Roman" w:cs="Times New Roman" w:eastAsia="Times New Roman" w:hAnsi="Times New Roman"/>
          <w:sz w:val="11"/>
          <w:szCs w:val="11"/>
          <w:b w:val="1"/>
          <w:bCs w:val="1"/>
          <w:i w:val="1"/>
          <w:iCs w:val="1"/>
          <w:color w:val="auto"/>
        </w:rPr>
        <w:t>usiness</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perations</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rinciples of</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ombination</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Herb Chambers Companies’ (the Group) combined operations consist of sales of new and used vehicles, finance, warranty and insurance products, service, collision repairs, and parts in the New England area. The Group’s trade receivables are due primarily from retail customers. In addition, the majority of the vehicle and contract receivables are due from manufacturers’ financing subsidiaries and financial institutions relating to sales of new and used vehicles with the balance due from various wholesale customers. The Group purchases vehicles, parts and supplies from the manufacturers and participates in incentive programs. These transactions result in both a receivable from and payable to the manufacturers.</w:t>
      </w:r>
    </w:p>
    <w:p>
      <w:pPr>
        <w:spacing w:after="0" w:line="17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includes Jennings Road Management Corp. (JRM), established to provide management, insurance, and other related services to the Herb Chambers automobile dealerships and other entities owned by Herbert G. Chambers. The Group also includes HGC Holdings, LLC, established to hold investments and provide liquidity financing to the Herb Chambers dealerships.</w:t>
      </w:r>
    </w:p>
    <w:p>
      <w:pPr>
        <w:spacing w:after="0" w:line="170" w:lineRule="exact"/>
        <w:rPr>
          <w:sz w:val="20"/>
          <w:szCs w:val="20"/>
          <w:color w:val="auto"/>
        </w:rPr>
      </w:pPr>
    </w:p>
    <w:p>
      <w:pPr>
        <w:jc w:val="both"/>
        <w:ind w:left="300"/>
        <w:spacing w:after="0" w:line="335" w:lineRule="auto"/>
        <w:rPr>
          <w:sz w:val="20"/>
          <w:szCs w:val="20"/>
          <w:color w:val="auto"/>
        </w:rPr>
      </w:pPr>
      <w:r>
        <w:rPr>
          <w:rFonts w:ascii="Times New Roman" w:cs="Times New Roman" w:eastAsia="Times New Roman" w:hAnsi="Times New Roman"/>
          <w:sz w:val="15"/>
          <w:szCs w:val="15"/>
          <w:color w:val="auto"/>
        </w:rPr>
        <w:t>The combined financial statements of the Group are prepared in conformity with accounting principles generally accepted in the U.S. (GAAP) and all the intercompany balances and transactions have been eliminated in the combined statements. These entities are owned by Herbert G. Chambers. These entities include:</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Entity</w:t>
            </w:r>
          </w:p>
        </w:tc>
        <w:tc>
          <w:tcPr>
            <w:tcW w:w="496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Authorized Dealer</w:t>
            </w:r>
          </w:p>
        </w:tc>
      </w:tr>
      <w:tr>
        <w:trPr>
          <w:trHeight w:val="174"/>
        </w:trPr>
        <w:tc>
          <w:tcPr>
            <w:tcW w:w="20" w:type="dxa"/>
            <w:vAlign w:val="bottom"/>
          </w:tcPr>
          <w:p>
            <w:pPr>
              <w:spacing w:after="0"/>
              <w:rPr>
                <w:sz w:val="15"/>
                <w:szCs w:val="15"/>
                <w:color w:val="auto"/>
              </w:rPr>
            </w:pPr>
          </w:p>
        </w:tc>
        <w:tc>
          <w:tcPr>
            <w:tcW w:w="494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Herb Chambers Route 1, Inc.</w:t>
            </w:r>
          </w:p>
        </w:tc>
        <w:tc>
          <w:tcPr>
            <w:tcW w:w="200" w:type="dxa"/>
            <w:vAlign w:val="bottom"/>
          </w:tcPr>
          <w:p>
            <w:pPr>
              <w:spacing w:after="0"/>
              <w:rPr>
                <w:sz w:val="15"/>
                <w:szCs w:val="15"/>
                <w:color w:val="auto"/>
              </w:rPr>
            </w:pPr>
          </w:p>
        </w:tc>
        <w:tc>
          <w:tcPr>
            <w:tcW w:w="49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Lexus</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I-93,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Mercedes-Benz, AMG and Commercial Vans</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Commonwealth Avenue,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Porsche</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Silver Star,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Mercedes-Benz, AMG and Commercial Vans</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1172,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BMW and Mini</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Cambridge Street,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Audi</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Cadillac,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Cadillac, Maserati and Alfa Romeo</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1186,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Honda</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128,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Honda</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44,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Honda</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Route 9,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Honda</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Brookline,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Audi</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I-95,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Chrysler, Jeep, Dodge, Ram and Fiat</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Millbury,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Chrysler, Jeep, Dodge, Ram and Fiat</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Auburn,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Toyota, Hyundai and Genesis</w:t>
            </w:r>
          </w:p>
        </w:tc>
      </w:tr>
      <w:tr>
        <w:trPr>
          <w:trHeight w:val="215"/>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1168,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Toyota</w:t>
            </w: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w:t>
      </w:r>
      <w:r>
        <w:rPr>
          <w:rFonts w:ascii="Times New Roman" w:cs="Times New Roman" w:eastAsia="Times New Roman" w:hAnsi="Times New Roman"/>
          <w:sz w:val="11"/>
          <w:szCs w:val="11"/>
          <w:b w:val="1"/>
          <w:bCs w:val="1"/>
          <w:i w:val="1"/>
          <w:iCs w:val="1"/>
          <w:color w:val="auto"/>
        </w:rPr>
        <w:t>usiness</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perations</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rinciples of</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ombination</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Entity</w:t>
            </w:r>
          </w:p>
        </w:tc>
        <w:tc>
          <w:tcPr>
            <w:tcW w:w="496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Authorized Dealer</w:t>
            </w:r>
          </w:p>
        </w:tc>
      </w:tr>
      <w:tr>
        <w:trPr>
          <w:trHeight w:val="174"/>
        </w:trPr>
        <w:tc>
          <w:tcPr>
            <w:tcW w:w="20" w:type="dxa"/>
            <w:vAlign w:val="bottom"/>
          </w:tcPr>
          <w:p>
            <w:pPr>
              <w:spacing w:after="0"/>
              <w:rPr>
                <w:sz w:val="15"/>
                <w:szCs w:val="15"/>
                <w:color w:val="auto"/>
              </w:rPr>
            </w:pPr>
          </w:p>
        </w:tc>
        <w:tc>
          <w:tcPr>
            <w:tcW w:w="494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Dave Dinger Ford, Inc.</w:t>
            </w:r>
          </w:p>
        </w:tc>
        <w:tc>
          <w:tcPr>
            <w:tcW w:w="200" w:type="dxa"/>
            <w:vAlign w:val="bottom"/>
          </w:tcPr>
          <w:p>
            <w:pPr>
              <w:spacing w:after="0"/>
              <w:rPr>
                <w:sz w:val="15"/>
                <w:szCs w:val="15"/>
                <w:color w:val="auto"/>
              </w:rPr>
            </w:pPr>
          </w:p>
        </w:tc>
        <w:tc>
          <w:tcPr>
            <w:tcW w:w="496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Ford</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Westborough,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Ford</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Andover Street,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Chevrolet</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Boston Post Road,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BMW</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Wayland,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Bentley, Rolls Royce, Lamborghini, Alfa Romeo and Maserati</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Natick,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Mercedes-Benz, Commercial Vans and AMG</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Sudbury,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Land Rover</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75 Otis Street,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Infiniti</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Burlington,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Kia</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22 Brighton Ave,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Vespa &amp; Genuine Scooters</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1188,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Land Rover and Jaguar</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Millbury II,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Alfa Romeo and Maserati</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395 Broadway,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Cadillac</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Boston Turnpike,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Volvo</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of Norwood,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Lincoln</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Herb Chambers 62 Cambridge, Inc.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Porsche</w:t>
            </w:r>
          </w:p>
        </w:tc>
      </w:tr>
      <w:tr>
        <w:trPr>
          <w:trHeight w:val="198"/>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Jennings Road Management Corp.</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Corporate management, insurance and other related services</w:t>
            </w:r>
          </w:p>
        </w:tc>
      </w:tr>
      <w:tr>
        <w:trPr>
          <w:trHeight w:val="215"/>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HGC Holdings, LLC</w:t>
            </w: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Liquidity financing and investing</w:t>
            </w:r>
          </w:p>
        </w:tc>
      </w:tr>
    </w:tbl>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Effective April 1, 2023, Herb Chambers of Sudbury, Inc. relinquished its Jaguar franchise to the manufacturer for financial considerations and additional Land Rover inventory. Herb Chambers of Sudbury, Inc. remains an authorized Jaguar service center and the ability to sell certified pre-owned Jaguar inventory. In December 2024, the Group sold one of its Honda franchises and assets related to the operations of Herb Chambers Route 9, Inc.</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evenue</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ecognition</w:t>
      </w:r>
    </w:p>
    <w:p>
      <w:pPr>
        <w:spacing w:after="0" w:line="205" w:lineRule="exact"/>
        <w:rPr>
          <w:sz w:val="20"/>
          <w:szCs w:val="20"/>
          <w:color w:val="auto"/>
        </w:rPr>
      </w:pPr>
    </w:p>
    <w:p>
      <w:pPr>
        <w:ind w:left="300"/>
        <w:spacing w:after="0" w:line="267" w:lineRule="auto"/>
        <w:rPr>
          <w:sz w:val="20"/>
          <w:szCs w:val="20"/>
          <w:color w:val="auto"/>
        </w:rPr>
      </w:pPr>
      <w:r>
        <w:rPr>
          <w:rFonts w:ascii="Times New Roman" w:cs="Times New Roman" w:eastAsia="Times New Roman" w:hAnsi="Times New Roman"/>
          <w:sz w:val="17"/>
          <w:szCs w:val="17"/>
          <w:color w:val="auto"/>
        </w:rPr>
        <w:t>The Group recognizes revenue in accordance with Accounting Standards Codification (ASC) Topic 606, “Revenue from Contracts with Customers”, which provides a five-step model for recognizing revenue with customers as follows:</w:t>
      </w:r>
    </w:p>
    <w:p>
      <w:pPr>
        <w:spacing w:after="0" w:line="160" w:lineRule="exact"/>
        <w:rPr>
          <w:sz w:val="20"/>
          <w:szCs w:val="20"/>
          <w:color w:val="auto"/>
        </w:rPr>
      </w:pPr>
    </w:p>
    <w:p>
      <w:pPr>
        <w:ind w:left="900" w:hanging="306"/>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 with a customer</w:t>
      </w:r>
    </w:p>
    <w:p>
      <w:pPr>
        <w:spacing w:after="0" w:line="19"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contract(s)</w:t>
      </w:r>
    </w:p>
    <w:p>
      <w:pPr>
        <w:spacing w:after="0" w:line="2"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2"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w:t>
      </w:r>
    </w:p>
    <w:p>
      <w:pPr>
        <w:spacing w:after="0" w:line="2"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performance obligations are satisfied</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the following table of sales, cost of sales and gross profit are disaggregated by major lines of goods and services.</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Sales</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vehicle</w:t>
            </w:r>
          </w:p>
        </w:tc>
        <w:tc>
          <w:tcPr>
            <w:tcW w:w="3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1,678,511,813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1,610,418,509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Used vehicle - retail</w:t>
            </w: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784,756,025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769,048,623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Used vehicle - wholesale</w:t>
            </w: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168,231,489</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160,636,732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 parts and body</w:t>
            </w: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441,738,139</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425,192,495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and insurance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123,219,354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121,586,632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68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Total sales</w:t>
            </w:r>
          </w:p>
        </w:tc>
        <w:tc>
          <w:tcPr>
            <w:tcW w:w="3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3,196,456,820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3,086,882,991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68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New vehicle</w:t>
            </w: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1,519,490,528</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1,416,719,978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Used vehicle - retail</w:t>
            </w: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714,010,913</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693,272,613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Used vehicle - wholesale</w:t>
            </w: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168,192,220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159,707,887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 parts and body</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244,587,885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235,623,339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68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Total cost of sales</w:t>
            </w:r>
          </w:p>
        </w:tc>
        <w:tc>
          <w:tcPr>
            <w:tcW w:w="3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2,646,281,546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2,505,323,817</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680" w:type="dxa"/>
            <w:vAlign w:val="bottom"/>
            <w:tcBorders>
              <w:top w:val="single" w:sz="8" w:color="CCEEFF"/>
            </w:tcBorders>
            <w:shd w:val="clear" w:color="auto" w:fill="CCEEFF"/>
          </w:tcPr>
          <w:p>
            <w:pPr>
              <w:spacing w:after="0"/>
              <w:rPr>
                <w:sz w:val="16"/>
                <w:szCs w:val="16"/>
                <w:color w:val="auto"/>
              </w:rPr>
            </w:pPr>
          </w:p>
        </w:tc>
        <w:tc>
          <w:tcPr>
            <w:tcW w:w="2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New vehicle</w:t>
            </w: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159,021,285</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193,698,531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Used vehicle - retail</w:t>
            </w: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70,745,112</w:t>
            </w:r>
          </w:p>
        </w:tc>
        <w:tc>
          <w:tcPr>
            <w:tcW w:w="1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75,776,010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Used vehicle - wholesale</w:t>
            </w:r>
          </w:p>
        </w:tc>
        <w:tc>
          <w:tcPr>
            <w:tcW w:w="2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39,269</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928,845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 parts and body</w:t>
            </w:r>
          </w:p>
        </w:tc>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197,150,254</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189,569,156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and insurance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123,219,354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121,586,632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6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gross profit</w:t>
            </w:r>
          </w:p>
        </w:tc>
        <w:tc>
          <w:tcPr>
            <w:tcW w:w="3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550,175,274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581,559,174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evenue</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ecognition</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following describes the major product lines, which represent the disaggregation of revenue to transactions that are similar in nature, amount, timing, uncertainties and economic factors.</w:t>
      </w:r>
    </w:p>
    <w:p>
      <w:pPr>
        <w:spacing w:after="0" w:line="158"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New Retail Vehicle and Used Retail Vehicle Sales </w:t>
      </w:r>
      <w:r>
        <w:rPr>
          <w:rFonts w:ascii="Times New Roman" w:cs="Times New Roman" w:eastAsia="Times New Roman" w:hAnsi="Times New Roman"/>
          <w:sz w:val="17"/>
          <w:szCs w:val="17"/>
          <w:color w:val="auto"/>
        </w:rPr>
        <w:t>- Revenue from the retail sale of a vehicle is recognized at a point in time, as all performance obligations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when a contract is signed by the customer, financing has been arranged or collectability is probable and the control of the vehicle is transferred to the customer. The transaction price for a retail vehicle sale is specified in the contract with the customer and includes all cash and non-cash consideration. In a retail vehicle sale, customers often trade in their current vehicle. The trade-in is measured at its stand-alone selling price in the contract, utilizing various third-party pricing sources. There are no other non-cash forms of consideration related to retail sales. All vehicle rebates are applied to the vehicle purchase price at the time of the sale and are therefore incorporated into the price of the contract at the time of the exchange.</w:t>
      </w:r>
    </w:p>
    <w:p>
      <w:pPr>
        <w:spacing w:after="0" w:line="176" w:lineRule="exact"/>
        <w:rPr>
          <w:sz w:val="20"/>
          <w:szCs w:val="20"/>
          <w:color w:val="auto"/>
        </w:rPr>
      </w:pPr>
    </w:p>
    <w:p>
      <w:pPr>
        <w:jc w:val="both"/>
        <w:ind w:left="30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Used Vehicle Wholesale Sales </w:t>
      </w:r>
      <w:r>
        <w:rPr>
          <w:rFonts w:ascii="Times New Roman" w:cs="Times New Roman" w:eastAsia="Times New Roman" w:hAnsi="Times New Roman"/>
          <w:sz w:val="17"/>
          <w:szCs w:val="17"/>
          <w:color w:val="auto"/>
        </w:rPr>
        <w:t>- When the Group uses a third-party auction to facilitate the sale of used vehicles, the Group has determined that the auction acts 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under the agreement. Therefore, the Group recognizes revenues and cost of sales on a gross basis upon delivery of the vehicle to the customer, which is the point at which transfer of control occurs and when the performance obligation is satisfied. The transaction price for wholesale vehicle sales is established by the winning bid under the auction process and is generally settled within 7 days of the satisfaction of the performance obligation.</w:t>
      </w:r>
    </w:p>
    <w:p>
      <w:pPr>
        <w:spacing w:after="0" w:line="170"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Service, Body and Parts Sales </w:t>
      </w:r>
      <w:r>
        <w:rPr>
          <w:rFonts w:ascii="Times New Roman" w:cs="Times New Roman" w:eastAsia="Times New Roman" w:hAnsi="Times New Roman"/>
          <w:sz w:val="17"/>
          <w:szCs w:val="17"/>
          <w:color w:val="auto"/>
        </w:rPr>
        <w:t>- Revenue from service, body and parts sales is recognized upon the transfer of control of the parts or service to the customer.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allows for customer returns on sales of certain parts inventory up to 7 days after the sale and are subject to a 20% handling charge.</w:t>
      </w:r>
    </w:p>
    <w:p>
      <w:pPr>
        <w:spacing w:after="0" w:line="156"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Finance and Insurance Sales, net </w:t>
      </w:r>
      <w:r>
        <w:rPr>
          <w:rFonts w:ascii="Times New Roman" w:cs="Times New Roman" w:eastAsia="Times New Roman" w:hAnsi="Times New Roman"/>
          <w:sz w:val="17"/>
          <w:szCs w:val="17"/>
          <w:color w:val="auto"/>
        </w:rPr>
        <w:t>- Revenue from finance and insurance sales is recognized, net of estimated charge-backs, at the time of the sale of the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vehicle. As a part of the vehicle sale, we seek to arrange financing for customers and sell a variety of add-ons, such as extended warranty service contracts. These products are inherently attached to the governing vehicle and performance of the obligation cannot be performed without the underlying sale of the vehicle. The Group acts as an agent in the sale of these contracts as the pricing is set by the third-party provider, and our commission is preset. A portion of the transaction price related to sales of finance and insurance contracts is considered variable consideration and is estimated and recognized upon the sale of the contract under the standard.</w:t>
      </w:r>
    </w:p>
    <w:p>
      <w:pPr>
        <w:spacing w:after="0" w:line="376"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evenue recognition</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may be charged back in the future for commissions received on F&amp;I contracts in the event of early termination by the customer. A reserve for future amounts estimated to be charged back, representing variable consideration, is recorded as a reduction to finance and insurance, net in the combined statements of operations. The reserve is estimated based on the Group’s historical chargeback results and the termination provisions of the applicable contracts, and was $8,387,000 and $7,629,000 at December 31, 2024 and 2023, respectively and is recorded in accounts payable and other accrued expenses in the accompanying combined balance sheets.</w:t>
      </w:r>
    </w:p>
    <w:p>
      <w:pPr>
        <w:spacing w:after="0" w:line="173"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 Other income includes third party service contracts for which the Group receives a commission, documentation fees for processing paperwork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well as revenue from manufacturer programs that are recorded in the period earned. Provisions for rebates to customers, estimated allowances, and other adjustments are provided for in the same period the related sales are recorded.</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w:t>
      </w:r>
      <w:r>
        <w:rPr>
          <w:rFonts w:ascii="Times New Roman" w:cs="Times New Roman" w:eastAsia="Times New Roman" w:hAnsi="Times New Roman"/>
          <w:sz w:val="11"/>
          <w:szCs w:val="11"/>
          <w:b w:val="1"/>
          <w:bCs w:val="1"/>
          <w:i w:val="1"/>
          <w:iCs w:val="1"/>
          <w:color w:val="auto"/>
        </w:rPr>
        <w:t>oncentration of credit risk</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Financial instruments that potentially subject the Group to concentration of credit risk consist primarily of cash and accounts receivable. The Group maintains its cash in bank deposits at financial institutions with high credit standing. The balances, at times, may exceed federally insured limits. Accounts receivables are typically short-term, and all probable credit losses have been considered in the establishment of the allowance for credit losses. Periodically, the Group reviews accounts receivable and adjusts the allowance based on current circumstances and charges off uncollectible receivables when all attempts to collect have failed. The Group typically does not charge interest on past due receivables. The Group has recorded an allowance associated with the various receivables (see Note 4).</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nvestments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has investments classified as available-for-sale. Available-for-sale investments are those which the Group may decide to sell if needed for liquidity, asset liability management, or other reasons. Available-for-sale securities are reported at fair value, with unrealized gains or losses included as a separate component of equity and net income and comprehensive income.</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nventories</w:t>
      </w:r>
    </w:p>
    <w:p>
      <w:pPr>
        <w:spacing w:after="0" w:line="205"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color w:val="auto"/>
        </w:rPr>
        <w:t>New vehicles are stated at a specific cost determined by the last-in first-out (LIFO) method of valuation. Used vehicles are valued at the lower of cost or net realize value. Net realizable value is considered to be the lower of wholesale “as is” value, determined by the current used vehicle guidebook, less estimated recondition cost, or the estimated current wholesale market value of the unit as determined by management on specific unit basis. Loaner and rental vehicles and the related liability are recorded at cost at the time the vehicles are placed in service. The Group receives loaner assistance money from the manufacturer which is applied against recorded cost and the Group makes market value adjustments to these vehicles. Parts and accessories are generally stated at the current manufactures’ catalog prices, which approximate cost determined on the first-in, first out or specific identification basis.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w:t>
      </w:r>
      <w:r>
        <w:rPr>
          <w:rFonts w:ascii="Times New Roman" w:cs="Times New Roman" w:eastAsia="Times New Roman" w:hAnsi="Times New Roman"/>
          <w:sz w:val="11"/>
          <w:szCs w:val="11"/>
          <w:b w:val="1"/>
          <w:bCs w:val="1"/>
          <w:i w:val="1"/>
          <w:iCs w:val="1"/>
          <w:color w:val="auto"/>
        </w:rPr>
        <w:t>roperty</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E</w:t>
      </w:r>
      <w:r>
        <w:rPr>
          <w:rFonts w:ascii="Times New Roman" w:cs="Times New Roman" w:eastAsia="Times New Roman" w:hAnsi="Times New Roman"/>
          <w:sz w:val="11"/>
          <w:szCs w:val="11"/>
          <w:b w:val="1"/>
          <w:bCs w:val="1"/>
          <w:i w:val="1"/>
          <w:iCs w:val="1"/>
          <w:color w:val="auto"/>
        </w:rPr>
        <w:t>quipment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Property and equipment is stated at cost, or fair value for assets acquired in a business combination, less accumulated depreciation. Expenditures for maintenance and repairs are charged to expenses in the period incurred. Depreciation is provided primarily by use of straight-line methods over the estimated useful lives of the assets, which range from five to thirty-nine years. Leasehold improvements are amortized over the shorter of the lease term or the estimated useful life of the improvement. When property and equipment are retired or otherwise disposed of, the appropriate accounts are relieved of cost and accumulated depreciation, and any resulting gain or loss is recognized.</w:t>
      </w:r>
    </w:p>
    <w:p>
      <w:pPr>
        <w:spacing w:after="0" w:line="17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as well as the effects of obsolescence, demand, competition, and other economic factors. No impairment losses were recognized for the years ended December 31, 2024 and 2023.</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w:t>
      </w:r>
      <w:r>
        <w:rPr>
          <w:rFonts w:ascii="Times New Roman" w:cs="Times New Roman" w:eastAsia="Times New Roman" w:hAnsi="Times New Roman"/>
          <w:sz w:val="11"/>
          <w:szCs w:val="11"/>
          <w:b w:val="1"/>
          <w:bCs w:val="1"/>
          <w:i w:val="1"/>
          <w:iCs w:val="1"/>
          <w:color w:val="auto"/>
        </w:rPr>
        <w:t>oodwill</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Goodwill results from business acquisitions and represents the excess of the purchase price over the fair value of acquired assets and assumed liabilities. In accordance with GAAP, goodwill is not amortized. Goodwill is assessed at least annually for impairment, and any such impairment will be recognized in the period it is identified. Factors considered by the Group in performing this review, include current operating income, trends, fair value of reporting units, and other economic factors.</w:t>
      </w:r>
    </w:p>
    <w:p>
      <w:pPr>
        <w:spacing w:after="0" w:line="173"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For the years ended December 31, 2024 and 2023, the Group had positive equity and the Group elected to perform a qualitative assessment to determine if it was more likely than not that the fair value of the reporting unit exceeded its carrying value, including goodwill. The qualitative assessment indicated that it was more likely than not that the fair value of the reporting unit exceeded its carrying value, resulting in no impairment for the operations. In relation to the sale of Herb Chambers Route 9, Inc., the Group recorded an impairment loss during the year ended December 31, 2024 for the remaining goodwill of $2,942,017, included in gain from sale of franchise in the accompanying combined statements of operations and comprehensive income.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nsurance</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rogram</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Group administers self-insured programs for the workers’ compensation and property and casualty insurance coverage for the dealerships owned by Herbert G. Chambers. As part of these programs, the Group collects from the dealerships base premiums and loss payments. The payment of claims is administered by third party service providers. Since the Group is not an insurance company, it accounts for these payments, net of related premiums and insurance claims paid, on the combined balance sheets as an insurance loss fund liability (see Note 10).</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w:t>
      </w:r>
      <w:r>
        <w:rPr>
          <w:rFonts w:ascii="Times New Roman" w:cs="Times New Roman" w:eastAsia="Times New Roman" w:hAnsi="Times New Roman"/>
          <w:sz w:val="11"/>
          <w:szCs w:val="11"/>
          <w:b w:val="1"/>
          <w:bCs w:val="1"/>
          <w:i w:val="1"/>
          <w:iCs w:val="1"/>
          <w:color w:val="auto"/>
        </w:rPr>
        <w:t>omprehensive</w:t>
      </w:r>
      <w:r>
        <w:rPr>
          <w:rFonts w:ascii="Times New Roman" w:cs="Times New Roman" w:eastAsia="Times New Roman" w:hAnsi="Times New Roman"/>
          <w:sz w:val="17"/>
          <w:szCs w:val="17"/>
          <w:b w:val="1"/>
          <w:bCs w:val="1"/>
          <w:i w:val="1"/>
          <w:iCs w:val="1"/>
          <w:color w:val="auto"/>
        </w:rPr>
        <w:t xml:space="preserve"> I</w:t>
      </w:r>
      <w:r>
        <w:rPr>
          <w:rFonts w:ascii="Times New Roman" w:cs="Times New Roman" w:eastAsia="Times New Roman" w:hAnsi="Times New Roman"/>
          <w:sz w:val="11"/>
          <w:szCs w:val="11"/>
          <w:b w:val="1"/>
          <w:bCs w:val="1"/>
          <w:i w:val="1"/>
          <w:iCs w:val="1"/>
          <w:color w:val="auto"/>
        </w:rPr>
        <w:t>ncome</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Comprehensive income consists of net income and other gains and losses affecting equity that, under GAAP, are excluded from net income. For the Group, such items consist of unrealized gains and losses on marketable fixed income securities classified as available-for-sale.</w:t>
      </w:r>
    </w:p>
    <w:p>
      <w:pPr>
        <w:spacing w:after="0" w:line="35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w:t>
      </w:r>
      <w:r>
        <w:rPr>
          <w:rFonts w:ascii="Times New Roman" w:cs="Times New Roman" w:eastAsia="Times New Roman" w:hAnsi="Times New Roman"/>
          <w:sz w:val="11"/>
          <w:szCs w:val="11"/>
          <w:b w:val="1"/>
          <w:bCs w:val="1"/>
          <w:i w:val="1"/>
          <w:iCs w:val="1"/>
          <w:color w:val="auto"/>
        </w:rPr>
        <w:t>dvertising</w:t>
      </w:r>
    </w:p>
    <w:p>
      <w:pPr>
        <w:spacing w:after="0" w:line="205" w:lineRule="exact"/>
        <w:rPr>
          <w:sz w:val="20"/>
          <w:szCs w:val="20"/>
          <w:color w:val="auto"/>
        </w:rPr>
      </w:pPr>
    </w:p>
    <w:p>
      <w:pPr>
        <w:jc w:val="both"/>
        <w:ind w:left="300"/>
        <w:spacing w:after="0" w:line="335" w:lineRule="auto"/>
        <w:rPr>
          <w:sz w:val="20"/>
          <w:szCs w:val="20"/>
          <w:color w:val="auto"/>
        </w:rPr>
      </w:pPr>
      <w:r>
        <w:rPr>
          <w:rFonts w:ascii="Times New Roman" w:cs="Times New Roman" w:eastAsia="Times New Roman" w:hAnsi="Times New Roman"/>
          <w:sz w:val="15"/>
          <w:szCs w:val="15"/>
          <w:color w:val="auto"/>
        </w:rPr>
        <w:t>The Group expenses advertising costs as incurred. The Group receives advertising assistance from the manufacturers, which is treated as a reduction of advertising expenses. Advertising costs for the years ended December 31, 2024 and 2023, net of assistance, were approximately $19,541,000 and $14,300,000, respectively.</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ncome</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owner has elected, for federal income tax purposes, to have the underlying companies taxed as small business corporations (S Corporations) and a limited liability company (LLC) treated as a partnership. These elections provide for the net income or loss of the entities to be reported on the owner’s personal federal and state income tax returns.</w:t>
      </w:r>
    </w:p>
    <w:p>
      <w:pPr>
        <w:spacing w:after="0" w:line="170"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Group follows guidance issued by the Financial Accounting Standards Board (FASB) with respect to accounting for uncertainty in income taxes.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more-likely-than-not test, no tax benefit is recorded.</w:t>
      </w:r>
    </w:p>
    <w:p>
      <w:pPr>
        <w:spacing w:after="0" w:line="173"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Due to its pass-through status, the Group is not subject to U.S. federal income tax. The Group does not have any unrecognized tax benefits and does not expect that to significantly change in the next 12 months.</w:t>
      </w:r>
    </w:p>
    <w:p>
      <w:pPr>
        <w:spacing w:after="0" w:line="160"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Under the Massachusetts corporate tax reform provisions, unitary combining reporting is required for multi-state corporations. Under the definitions, the Group and other related party entities are considered a unitary business, under common ownership and part of a combined group for purposes of filing a combined tax return in Massachusetts. In September 2021, Massachusetts legislature enacted an elective pass-through entity excise tax. Under the legislation, for tax years beginning on or after January 1, 2021, entities taxed as “S” corporations and partnerships may elect annually to be subject to the pass-through entity excise at a rate of 5%. No provision is made for deferred state income tax in these combined financial statements due to its immateriality.</w:t>
      </w:r>
    </w:p>
    <w:p>
      <w:pPr>
        <w:spacing w:after="0" w:line="17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Herb Chambers Cadillac, Inc. is a Rhode Island entity and pays no state tax on its income and receives no benefit from its losses, if any, in accordance with the current state tax laws. In lieu of State of Rhode Island corporate income taxes, the owner is taxed on this entity’s taxable income. JRM also has Rhode Island return filing requirements, and in lieu of corporate income tax, the owner is taxed on this entity’s taxable income.</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ncome</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JRM and HGC Holdings, LLC are Connecticut entities and pay no state tax on income and receive no benefit from losses, if any, in that state, in accordance with current state tax laws. In lieu of State of Connecticut income taxes, the Group’s owner is taxed on the Group’s taxable income. During the years ended December 31, 2024 and 2023, state temporary differences were immaterial and, accordingly, no deferred state tax provision for income taxes is reflected in the accompanying combined financial statements.</w:t>
      </w:r>
    </w:p>
    <w:p>
      <w:pPr>
        <w:spacing w:after="0" w:line="173"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JRM and all other entities included in this combined financial statement, other than Herb Chambers Cadillac, Inc. and HGC Holdings, LLC are taxed at the corporate level for Massachusetts state income tax purposes in accordance with current state tax laws. State income tax expense for the years ended December 31, 2024 and 2023 was approximately $8,932,000 and $6,143,000, respectively, and is included in operating expenses in the accompanying combined statements of operations and comprehensive income.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w:t>
      </w:r>
      <w:r>
        <w:rPr>
          <w:rFonts w:ascii="Times New Roman" w:cs="Times New Roman" w:eastAsia="Times New Roman" w:hAnsi="Times New Roman"/>
          <w:sz w:val="11"/>
          <w:szCs w:val="11"/>
          <w:b w:val="1"/>
          <w:bCs w:val="1"/>
          <w:i w:val="1"/>
          <w:iCs w:val="1"/>
          <w:color w:val="auto"/>
        </w:rPr>
        <w:t>ccounting</w:t>
      </w:r>
      <w:r>
        <w:rPr>
          <w:rFonts w:ascii="Times New Roman" w:cs="Times New Roman" w:eastAsia="Times New Roman" w:hAnsi="Times New Roman"/>
          <w:sz w:val="17"/>
          <w:szCs w:val="17"/>
          <w:b w:val="1"/>
          <w:bCs w:val="1"/>
          <w:i w:val="1"/>
          <w:iCs w:val="1"/>
          <w:color w:val="auto"/>
        </w:rPr>
        <w:t xml:space="preserve"> F</w:t>
      </w:r>
      <w:r>
        <w:rPr>
          <w:rFonts w:ascii="Times New Roman" w:cs="Times New Roman" w:eastAsia="Times New Roman" w:hAnsi="Times New Roman"/>
          <w:sz w:val="11"/>
          <w:szCs w:val="11"/>
          <w:b w:val="1"/>
          <w:bCs w:val="1"/>
          <w:i w:val="1"/>
          <w:iCs w:val="1"/>
          <w:color w:val="auto"/>
        </w:rPr>
        <w:t>or</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ncertainty</w:t>
      </w:r>
      <w:r>
        <w:rPr>
          <w:rFonts w:ascii="Times New Roman" w:cs="Times New Roman" w:eastAsia="Times New Roman" w:hAnsi="Times New Roman"/>
          <w:sz w:val="17"/>
          <w:szCs w:val="17"/>
          <w:b w:val="1"/>
          <w:bCs w:val="1"/>
          <w:i w:val="1"/>
          <w:iCs w:val="1"/>
          <w:color w:val="auto"/>
        </w:rPr>
        <w:t xml:space="preserve"> I</w:t>
      </w:r>
      <w:r>
        <w:rPr>
          <w:rFonts w:ascii="Times New Roman" w:cs="Times New Roman" w:eastAsia="Times New Roman" w:hAnsi="Times New Roman"/>
          <w:sz w:val="11"/>
          <w:szCs w:val="11"/>
          <w:b w:val="1"/>
          <w:bCs w:val="1"/>
          <w:i w:val="1"/>
          <w:iCs w:val="1"/>
          <w:color w:val="auto"/>
        </w:rPr>
        <w:t>n</w:t>
      </w:r>
      <w:r>
        <w:rPr>
          <w:rFonts w:ascii="Times New Roman" w:cs="Times New Roman" w:eastAsia="Times New Roman" w:hAnsi="Times New Roman"/>
          <w:sz w:val="17"/>
          <w:szCs w:val="17"/>
          <w:b w:val="1"/>
          <w:bCs w:val="1"/>
          <w:i w:val="1"/>
          <w:iCs w:val="1"/>
          <w:color w:val="auto"/>
        </w:rPr>
        <w:t xml:space="preserve"> I</w:t>
      </w:r>
      <w:r>
        <w:rPr>
          <w:rFonts w:ascii="Times New Roman" w:cs="Times New Roman" w:eastAsia="Times New Roman" w:hAnsi="Times New Roman"/>
          <w:sz w:val="11"/>
          <w:szCs w:val="11"/>
          <w:b w:val="1"/>
          <w:bCs w:val="1"/>
          <w:i w:val="1"/>
          <w:iCs w:val="1"/>
          <w:color w:val="auto"/>
        </w:rPr>
        <w:t>ncome</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p>
    <w:p>
      <w:pPr>
        <w:spacing w:after="0" w:line="205" w:lineRule="exact"/>
        <w:rPr>
          <w:sz w:val="20"/>
          <w:szCs w:val="20"/>
          <w:color w:val="auto"/>
        </w:rPr>
      </w:pPr>
    </w:p>
    <w:p>
      <w:pPr>
        <w:jc w:val="both"/>
        <w:ind w:left="300"/>
        <w:spacing w:after="0" w:line="305" w:lineRule="auto"/>
        <w:rPr>
          <w:sz w:val="20"/>
          <w:szCs w:val="20"/>
          <w:color w:val="auto"/>
        </w:rPr>
      </w:pPr>
      <w:r>
        <w:rPr>
          <w:rFonts w:ascii="Times New Roman" w:cs="Times New Roman" w:eastAsia="Times New Roman" w:hAnsi="Times New Roman"/>
          <w:sz w:val="15"/>
          <w:szCs w:val="15"/>
          <w:color w:val="auto"/>
        </w:rPr>
        <w:t>The Group evaluates all significant tax positions as required by GAAP. As of December 31, 2024, the Group does not believe that it has taken any positions that would require the recording of any additional tax liability nor does it believe that there are any unrealized tax benefits that would either increase or decrease within the next year. The Group files federal, Massachusetts, Connecticut and Rhode Island income tax returns, which represent the major tax jurisdictions of the Group.</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w:t>
      </w:r>
      <w:r>
        <w:rPr>
          <w:rFonts w:ascii="Times New Roman" w:cs="Times New Roman" w:eastAsia="Times New Roman" w:hAnsi="Times New Roman"/>
          <w:sz w:val="11"/>
          <w:szCs w:val="11"/>
          <w:b w:val="1"/>
          <w:bCs w:val="1"/>
          <w:i w:val="1"/>
          <w:iCs w:val="1"/>
          <w:color w:val="auto"/>
        </w:rPr>
        <w:t>elivery</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ost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Group’s policy is to expense delivery cost in excess of manufactures’ reimbursements as operating expenses.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w:t>
      </w:r>
      <w:r>
        <w:rPr>
          <w:rFonts w:ascii="Times New Roman" w:cs="Times New Roman" w:eastAsia="Times New Roman" w:hAnsi="Times New Roman"/>
          <w:sz w:val="11"/>
          <w:szCs w:val="11"/>
          <w:b w:val="1"/>
          <w:bCs w:val="1"/>
          <w:i w:val="1"/>
          <w:iCs w:val="1"/>
          <w:color w:val="auto"/>
        </w:rPr>
        <w:t>ales</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ollected</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emitted</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o</w:t>
      </w:r>
      <w:r>
        <w:rPr>
          <w:rFonts w:ascii="Times New Roman" w:cs="Times New Roman" w:eastAsia="Times New Roman" w:hAnsi="Times New Roman"/>
          <w:sz w:val="17"/>
          <w:szCs w:val="17"/>
          <w:b w:val="1"/>
          <w:bCs w:val="1"/>
          <w:i w:val="1"/>
          <w:iCs w:val="1"/>
          <w:color w:val="auto"/>
        </w:rPr>
        <w:t xml:space="preserve"> G</w:t>
      </w:r>
      <w:r>
        <w:rPr>
          <w:rFonts w:ascii="Times New Roman" w:cs="Times New Roman" w:eastAsia="Times New Roman" w:hAnsi="Times New Roman"/>
          <w:sz w:val="11"/>
          <w:szCs w:val="11"/>
          <w:b w:val="1"/>
          <w:bCs w:val="1"/>
          <w:i w:val="1"/>
          <w:iCs w:val="1"/>
          <w:color w:val="auto"/>
        </w:rPr>
        <w:t>overnmental</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uthorities</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collects sales tax from customers in various state and local taxing jurisdictions and remits these amounts monthly to applicable taxing authorities. These amounts are excluded from net sales.</w:t>
      </w:r>
    </w:p>
    <w:p>
      <w:pPr>
        <w:spacing w:after="0" w:line="35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w:t>
      </w:r>
      <w:r>
        <w:rPr>
          <w:rFonts w:ascii="Times New Roman" w:cs="Times New Roman" w:eastAsia="Times New Roman" w:hAnsi="Times New Roman"/>
          <w:sz w:val="11"/>
          <w:szCs w:val="11"/>
          <w:b w:val="1"/>
          <w:bCs w:val="1"/>
          <w:i w:val="1"/>
          <w:iCs w:val="1"/>
          <w:color w:val="auto"/>
        </w:rPr>
        <w:t>asis of</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ccounting</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f</w:t>
      </w:r>
      <w:r>
        <w:rPr>
          <w:rFonts w:ascii="Times New Roman" w:cs="Times New Roman" w:eastAsia="Times New Roman" w:hAnsi="Times New Roman"/>
          <w:sz w:val="17"/>
          <w:szCs w:val="17"/>
          <w:b w:val="1"/>
          <w:bCs w:val="1"/>
          <w:i w:val="1"/>
          <w:iCs w:val="1"/>
          <w:color w:val="auto"/>
        </w:rPr>
        <w:t xml:space="preserve"> E</w:t>
      </w:r>
      <w:r>
        <w:rPr>
          <w:rFonts w:ascii="Times New Roman" w:cs="Times New Roman" w:eastAsia="Times New Roman" w:hAnsi="Times New Roman"/>
          <w:sz w:val="11"/>
          <w:szCs w:val="11"/>
          <w:b w:val="1"/>
          <w:bCs w:val="1"/>
          <w:i w:val="1"/>
          <w:iCs w:val="1"/>
          <w:color w:val="auto"/>
        </w:rPr>
        <w:t>stimates</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accompanying combined financial statements have been prepared in conformity with GAAP following the accrual basis of accounting. The preparation of combined financial statements in conformity with GAAP requires management to make estimates and assumptions that affect the reported amounts of assets and liabilities and disclosure of contingent assets and liabilities at the date of the combined financial statements and the reported amounts of revenues and expenses during the reporting period. Actual results could differ from those estimates.</w:t>
      </w:r>
    </w:p>
    <w:p>
      <w:pPr>
        <w:spacing w:after="0" w:line="173"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Significant estimates include used vehicle lower of cost or net realizable value, useful lives of property and equipment, estimated value of goodwill, allowance for credit losses, unearned prepaid maintenance revenue, self-insurance reserves, and the provision for chargebacks. It is reasonably possible that these estimates may change and the effect may be material.</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w:t>
      </w:r>
      <w:r>
        <w:rPr>
          <w:rFonts w:ascii="Times New Roman" w:cs="Times New Roman" w:eastAsia="Times New Roman" w:hAnsi="Times New Roman"/>
          <w:sz w:val="11"/>
          <w:szCs w:val="11"/>
          <w:b w:val="1"/>
          <w:bCs w:val="1"/>
          <w:i w:val="1"/>
          <w:iCs w:val="1"/>
          <w:color w:val="auto"/>
        </w:rPr>
        <w:t>ajor</w:t>
      </w:r>
      <w:r>
        <w:rPr>
          <w:rFonts w:ascii="Times New Roman" w:cs="Times New Roman" w:eastAsia="Times New Roman" w:hAnsi="Times New Roman"/>
          <w:sz w:val="17"/>
          <w:szCs w:val="17"/>
          <w:b w:val="1"/>
          <w:bCs w:val="1"/>
          <w:i w:val="1"/>
          <w:iCs w:val="1"/>
          <w:color w:val="auto"/>
        </w:rPr>
        <w:t xml:space="preserve"> S</w:t>
      </w:r>
      <w:r>
        <w:rPr>
          <w:rFonts w:ascii="Times New Roman" w:cs="Times New Roman" w:eastAsia="Times New Roman" w:hAnsi="Times New Roman"/>
          <w:sz w:val="11"/>
          <w:szCs w:val="11"/>
          <w:b w:val="1"/>
          <w:bCs w:val="1"/>
          <w:i w:val="1"/>
          <w:iCs w:val="1"/>
          <w:color w:val="auto"/>
        </w:rPr>
        <w:t>uppliers</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D</w:t>
      </w:r>
      <w:r>
        <w:rPr>
          <w:rFonts w:ascii="Times New Roman" w:cs="Times New Roman" w:eastAsia="Times New Roman" w:hAnsi="Times New Roman"/>
          <w:sz w:val="11"/>
          <w:szCs w:val="11"/>
          <w:b w:val="1"/>
          <w:bCs w:val="1"/>
          <w:i w:val="1"/>
          <w:iCs w:val="1"/>
          <w:color w:val="auto"/>
        </w:rPr>
        <w:t>ealership</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enters into dealership agreements with the manufacturers. These agreements permit the Group to stock, sell and service vehicles and products of the manufacturers and use of the manufacturers’ name and trade symbols. These transactions result in both a receivable from and payable to the manufacturers. The Group’s sales could be impacted by the manufacturers’ inability or unwillingness to supply the Group with an adequate number or mix of vehicles.</w:t>
      </w:r>
    </w:p>
    <w:p>
      <w:pPr>
        <w:spacing w:after="0" w:line="17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dealership agreements generally limit the location of the dealership and give the manufacturer rights to approve changes in the dealership ownership. The manufacturer is entitled to terminate the dealership agreement if the Group is in breach of its terms.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w:t>
      </w:r>
      <w:r>
        <w:rPr>
          <w:rFonts w:ascii="Times New Roman" w:cs="Times New Roman" w:eastAsia="Times New Roman" w:hAnsi="Times New Roman"/>
          <w:sz w:val="11"/>
          <w:szCs w:val="11"/>
          <w:b w:val="1"/>
          <w:bCs w:val="1"/>
          <w:i w:val="1"/>
          <w:iCs w:val="1"/>
          <w:color w:val="auto"/>
        </w:rPr>
        <w:t>eases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Right of use assets represent the Group’s right to use an underlying asset for the lease term and operating lease liabilities represent the Group’s obligation to make lease payments arising from the lease. Right of use assets and liabilities are recognized at the lease commencement date based on the estimated present value of lease payments over the lease term.</w:t>
      </w:r>
    </w:p>
    <w:p>
      <w:pPr>
        <w:spacing w:after="0" w:line="17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If the lease does not provide an implicit rate, an incremental borrowing rate based on the information available at the lease commencement date is used in determining the present value of lease payments. The incremental borrowing rate for operating leases that commenced in the period is determined by using the Group’s incremental borrowing rates.</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w:t>
      </w:r>
      <w:r>
        <w:rPr>
          <w:rFonts w:ascii="Times New Roman" w:cs="Times New Roman" w:eastAsia="Times New Roman" w:hAnsi="Times New Roman"/>
          <w:sz w:val="11"/>
          <w:szCs w:val="11"/>
          <w:b w:val="1"/>
          <w:bCs w:val="1"/>
          <w:i w:val="1"/>
          <w:iCs w:val="1"/>
          <w:color w:val="auto"/>
        </w:rPr>
        <w:t>eases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has elected not to recognize a right of use asset and operating lease liability for leases with an initial term of twelve months or less as well as any lease covering immaterial assets. Lease expense is recognized for these leases on a straight-line basis over the lease term. Variable lease payments that are dependent on usage, output, or may vary for other reasons, are excluded from lease payments in the measurement of the right of use asset and operating lease liability, and accordingly are recognized as lease expense in the period the obligation for those payments is incurred. For lease agreements entered into or reassessed after the adoption of Topic 842, lease and non-lease components are combined.</w:t>
      </w:r>
    </w:p>
    <w:p>
      <w:pPr>
        <w:spacing w:after="0" w:line="17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Certain leases include renewal and/or termination options, with renewal terms that can extend the lease term from one to five years, and the exercise of lease renewal options under these leases is at the Group’s sole discretion. These options are included in the lease term used to determine right-of-use assets and corresponding liabilities when it is reasonably certain the Group will exercise the option. The depreciable life of assets and leasehold improvements are limited by the expected lease term. The Group’s lease agreements do not contain any material residual value guarantees or material restrictive covenants.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eclassifications</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Certain amounts in the 2023 combined financial statements have been reclassified to the 2024 presentation. These reclassifications have no effect on previously reported net income.</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w:t>
      </w:r>
      <w:r>
        <w:rPr>
          <w:rFonts w:ascii="Times New Roman" w:cs="Times New Roman" w:eastAsia="Times New Roman" w:hAnsi="Times New Roman"/>
          <w:sz w:val="11"/>
          <w:szCs w:val="11"/>
          <w:b w:val="1"/>
          <w:bCs w:val="1"/>
          <w:i w:val="1"/>
          <w:iCs w:val="1"/>
          <w:color w:val="auto"/>
        </w:rPr>
        <w:t>ubsequent</w:t>
      </w:r>
      <w:r>
        <w:rPr>
          <w:rFonts w:ascii="Times New Roman" w:cs="Times New Roman" w:eastAsia="Times New Roman" w:hAnsi="Times New Roman"/>
          <w:sz w:val="17"/>
          <w:szCs w:val="17"/>
          <w:b w:val="1"/>
          <w:bCs w:val="1"/>
          <w:i w:val="1"/>
          <w:iCs w:val="1"/>
          <w:color w:val="auto"/>
        </w:rPr>
        <w:t xml:space="preserve"> E</w:t>
      </w:r>
      <w:r>
        <w:rPr>
          <w:rFonts w:ascii="Times New Roman" w:cs="Times New Roman" w:eastAsia="Times New Roman" w:hAnsi="Times New Roman"/>
          <w:sz w:val="11"/>
          <w:szCs w:val="11"/>
          <w:b w:val="1"/>
          <w:bCs w:val="1"/>
          <w:i w:val="1"/>
          <w:iCs w:val="1"/>
          <w:color w:val="auto"/>
        </w:rPr>
        <w:t>vents</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In preparing these combined financial statements, the Group has evaluated events and transactions for potential recognition or disclosure through April 9, 2025, the date the combined financial statements were available to be issued.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2 - I</w:t>
      </w:r>
      <w:r>
        <w:rPr>
          <w:rFonts w:ascii="Times New Roman" w:cs="Times New Roman" w:eastAsia="Times New Roman" w:hAnsi="Times New Roman"/>
          <w:sz w:val="11"/>
          <w:szCs w:val="11"/>
          <w:b w:val="1"/>
          <w:bCs w:val="1"/>
          <w:color w:val="auto"/>
        </w:rPr>
        <w:t>nvestments</w:t>
      </w:r>
    </w:p>
    <w:p>
      <w:pPr>
        <w:spacing w:after="0" w:line="205" w:lineRule="exact"/>
        <w:rPr>
          <w:sz w:val="20"/>
          <w:szCs w:val="20"/>
          <w:color w:val="auto"/>
        </w:rPr>
      </w:pPr>
    </w:p>
    <w:p>
      <w:pPr>
        <w:jc w:val="both"/>
        <w:ind w:left="300"/>
        <w:spacing w:after="0" w:line="305" w:lineRule="auto"/>
        <w:rPr>
          <w:sz w:val="20"/>
          <w:szCs w:val="20"/>
          <w:color w:val="auto"/>
        </w:rPr>
      </w:pPr>
      <w:r>
        <w:rPr>
          <w:rFonts w:ascii="Times New Roman" w:cs="Times New Roman" w:eastAsia="Times New Roman" w:hAnsi="Times New Roman"/>
          <w:sz w:val="15"/>
          <w:szCs w:val="15"/>
          <w:color w:val="auto"/>
        </w:rPr>
        <w:t>Investments consist mainly of money market instruments, publicly traded fixed income, equity and other investment securities and are classified as available-for-sale because they can be sold at any time. Cost is determined by the specific identification method. Unrealized gains and losses on marketable equity and other investment securities are included in net income. Unrealized gains and losses on marketable fixed income securities are included in other comprehensive income.</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4375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2 – I</w:t>
      </w:r>
      <w:r>
        <w:rPr>
          <w:rFonts w:ascii="Times New Roman" w:cs="Times New Roman" w:eastAsia="Times New Roman" w:hAnsi="Times New Roman"/>
          <w:sz w:val="11"/>
          <w:szCs w:val="11"/>
          <w:b w:val="1"/>
          <w:bCs w:val="1"/>
          <w:color w:val="auto"/>
        </w:rPr>
        <w:t>nvestments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Investments classified as available-for-sale consisted of the following at December 31, 2024:</w:t>
      </w:r>
    </w:p>
    <w:p>
      <w:pPr>
        <w:sectPr>
          <w:pgSz w:w="11900" w:h="16838" w:orient="portrait"/>
          <w:cols w:equalWidth="0" w:num="1">
            <w:col w:w="11240"/>
          </w:cols>
          <w:pgMar w:left="320" w:top="8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Money market funds</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Marketable fixed income securities</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Marketable equity securities</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Other investment securites</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Investments</w:t>
            </w:r>
          </w:p>
        </w:tc>
        <w:tc>
          <w:tcPr>
            <w:tcW w:w="1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Gross</w:t>
            </w:r>
          </w:p>
        </w:tc>
        <w:tc>
          <w:tcPr>
            <w:tcW w:w="1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5"/>
              </w:rPr>
              <w:t>Gross</w:t>
            </w:r>
          </w:p>
        </w:tc>
        <w:tc>
          <w:tcPr>
            <w:tcW w:w="14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Investments</w:t>
            </w:r>
          </w:p>
        </w:tc>
      </w:tr>
      <w:tr>
        <w:trPr>
          <w:trHeight w:val="211"/>
        </w:trPr>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at</w:t>
            </w: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5"/>
              </w:rPr>
              <w:t>unrealized</w:t>
            </w: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5"/>
              </w:rPr>
              <w:t>unrealized</w:t>
            </w:r>
          </w:p>
        </w:tc>
        <w:tc>
          <w:tcPr>
            <w:tcW w:w="14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4"/>
              </w:rPr>
              <w:t>at fair</w:t>
            </w:r>
          </w:p>
        </w:tc>
      </w:tr>
      <w:tr>
        <w:trPr>
          <w:trHeight w:val="215"/>
        </w:trPr>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Cost</w:t>
            </w: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gains</w:t>
            </w: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losses</w:t>
            </w:r>
          </w:p>
        </w:tc>
        <w:tc>
          <w:tcPr>
            <w:tcW w:w="14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value</w:t>
            </w:r>
          </w:p>
        </w:tc>
      </w:tr>
      <w:tr>
        <w:trPr>
          <w:trHeight w:val="174"/>
        </w:trPr>
        <w:tc>
          <w:tcPr>
            <w:tcW w:w="1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2,636,404</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2,490</w:t>
            </w:r>
          </w:p>
        </w:tc>
        <w:tc>
          <w:tcPr>
            <w:tcW w:w="220" w:type="dxa"/>
            <w:vAlign w:val="bottom"/>
          </w:tcPr>
          <w:p>
            <w:pPr>
              <w:spacing w:after="0"/>
              <w:rPr>
                <w:sz w:val="15"/>
                <w:szCs w:val="15"/>
                <w:color w:val="auto"/>
              </w:rPr>
            </w:pPr>
          </w:p>
        </w:tc>
        <w:tc>
          <w:tcPr>
            <w:tcW w:w="1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2,638,894</w:t>
            </w:r>
          </w:p>
        </w:tc>
        <w:tc>
          <w:tcPr>
            <w:tcW w:w="20" w:type="dxa"/>
            <w:vAlign w:val="bottom"/>
          </w:tcPr>
          <w:p>
            <w:pPr>
              <w:spacing w:after="0"/>
              <w:rPr>
                <w:sz w:val="15"/>
                <w:szCs w:val="15"/>
                <w:color w:val="auto"/>
              </w:rPr>
            </w:pPr>
          </w:p>
        </w:tc>
      </w:tr>
      <w:tr>
        <w:trPr>
          <w:trHeight w:val="198"/>
        </w:trPr>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40,461,520</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448,545</w:t>
            </w: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(164,228)</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40,745,837</w:t>
            </w:r>
          </w:p>
        </w:tc>
      </w:tr>
      <w:tr>
        <w:trPr>
          <w:trHeight w:val="198"/>
        </w:trPr>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21,799,311</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9,326,009</w:t>
            </w: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(134,983)</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30,990,337</w:t>
            </w:r>
          </w:p>
        </w:tc>
      </w:tr>
      <w:tr>
        <w:trPr>
          <w:trHeight w:val="227"/>
        </w:trPr>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134,089</w:t>
            </w: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52,064</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(5,060)</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181,093</w:t>
            </w:r>
          </w:p>
        </w:tc>
      </w:tr>
      <w:tr>
        <w:trPr>
          <w:trHeight w:val="20"/>
        </w:trPr>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r>
      <w:tr>
        <w:trPr>
          <w:trHeight w:val="414"/>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65,031,324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9,829,108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(304,271)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74,556,161</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-817880</wp:posOffset>
            </wp:positionV>
            <wp:extent cx="6962775" cy="133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2775" cy="133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-558165</wp:posOffset>
            </wp:positionV>
            <wp:extent cx="6962775" cy="1257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2775" cy="12573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-298450</wp:posOffset>
            </wp:positionV>
            <wp:extent cx="6962775" cy="133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2775" cy="13398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4960" w:space="720"/>
            <w:col w:w="5560"/>
          </w:cols>
          <w:pgMar w:left="320" w:top="838" w:right="3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5"/>
          <w:szCs w:val="15"/>
          <w:color w:val="auto"/>
        </w:rPr>
        <w:t>Investments classified as available-for-sale consisted of the following at December 31, 2023:</w:t>
      </w:r>
    </w:p>
    <w:p>
      <w:pPr>
        <w:sectPr>
          <w:pgSz w:w="11900" w:h="16838" w:orient="portrait"/>
          <w:cols w:equalWidth="0" w:num="1">
            <w:col w:w="11240"/>
          </w:cols>
          <w:pgMar w:left="320" w:top="8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Money market funds</w:t>
      </w:r>
    </w:p>
    <w:p>
      <w:pPr>
        <w:spacing w:after="0" w:line="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Marketable fixed income securities</w:t>
      </w: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Marketable equity securities</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Other investment securites</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4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Investments</w:t>
            </w:r>
          </w:p>
        </w:tc>
        <w:tc>
          <w:tcPr>
            <w:tcW w:w="1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Gross</w:t>
            </w:r>
          </w:p>
        </w:tc>
        <w:tc>
          <w:tcPr>
            <w:tcW w:w="1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5"/>
              </w:rPr>
              <w:t>Gross</w:t>
            </w:r>
          </w:p>
        </w:tc>
        <w:tc>
          <w:tcPr>
            <w:tcW w:w="14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Investments</w:t>
            </w:r>
          </w:p>
        </w:tc>
      </w:tr>
      <w:tr>
        <w:trPr>
          <w:trHeight w:val="211"/>
        </w:trPr>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at</w:t>
            </w: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5"/>
              </w:rPr>
              <w:t>unrealized</w:t>
            </w: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5"/>
              </w:rPr>
              <w:t>unrealized</w:t>
            </w:r>
          </w:p>
        </w:tc>
        <w:tc>
          <w:tcPr>
            <w:tcW w:w="14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4"/>
              </w:rPr>
              <w:t>at fair</w:t>
            </w:r>
          </w:p>
        </w:tc>
      </w:tr>
      <w:tr>
        <w:trPr>
          <w:trHeight w:val="215"/>
        </w:trPr>
        <w:tc>
          <w:tcPr>
            <w:tcW w:w="14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Cost</w:t>
            </w:r>
          </w:p>
        </w:tc>
        <w:tc>
          <w:tcPr>
            <w:tcW w:w="16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gains</w:t>
            </w:r>
          </w:p>
        </w:tc>
        <w:tc>
          <w:tcPr>
            <w:tcW w:w="18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losses</w:t>
            </w:r>
          </w:p>
        </w:tc>
        <w:tc>
          <w:tcPr>
            <w:tcW w:w="14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value</w:t>
            </w:r>
          </w:p>
        </w:tc>
      </w:tr>
      <w:tr>
        <w:trPr>
          <w:trHeight w:val="174"/>
        </w:trPr>
        <w:tc>
          <w:tcPr>
            <w:tcW w:w="1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3,912,630</w:t>
            </w:r>
          </w:p>
        </w:tc>
        <w:tc>
          <w:tcPr>
            <w:tcW w:w="240" w:type="dxa"/>
            <w:vAlign w:val="bottom"/>
          </w:tcPr>
          <w:p>
            <w:pPr>
              <w:spacing w:after="0"/>
              <w:rPr>
                <w:sz w:val="15"/>
                <w:szCs w:val="15"/>
                <w:color w:val="auto"/>
              </w:rPr>
            </w:pPr>
          </w:p>
        </w:tc>
        <w:tc>
          <w:tcPr>
            <w:tcW w:w="16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3,395</w:t>
            </w:r>
          </w:p>
        </w:tc>
        <w:tc>
          <w:tcPr>
            <w:tcW w:w="220" w:type="dxa"/>
            <w:vAlign w:val="bottom"/>
          </w:tcPr>
          <w:p>
            <w:pPr>
              <w:spacing w:after="0"/>
              <w:rPr>
                <w:sz w:val="15"/>
                <w:szCs w:val="15"/>
                <w:color w:val="auto"/>
              </w:rPr>
            </w:pPr>
          </w:p>
        </w:tc>
        <w:tc>
          <w:tcPr>
            <w:tcW w:w="18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5"/>
                <w:szCs w:val="15"/>
                <w:color w:val="auto"/>
              </w:rPr>
            </w:pPr>
          </w:p>
        </w:tc>
        <w:tc>
          <w:tcPr>
            <w:tcW w:w="1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3,916,025</w:t>
            </w:r>
          </w:p>
        </w:tc>
        <w:tc>
          <w:tcPr>
            <w:tcW w:w="20" w:type="dxa"/>
            <w:vAlign w:val="bottom"/>
          </w:tcPr>
          <w:p>
            <w:pPr>
              <w:spacing w:after="0"/>
              <w:rPr>
                <w:sz w:val="15"/>
                <w:szCs w:val="15"/>
                <w:color w:val="auto"/>
              </w:rPr>
            </w:pPr>
          </w:p>
        </w:tc>
      </w:tr>
      <w:tr>
        <w:trPr>
          <w:trHeight w:val="198"/>
        </w:trPr>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37,568,823</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443,514</w:t>
            </w: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(153,953)</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37,858,384</w:t>
            </w:r>
          </w:p>
        </w:tc>
      </w:tr>
      <w:tr>
        <w:trPr>
          <w:trHeight w:val="198"/>
        </w:trPr>
        <w:tc>
          <w:tcPr>
            <w:tcW w:w="14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20,778,755</w:t>
            </w:r>
          </w:p>
        </w:tc>
        <w:tc>
          <w:tcPr>
            <w:tcW w:w="1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6,970,679</w:t>
            </w:r>
          </w:p>
        </w:tc>
        <w:tc>
          <w:tcPr>
            <w:tcW w:w="1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(65,931)</w:t>
            </w:r>
          </w:p>
        </w:tc>
        <w:tc>
          <w:tcPr>
            <w:tcW w:w="1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27,683,503</w:t>
            </w:r>
          </w:p>
        </w:tc>
      </w:tr>
      <w:tr>
        <w:trPr>
          <w:trHeight w:val="227"/>
        </w:trPr>
        <w:tc>
          <w:tcPr>
            <w:tcW w:w="1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134,299</w:t>
            </w:r>
          </w:p>
        </w:tc>
        <w:tc>
          <w:tcPr>
            <w:tcW w:w="1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23,033</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(5,816)</w:t>
            </w: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151,516</w:t>
            </w:r>
          </w:p>
        </w:tc>
      </w:tr>
      <w:tr>
        <w:trPr>
          <w:trHeight w:val="20"/>
        </w:trPr>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r>
      <w:tr>
        <w:trPr>
          <w:trHeight w:val="414"/>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62,394,507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7,440,621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(225,700)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69,609,428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-817880</wp:posOffset>
            </wp:positionV>
            <wp:extent cx="6962775" cy="133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62775" cy="13398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-558165</wp:posOffset>
            </wp:positionV>
            <wp:extent cx="6962775" cy="125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62775" cy="12573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-298450</wp:posOffset>
            </wp:positionV>
            <wp:extent cx="6962775" cy="133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62775" cy="13398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4960" w:space="720"/>
            <w:col w:w="5560"/>
          </w:cols>
          <w:pgMar w:left="320" w:top="838" w:right="339" w:bottom="1440" w:gutter="0" w:footer="0" w:header="0"/>
          <w:type w:val="continuous"/>
        </w:sectPr>
      </w:pPr>
    </w:p>
    <w:tbl>
      <w:tblPr>
        <w:tblLayout w:type="fixed"/>
        <w:tblInd w:w="300" w:type="dxa"/>
        <w:tblCellMar>
          <w:top w:w="0" w:type="dxa"/>
          <w:left w:w="0" w:type="dxa"/>
          <w:bottom w:w="0" w:type="dxa"/>
          <w:right w:w="0" w:type="dxa"/>
        </w:tblCellMar>
      </w:tblPr>
      <w:tr>
        <w:trPr>
          <w:trHeight w:val="215"/>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Contractual maturities of available-for-sale debt securities at December 31, 2024, are as follows: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9"/>
              </w:rPr>
              <w:t>Estimated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6"/>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Due in one year or less</w:t>
            </w: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6,754,707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6,297,118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Due in 1–2 years</w:t>
            </w: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6,267,335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6,336,915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in 2–5 years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10,064,073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9,427,390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7"/>
                <w:szCs w:val="17"/>
                <w:color w:val="auto"/>
              </w:rPr>
              <w:t>Due after 5 years</w:t>
            </w: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3,276,323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3,971,184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Bond funds with varying maturities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14,099,082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14,713,230</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67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investments with contractual maturities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40,461,520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40,745,837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2 – I</w:t>
      </w:r>
      <w:r>
        <w:rPr>
          <w:rFonts w:ascii="Times New Roman" w:cs="Times New Roman" w:eastAsia="Times New Roman" w:hAnsi="Times New Roman"/>
          <w:sz w:val="11"/>
          <w:szCs w:val="11"/>
          <w:b w:val="1"/>
          <w:bCs w:val="1"/>
          <w:color w:val="auto"/>
        </w:rPr>
        <w:t>nvestments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Proceeds and net investment income consisted of the following for the years ended December 31, 2024 and 2023:</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proceeds</w:t>
            </w:r>
          </w:p>
        </w:tc>
        <w:tc>
          <w:tcPr>
            <w:tcW w:w="3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20,429,049</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32,759,203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realized gains</w:t>
            </w:r>
          </w:p>
        </w:tc>
        <w:tc>
          <w:tcPr>
            <w:tcW w:w="33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1,305,105</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523,844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Gross realized losses</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(29,685)</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unrealized gain</w:t>
            </w:r>
          </w:p>
        </w:tc>
        <w:tc>
          <w:tcPr>
            <w:tcW w:w="3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2,292,869</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3,404,440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1,305,432</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1,651,830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income</w:t>
            </w:r>
          </w:p>
        </w:tc>
        <w:tc>
          <w:tcPr>
            <w:tcW w:w="3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949,347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422,399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bonds</w:t>
            </w:r>
          </w:p>
        </w:tc>
        <w:tc>
          <w:tcPr>
            <w:tcW w:w="3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(573,700)</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(650,224)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Agency expense</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(326,051)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(278,510)</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income</w:t>
            </w:r>
          </w:p>
        </w:tc>
        <w:tc>
          <w:tcPr>
            <w:tcW w:w="33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4,923,317</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5,029,779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3 - F</w:t>
      </w:r>
      <w:r>
        <w:rPr>
          <w:rFonts w:ascii="Times New Roman" w:cs="Times New Roman" w:eastAsia="Times New Roman" w:hAnsi="Times New Roman"/>
          <w:sz w:val="11"/>
          <w:szCs w:val="11"/>
          <w:b w:val="1"/>
          <w:bCs w:val="1"/>
          <w:color w:val="auto"/>
        </w:rPr>
        <w:t>air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GAAP defines fair value as the price that would be received for an asset or paid to transfer a liability (an exit price) in the Group’s principal or most advantageous market for the asset or liability in an orderly transaction between market participants on the measurement date.</w:t>
      </w:r>
    </w:p>
    <w:p>
      <w:pPr>
        <w:spacing w:after="0" w:line="16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A fair value hierarchy requires an entity to maximize the use of observable inputs and minimize the use of unobservable inputs when measuring fair value. There are three levels of inputs that may be used to measure fair value:</w:t>
      </w:r>
    </w:p>
    <w:p>
      <w:pPr>
        <w:spacing w:after="0" w:line="16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Level 1: Quoted prices (unadjusted) for identical assets or liabilities in active markets that the entity has the ability to access as of the measurement date. The fair values of money market funds and marketable equity securities that are readily marketable are determined by obtaining quoted prices on nationally recognized securities exchanges.</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3 - F</w:t>
      </w:r>
      <w:r>
        <w:rPr>
          <w:rFonts w:ascii="Times New Roman" w:cs="Times New Roman" w:eastAsia="Times New Roman" w:hAnsi="Times New Roman"/>
          <w:sz w:val="11"/>
          <w:szCs w:val="11"/>
          <w:b w:val="1"/>
          <w:bCs w:val="1"/>
          <w:color w:val="auto"/>
        </w:rPr>
        <w:t>air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jc w:val="both"/>
        <w:ind w:left="300" w:right="20"/>
        <w:spacing w:after="0" w:line="247" w:lineRule="auto"/>
        <w:rPr>
          <w:sz w:val="20"/>
          <w:szCs w:val="20"/>
          <w:color w:val="auto"/>
        </w:rPr>
      </w:pPr>
      <w:r>
        <w:rPr>
          <w:rFonts w:ascii="Times New Roman" w:cs="Times New Roman" w:eastAsia="Times New Roman" w:hAnsi="Times New Roman"/>
          <w:sz w:val="17"/>
          <w:szCs w:val="17"/>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The fair values of certificates of deposit are determined through inquiries of the financial institutions from which they originated. The fair values are typically the original principal balance plus accrued interest earned with no discounts for credit quality or liquidity determined to be applicable (market approach valuations technique). The fair values of the Group’s marketable fixed income securities and other investments are determined by matrix pricing, which is a mathematical technique widely used in the industry to value debt securities without relying exclusively on quoted prices for the specific securities but rather by relying on the securities’ relationship to other benchmark quoted securities (market approach valuation technique).</w:t>
      </w:r>
    </w:p>
    <w:p>
      <w:pPr>
        <w:spacing w:after="0" w:line="178" w:lineRule="exact"/>
        <w:rPr>
          <w:sz w:val="20"/>
          <w:szCs w:val="20"/>
          <w:color w:val="auto"/>
        </w:rPr>
      </w:pPr>
    </w:p>
    <w:p>
      <w:pPr>
        <w:jc w:val="both"/>
        <w:ind w:left="300" w:right="20"/>
        <w:spacing w:after="0" w:line="267" w:lineRule="auto"/>
        <w:rPr>
          <w:sz w:val="20"/>
          <w:szCs w:val="20"/>
          <w:color w:val="auto"/>
        </w:rPr>
      </w:pPr>
      <w:r>
        <w:rPr>
          <w:rFonts w:ascii="Times New Roman" w:cs="Times New Roman" w:eastAsia="Times New Roman" w:hAnsi="Times New Roman"/>
          <w:sz w:val="17"/>
          <w:szCs w:val="17"/>
          <w:color w:val="auto"/>
        </w:rPr>
        <w:t>Level 3: Significant unobservable inputs that reflect a reporting entity’s own assumptions about the assumptions that market participants would use in pricing an asset or liability. The Group has no Level 3 financial instruments at December 31, 2024 and 2023.</w:t>
      </w:r>
    </w:p>
    <w:p>
      <w:pPr>
        <w:spacing w:after="0" w:line="160" w:lineRule="exact"/>
        <w:rPr>
          <w:sz w:val="20"/>
          <w:szCs w:val="20"/>
          <w:color w:val="auto"/>
        </w:rPr>
      </w:pPr>
    </w:p>
    <w:p>
      <w:pPr>
        <w:jc w:val="both"/>
        <w:ind w:left="300" w:right="20"/>
        <w:spacing w:after="0" w:line="255" w:lineRule="auto"/>
        <w:rPr>
          <w:sz w:val="20"/>
          <w:szCs w:val="20"/>
          <w:color w:val="auto"/>
        </w:rPr>
      </w:pPr>
      <w:r>
        <w:rPr>
          <w:rFonts w:ascii="Times New Roman" w:cs="Times New Roman" w:eastAsia="Times New Roman" w:hAnsi="Times New Roman"/>
          <w:sz w:val="17"/>
          <w:szCs w:val="17"/>
          <w:color w:val="auto"/>
        </w:rPr>
        <w:t>The asset or liability’s fair value measurement level within the fair value hierarchy is based on the lowest level of input that is significant to the fair value measurement. Valuation techniques used need to maximize the use of observable inputs and minimize the use of observable inputs. There have been no changes in the methodologies used at December 31, 2024 and 2023.</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Investments measured at fair value on a recurring basis are summarized below:</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9"/>
          </w:tcPr>
          <w:p>
            <w:pPr>
              <w:jc w:val="right"/>
              <w:ind w:right="117"/>
              <w:spacing w:after="0"/>
              <w:rPr>
                <w:sz w:val="20"/>
                <w:szCs w:val="20"/>
                <w:color w:val="auto"/>
              </w:rPr>
            </w:pPr>
            <w:r>
              <w:rPr>
                <w:rFonts w:ascii="Times New Roman" w:cs="Times New Roman" w:eastAsia="Times New Roman" w:hAnsi="Times New Roman"/>
                <w:sz w:val="17"/>
                <w:szCs w:val="17"/>
                <w:color w:val="auto"/>
              </w:rPr>
              <w:t>Fair Value Measurements at December 31, 2024</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17"/>
                <w:szCs w:val="17"/>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Level 3</w:t>
            </w:r>
          </w:p>
        </w:tc>
        <w:tc>
          <w:tcPr>
            <w:tcW w:w="240" w:type="dxa"/>
            <w:vAlign w:val="bottom"/>
          </w:tcPr>
          <w:p>
            <w:pPr>
              <w:spacing w:after="0"/>
              <w:rPr>
                <w:sz w:val="17"/>
                <w:szCs w:val="17"/>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Investments:</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2,638,894</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2,638,894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Marketable fixed income securities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40,745,837</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40,745,837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30,990,337</w:t>
            </w:r>
          </w:p>
        </w:tc>
        <w:tc>
          <w:tcPr>
            <w:tcW w:w="2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30,990,337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investment securities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181,093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181,093</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33,629,231</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40,926,930</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74,556,161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3 - F</w:t>
            </w:r>
            <w:r>
              <w:rPr>
                <w:rFonts w:ascii="Times New Roman" w:cs="Times New Roman" w:eastAsia="Times New Roman" w:hAnsi="Times New Roman"/>
                <w:sz w:val="11"/>
                <w:szCs w:val="11"/>
                <w:b w:val="1"/>
                <w:bCs w:val="1"/>
                <w:color w:val="auto"/>
              </w:rPr>
              <w:t>air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3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gridSpan w:val="9"/>
          </w:tcPr>
          <w:p>
            <w:pPr>
              <w:jc w:val="right"/>
              <w:ind w:right="117"/>
              <w:spacing w:after="0"/>
              <w:rPr>
                <w:sz w:val="20"/>
                <w:szCs w:val="20"/>
                <w:color w:val="auto"/>
              </w:rPr>
            </w:pPr>
            <w:r>
              <w:rPr>
                <w:rFonts w:ascii="Times New Roman" w:cs="Times New Roman" w:eastAsia="Times New Roman" w:hAnsi="Times New Roman"/>
                <w:sz w:val="17"/>
                <w:szCs w:val="17"/>
                <w:color w:val="auto"/>
              </w:rPr>
              <w:t>Fair Value Measurements at December 31, 2023</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17"/>
                <w:szCs w:val="17"/>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17"/>
                <w:szCs w:val="17"/>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Level 3</w:t>
            </w:r>
          </w:p>
        </w:tc>
        <w:tc>
          <w:tcPr>
            <w:tcW w:w="240" w:type="dxa"/>
            <w:vAlign w:val="bottom"/>
          </w:tcPr>
          <w:p>
            <w:pPr>
              <w:spacing w:after="0"/>
              <w:rPr>
                <w:sz w:val="17"/>
                <w:szCs w:val="17"/>
                <w:color w:val="auto"/>
              </w:rPr>
            </w:pPr>
          </w:p>
        </w:tc>
        <w:tc>
          <w:tcPr>
            <w:tcW w:w="9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Investments:</w:t>
            </w: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3,916,025</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3,916,025</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Marketable fixed income securities</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37,858,384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37,858,384</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2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27,683,503</w:t>
            </w:r>
          </w:p>
        </w:tc>
        <w:tc>
          <w:tcPr>
            <w:tcW w:w="2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27,683,503</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investment securities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151,516</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151,516</w:t>
            </w:r>
          </w:p>
        </w:tc>
        <w:tc>
          <w:tcPr>
            <w:tcW w:w="0" w:type="dxa"/>
            <w:vAlign w:val="bottom"/>
          </w:tcPr>
          <w:p>
            <w:pPr>
              <w:spacing w:after="0"/>
              <w:rPr>
                <w:sz w:val="1"/>
                <w:szCs w:val="1"/>
                <w:color w:val="auto"/>
              </w:rPr>
            </w:pPr>
          </w:p>
        </w:tc>
      </w:tr>
      <w:tr>
        <w:trPr>
          <w:trHeight w:val="191"/>
        </w:trPr>
        <w:tc>
          <w:tcPr>
            <w:tcW w:w="300" w:type="dxa"/>
            <w:vAlign w:val="bottom"/>
            <w:vMerge w:val="restart"/>
          </w:tcPr>
          <w:p>
            <w:pPr>
              <w:spacing w:after="0"/>
              <w:rPr>
                <w:sz w:val="16"/>
                <w:szCs w:val="16"/>
                <w:color w:val="auto"/>
              </w:rPr>
            </w:pPr>
          </w:p>
        </w:tc>
        <w:tc>
          <w:tcPr>
            <w:tcW w:w="53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31,599,528</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38,009,900</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69,609,428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4 - A</w:t>
            </w:r>
            <w:r>
              <w:rPr>
                <w:rFonts w:ascii="Times New Roman" w:cs="Times New Roman" w:eastAsia="Times New Roman" w:hAnsi="Times New Roman"/>
                <w:sz w:val="11"/>
                <w:szCs w:val="11"/>
                <w:b w:val="1"/>
                <w:bCs w:val="1"/>
                <w:color w:val="auto"/>
              </w:rPr>
              <w:t>ccounts</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eceivable</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00" w:right="20"/>
        <w:spacing w:after="0" w:line="256" w:lineRule="auto"/>
        <w:rPr>
          <w:sz w:val="20"/>
          <w:szCs w:val="20"/>
          <w:color w:val="auto"/>
        </w:rPr>
      </w:pPr>
      <w:r>
        <w:rPr>
          <w:rFonts w:ascii="Times New Roman" w:cs="Times New Roman" w:eastAsia="Times New Roman" w:hAnsi="Times New Roman"/>
          <w:sz w:val="17"/>
          <w:szCs w:val="17"/>
          <w:color w:val="auto"/>
        </w:rPr>
        <w:t xml:space="preserve">The Group adopted the provisions of ASU No. 2016-13,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xml:space="preserve"> on January 1, 2023 and, accordingly, measures credit losses on receivables using an expected loss model. The adoption of ASU 2016-13 did not have a material impact on the combined financial statements and related disclosures.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Accounts receivable classifications include the following:</w:t>
      </w:r>
    </w:p>
    <w:p>
      <w:pPr>
        <w:spacing w:after="0" w:line="201" w:lineRule="exact"/>
        <w:rPr>
          <w:sz w:val="20"/>
          <w:szCs w:val="20"/>
          <w:color w:val="auto"/>
        </w:rPr>
      </w:pPr>
    </w:p>
    <w:p>
      <w:pPr>
        <w:ind w:left="600" w:right="20" w:hanging="304"/>
        <w:spacing w:after="0" w:line="26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Vehicles and contracts in transit receivables primarily represent receivables from financial institutions for the portion of the vehicle sales price financed by the customer.</w:t>
      </w:r>
    </w:p>
    <w:p>
      <w:pPr>
        <w:spacing w:after="0" w:line="159"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and parts receivables are comprised of amounts due from customers.</w:t>
      </w:r>
    </w:p>
    <w:p>
      <w:pPr>
        <w:spacing w:after="0" w:line="200" w:lineRule="exact"/>
        <w:rPr>
          <w:rFonts w:ascii="Times New Roman" w:cs="Times New Roman" w:eastAsia="Times New Roman" w:hAnsi="Times New Roman"/>
          <w:sz w:val="17"/>
          <w:szCs w:val="17"/>
          <w:color w:val="auto"/>
        </w:rPr>
      </w:pPr>
    </w:p>
    <w:p>
      <w:pPr>
        <w:ind w:left="600" w:right="20" w:hanging="304"/>
        <w:spacing w:after="0" w:line="267"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Factory, finance and other receivables represent amounts due from manufactures, including holdbacks, rebates, incentives, warranty claims and commissions on the sale of finance and insurance products.</w:t>
      </w:r>
    </w:p>
    <w:p>
      <w:pPr>
        <w:spacing w:after="0" w:line="160" w:lineRule="exact"/>
        <w:rPr>
          <w:sz w:val="20"/>
          <w:szCs w:val="20"/>
          <w:color w:val="auto"/>
        </w:rPr>
      </w:pPr>
    </w:p>
    <w:p>
      <w:pPr>
        <w:jc w:val="both"/>
        <w:ind w:left="300" w:right="20"/>
        <w:spacing w:after="0" w:line="255" w:lineRule="auto"/>
        <w:rPr>
          <w:sz w:val="20"/>
          <w:szCs w:val="20"/>
          <w:color w:val="auto"/>
        </w:rPr>
      </w:pPr>
      <w:r>
        <w:rPr>
          <w:rFonts w:ascii="Times New Roman" w:cs="Times New Roman" w:eastAsia="Times New Roman" w:hAnsi="Times New Roman"/>
          <w:sz w:val="17"/>
          <w:szCs w:val="17"/>
          <w:color w:val="auto"/>
        </w:rPr>
        <w:t>The Group performs ongoing credit evaluations of its customers’ financial condition and generally does not require collateral for accounts receivable arising in the normal course of business. Allowances for potential credit losses are determined by considering the financial condition of customers and other economic factors affecting customers, the Group, and their industries.</w:t>
      </w:r>
    </w:p>
    <w:p>
      <w:pPr>
        <w:spacing w:after="0" w:line="36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4375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4 - A</w:t>
      </w:r>
      <w:r>
        <w:rPr>
          <w:rFonts w:ascii="Times New Roman" w:cs="Times New Roman" w:eastAsia="Times New Roman" w:hAnsi="Times New Roman"/>
          <w:sz w:val="11"/>
          <w:szCs w:val="11"/>
          <w:b w:val="1"/>
          <w:bCs w:val="1"/>
          <w:color w:val="auto"/>
        </w:rPr>
        <w:t>ccounts</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eceivable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Accounts receivable consisted of the following at December 31, 2024 and 2023:</w:t>
      </w:r>
    </w:p>
    <w:p>
      <w:pPr>
        <w:spacing w:after="0" w:line="200" w:lineRule="exact"/>
        <w:rPr>
          <w:sz w:val="20"/>
          <w:szCs w:val="20"/>
          <w:color w:val="auto"/>
        </w:rPr>
      </w:pP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Vehicles and contracts in transit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-120650</wp:posOffset>
            </wp:positionV>
            <wp:extent cx="6962775" cy="133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62775" cy="13398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Service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1270</wp:posOffset>
            </wp:positionV>
            <wp:extent cx="6962775" cy="133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62775" cy="13398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Factory, finance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142875</wp:posOffset>
            </wp:positionV>
            <wp:extent cx="6962775" cy="125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62775" cy="125730"/>
                    </a:xfrm>
                    <a:prstGeom prst="rect">
                      <a:avLst/>
                    </a:prstGeom>
                    <a:noFill/>
                  </pic:spPr>
                </pic:pic>
              </a:graphicData>
            </a:graphic>
          </wp:anchor>
        </w:drawing>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Less: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20320</wp:posOffset>
            </wp:positionV>
            <wp:extent cx="6962775" cy="133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62775" cy="133985"/>
                    </a:xfrm>
                    <a:prstGeom prst="rect">
                      <a:avLst/>
                    </a:prstGeom>
                    <a:noFill/>
                  </pic:spPr>
                </pic:pic>
              </a:graphicData>
            </a:graphic>
          </wp:anchor>
        </w:drawing>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accounts receivable, net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 roll forward of the allowance for credit losses is as follows at December 31, 2024 and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r>
      <w:tr>
        <w:trPr>
          <w:trHeight w:val="174"/>
        </w:trPr>
        <w:tc>
          <w:tcPr>
            <w:tcW w:w="260" w:type="dxa"/>
            <w:vAlign w:val="bottom"/>
          </w:tcPr>
          <w:p>
            <w:pPr>
              <w:jc w:val="right"/>
              <w:ind w:right="97"/>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43,020,824</w:t>
            </w:r>
          </w:p>
        </w:tc>
        <w:tc>
          <w:tcPr>
            <w:tcW w:w="220" w:type="dxa"/>
            <w:vAlign w:val="bottom"/>
          </w:tcPr>
          <w:p>
            <w:pPr>
              <w:spacing w:after="0"/>
              <w:rPr>
                <w:sz w:val="15"/>
                <w:szCs w:val="15"/>
                <w:color w:val="auto"/>
              </w:rPr>
            </w:pPr>
          </w:p>
        </w:tc>
        <w:tc>
          <w:tcPr>
            <w:tcW w:w="260" w:type="dxa"/>
            <w:vAlign w:val="bottom"/>
          </w:tcPr>
          <w:p>
            <w:pPr>
              <w:jc w:val="right"/>
              <w:ind w:right="97"/>
              <w:spacing w:after="0" w:line="174"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color w:val="auto"/>
              </w:rPr>
              <w:t>56,641,276</w:t>
            </w:r>
          </w:p>
        </w:tc>
      </w:tr>
      <w:tr>
        <w:trPr>
          <w:trHeight w:val="211"/>
        </w:trPr>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2,132,907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3,200,718</w:t>
            </w:r>
          </w:p>
        </w:tc>
      </w:tr>
      <w:tr>
        <w:trPr>
          <w:trHeight w:val="215"/>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28,642,496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22,904,613</w:t>
            </w:r>
          </w:p>
        </w:tc>
      </w:tr>
      <w:tr>
        <w:trPr>
          <w:trHeight w:val="385"/>
        </w:trPr>
        <w:tc>
          <w:tcPr>
            <w:tcW w:w="2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73,796,227</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82,746,607</w:t>
            </w:r>
          </w:p>
        </w:tc>
      </w:tr>
      <w:tr>
        <w:trPr>
          <w:trHeight w:val="215"/>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881,912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1,011,490</w:t>
            </w:r>
          </w:p>
        </w:tc>
      </w:tr>
      <w:tr>
        <w:trPr>
          <w:trHeight w:val="414"/>
        </w:trPr>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72,914,315</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81,735,117</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554" w:lineRule="exact"/>
        <w:rPr>
          <w:sz w:val="20"/>
          <w:szCs w:val="20"/>
          <w:color w:val="auto"/>
        </w:rPr>
      </w:pPr>
    </w:p>
    <w:p>
      <w:pPr>
        <w:sectPr>
          <w:pgSz w:w="11900" w:h="16838" w:orient="portrait"/>
          <w:cols w:equalWidth="0" w:num="2">
            <w:col w:w="7800" w:space="720"/>
            <w:col w:w="2740"/>
          </w:cols>
          <w:pgMar w:left="320" w:top="838" w:right="31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8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Allowance for credit losses, beginning</w:t>
            </w: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(1,011,490)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(447,331)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credit losses (recovery)</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97,734</w:t>
            </w:r>
          </w:p>
        </w:tc>
        <w:tc>
          <w:tcPr>
            <w:tcW w:w="2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(550,052)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Write-offs (recovery)</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31,844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(14,107)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vMerge w:val="restart"/>
          </w:tcPr>
          <w:p>
            <w:pPr>
              <w:spacing w:after="0"/>
              <w:rPr>
                <w:sz w:val="16"/>
                <w:szCs w:val="16"/>
                <w:color w:val="auto"/>
              </w:rPr>
            </w:pPr>
          </w:p>
        </w:tc>
        <w:tc>
          <w:tcPr>
            <w:tcW w:w="8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Allowance for credit losses, ending</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(881,912)</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(1,011,490)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30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38" w:right="319" w:bottom="1440" w:gutter="0" w:footer="0" w:header="0"/>
          <w:type w:val="continuous"/>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5 - I</w:t>
            </w:r>
            <w:r>
              <w:rPr>
                <w:rFonts w:ascii="Times New Roman" w:cs="Times New Roman" w:eastAsia="Times New Roman" w:hAnsi="Times New Roman"/>
                <w:sz w:val="11"/>
                <w:szCs w:val="11"/>
                <w:b w:val="1"/>
                <w:bCs w:val="1"/>
                <w:color w:val="auto"/>
              </w:rPr>
              <w:t>nventories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nd</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loorplan</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ayable</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Inventories consisted of the following at December 31, 2024 and 2023:</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00" w:type="dxa"/>
            <w:vAlign w:val="bottom"/>
          </w:tcPr>
          <w:p>
            <w:pPr>
              <w:spacing w:after="0"/>
              <w:rPr>
                <w:sz w:val="24"/>
                <w:szCs w:val="24"/>
                <w:color w:val="auto"/>
              </w:rPr>
            </w:pPr>
          </w:p>
        </w:tc>
        <w:tc>
          <w:tcPr>
            <w:tcW w:w="8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New vehicles</w:t>
            </w:r>
          </w:p>
        </w:tc>
        <w:tc>
          <w:tcPr>
            <w:tcW w:w="240" w:type="dxa"/>
            <w:vAlign w:val="bottom"/>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319,130,133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266,918,444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Used vehicles</w:t>
            </w:r>
          </w:p>
        </w:tc>
        <w:tc>
          <w:tcPr>
            <w:tcW w:w="2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108,802,503</w:t>
            </w:r>
          </w:p>
        </w:tc>
        <w:tc>
          <w:tcPr>
            <w:tcW w:w="2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108,723,142</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and rental vehicles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53,902,855</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46,566,528</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Parts, shop and materials</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20,588,133</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18,896,202</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502,423,624</w:t>
            </w:r>
          </w:p>
        </w:tc>
        <w:tc>
          <w:tcPr>
            <w:tcW w:w="2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441,104,316</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LIFO reserves</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29,956,937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27,667,055</w:t>
            </w:r>
          </w:p>
        </w:tc>
        <w:tc>
          <w:tcPr>
            <w:tcW w:w="0" w:type="dxa"/>
            <w:vAlign w:val="bottom"/>
          </w:tcPr>
          <w:p>
            <w:pPr>
              <w:spacing w:after="0"/>
              <w:rPr>
                <w:sz w:val="1"/>
                <w:szCs w:val="1"/>
                <w:color w:val="auto"/>
              </w:rPr>
            </w:pPr>
          </w:p>
        </w:tc>
      </w:tr>
      <w:tr>
        <w:trPr>
          <w:trHeight w:val="191"/>
        </w:trPr>
        <w:tc>
          <w:tcPr>
            <w:tcW w:w="300" w:type="dxa"/>
            <w:vAlign w:val="bottom"/>
            <w:vMerge w:val="restart"/>
          </w:tcPr>
          <w:p>
            <w:pPr>
              <w:spacing w:after="0"/>
              <w:rPr>
                <w:sz w:val="16"/>
                <w:szCs w:val="16"/>
                <w:color w:val="auto"/>
              </w:rPr>
            </w:pPr>
          </w:p>
        </w:tc>
        <w:tc>
          <w:tcPr>
            <w:tcW w:w="8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inventories, net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472,466,687</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413,437,261</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nventories</w:t>
      </w:r>
    </w:p>
    <w:p>
      <w:pPr>
        <w:spacing w:after="0" w:line="205" w:lineRule="exact"/>
        <w:rPr>
          <w:sz w:val="20"/>
          <w:szCs w:val="20"/>
          <w:color w:val="auto"/>
        </w:rPr>
      </w:pPr>
    </w:p>
    <w:p>
      <w:pPr>
        <w:jc w:val="both"/>
        <w:ind w:left="300" w:right="20"/>
        <w:spacing w:after="0" w:line="255" w:lineRule="auto"/>
        <w:rPr>
          <w:sz w:val="20"/>
          <w:szCs w:val="20"/>
          <w:color w:val="auto"/>
        </w:rPr>
      </w:pPr>
      <w:r>
        <w:rPr>
          <w:rFonts w:ascii="Times New Roman" w:cs="Times New Roman" w:eastAsia="Times New Roman" w:hAnsi="Times New Roman"/>
          <w:sz w:val="17"/>
          <w:szCs w:val="17"/>
          <w:color w:val="auto"/>
        </w:rPr>
        <w:t>If the first-in, first-out (FIFO) method of inventory valuation on new vehicles had been used, inventory would have been higher by approximately $30,000,000 and $27,700,000 at December 31, 2024 and 2023, respectively, and net income would have increased by approximately $2,300,000 and $2,200,000 for the years ended December 31, 2024 and 2023, respectively.</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w:t>
      </w:r>
      <w:r>
        <w:rPr>
          <w:rFonts w:ascii="Times New Roman" w:cs="Times New Roman" w:eastAsia="Times New Roman" w:hAnsi="Times New Roman"/>
          <w:sz w:val="11"/>
          <w:szCs w:val="11"/>
          <w:b w:val="1"/>
          <w:bCs w:val="1"/>
          <w:i w:val="1"/>
          <w:iCs w:val="1"/>
          <w:color w:val="auto"/>
        </w:rPr>
        <w:t>loorplan</w:t>
      </w:r>
      <w:r>
        <w:rPr>
          <w:rFonts w:ascii="Times New Roman" w:cs="Times New Roman" w:eastAsia="Times New Roman" w:hAnsi="Times New Roman"/>
          <w:sz w:val="17"/>
          <w:szCs w:val="17"/>
          <w:b w:val="1"/>
          <w:bCs w:val="1"/>
          <w:i w:val="1"/>
          <w:iCs w:val="1"/>
          <w:color w:val="auto"/>
        </w:rPr>
        <w:t xml:space="preserve"> N</w:t>
      </w:r>
      <w:r>
        <w:rPr>
          <w:rFonts w:ascii="Times New Roman" w:cs="Times New Roman" w:eastAsia="Times New Roman" w:hAnsi="Times New Roman"/>
          <w:sz w:val="11"/>
          <w:szCs w:val="11"/>
          <w:b w:val="1"/>
          <w:bCs w:val="1"/>
          <w:i w:val="1"/>
          <w:iCs w:val="1"/>
          <w:color w:val="auto"/>
        </w:rPr>
        <w:t>otes</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ayable</w:t>
      </w:r>
    </w:p>
    <w:p>
      <w:pPr>
        <w:spacing w:after="0" w:line="205" w:lineRule="exact"/>
        <w:rPr>
          <w:sz w:val="20"/>
          <w:szCs w:val="20"/>
          <w:color w:val="auto"/>
        </w:rPr>
      </w:pPr>
    </w:p>
    <w:p>
      <w:pPr>
        <w:jc w:val="both"/>
        <w:ind w:left="300" w:right="20"/>
        <w:spacing w:after="0" w:line="285" w:lineRule="auto"/>
        <w:rPr>
          <w:sz w:val="20"/>
          <w:szCs w:val="20"/>
          <w:color w:val="auto"/>
        </w:rPr>
      </w:pPr>
      <w:r>
        <w:rPr>
          <w:rFonts w:ascii="Times New Roman" w:cs="Times New Roman" w:eastAsia="Times New Roman" w:hAnsi="Times New Roman"/>
          <w:sz w:val="15"/>
          <w:szCs w:val="15"/>
          <w:color w:val="auto"/>
        </w:rPr>
        <w:t>The Group has floorplan agreements with Bank of America, N.A., Mercedes-Benz Financial Services USA LLC, Toyota Motor Credit Corporation, Ford Motor Credit Company, and Wells Fargo Bank, N.A. for new, used, lease and rental vehicle financing. The notes are collateralized by all of the business assets of the respective dealerships, all of the products and proceeds thereof. The Mercedes-Benz Financial Services USA LLC, Toyota Motor Credit Corporation, Ford Motor Credit Company, and Wells Fargo Bank, N.A. have the personal guarantee of the Group’s owner. The notes are due when the vehicles are sold. Floorplan notes payable on vehicles have variable interest rates. four agreements with interest based on SOFR rates (4.60% and 5.38% at December 31, 2024 and 2023, respectively) plus 1.0% to 1.7% and one floorplan agreement with interest based on the prime rate (7.5% to 8.50% at December 31, 2024 and 2023, respectively) plus 1.50%. Prior to February 14, 2024, the Group had one floorplan agreement based on BSBY plus 1.00%, which was converted to SOFR rate plus 1.0%.</w:t>
      </w:r>
    </w:p>
    <w:p>
      <w:pPr>
        <w:spacing w:after="0" w:line="350"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5 - I</w:t>
      </w:r>
      <w:r>
        <w:rPr>
          <w:rFonts w:ascii="Times New Roman" w:cs="Times New Roman" w:eastAsia="Times New Roman" w:hAnsi="Times New Roman"/>
          <w:sz w:val="11"/>
          <w:szCs w:val="11"/>
          <w:b w:val="1"/>
          <w:bCs w:val="1"/>
          <w:color w:val="auto"/>
        </w:rPr>
        <w:t>nventories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nd</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loorplan</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ayable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w:t>
      </w:r>
      <w:r>
        <w:rPr>
          <w:rFonts w:ascii="Times New Roman" w:cs="Times New Roman" w:eastAsia="Times New Roman" w:hAnsi="Times New Roman"/>
          <w:sz w:val="11"/>
          <w:szCs w:val="11"/>
          <w:b w:val="1"/>
          <w:bCs w:val="1"/>
          <w:i w:val="1"/>
          <w:iCs w:val="1"/>
          <w:color w:val="auto"/>
        </w:rPr>
        <w:t>loorplan</w:t>
      </w:r>
      <w:r>
        <w:rPr>
          <w:rFonts w:ascii="Times New Roman" w:cs="Times New Roman" w:eastAsia="Times New Roman" w:hAnsi="Times New Roman"/>
          <w:sz w:val="17"/>
          <w:szCs w:val="17"/>
          <w:b w:val="1"/>
          <w:bCs w:val="1"/>
          <w:i w:val="1"/>
          <w:iCs w:val="1"/>
          <w:color w:val="auto"/>
        </w:rPr>
        <w:t xml:space="preserve"> N</w:t>
      </w:r>
      <w:r>
        <w:rPr>
          <w:rFonts w:ascii="Times New Roman" w:cs="Times New Roman" w:eastAsia="Times New Roman" w:hAnsi="Times New Roman"/>
          <w:sz w:val="11"/>
          <w:szCs w:val="11"/>
          <w:b w:val="1"/>
          <w:bCs w:val="1"/>
          <w:i w:val="1"/>
          <w:iCs w:val="1"/>
          <w:color w:val="auto"/>
        </w:rPr>
        <w:t>otes</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ayable</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floorplan notes payable agreement with one of the banks is cross-defaulted with other loans from the bank to other entities of the Group and to related real estate entities that are 100% owned by the owner of the Group. These floorplan agreements are guaranteed by the members of the Group and the owner of the Group. The loan agreement contains various financial covenants. At December 31, 2024, the Group was in compliance with the financial covenants.</w:t>
      </w:r>
    </w:p>
    <w:p>
      <w:pPr>
        <w:spacing w:after="0" w:line="170"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Group also has loaner and rental vehicle notes payable agreements with BMW North America, Inc. (BMW) and Porsche Financial Services, Inc. for loaner and rental vehicle financing for certain dealerships. The BMW loaner and rental vehicle notes payable agreement has variable interest rates determined monthly based on the prime rate (7.5% and 8.5% at December 31, 2024 and 2023, respectively) less .25%. Lease and rental vehicle notes payable are collateralized by specific vehicles.</w:t>
      </w:r>
    </w:p>
    <w:p>
      <w:pPr>
        <w:spacing w:after="0" w:line="173"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At December 31, 2024 and 2023, the Group had a maximum credit available under the various vehicle financing agreements of $533,410,000 and $545,910,000, of which $453,101,482 and $403,802,001, respectively, was outstanding. Financing sources provide temporary increases to accommodate fluctuations in units being delivered from the manufacturer.</w:t>
      </w:r>
    </w:p>
    <w:p>
      <w:pPr>
        <w:spacing w:after="0" w:line="17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Total interest expense on floorplan notes payable amounted to approximately $22,529,000 and $15,130,000 for the years ended December 31, 2024 and 2023, respectively.</w:t>
      </w:r>
    </w:p>
    <w:p>
      <w:pPr>
        <w:spacing w:after="0" w:line="35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3" w:name="page34"/>
    <w:bookmarkEnd w:id="3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6 - N</w:t>
            </w:r>
            <w:r>
              <w:rPr>
                <w:rFonts w:ascii="Times New Roman" w:cs="Times New Roman" w:eastAsia="Times New Roman" w:hAnsi="Times New Roman"/>
                <w:sz w:val="11"/>
                <w:szCs w:val="11"/>
                <w:b w:val="1"/>
                <w:bCs w:val="1"/>
                <w:color w:val="auto"/>
              </w:rPr>
              <w:t>et</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roperty</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nd</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quipment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Net property and equipment consisted of the following at December 31, 2024 and 2023: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00" w:type="dxa"/>
            <w:vAlign w:val="bottom"/>
          </w:tcPr>
          <w:p>
            <w:pPr>
              <w:spacing w:after="0"/>
              <w:rPr>
                <w:sz w:val="24"/>
                <w:szCs w:val="24"/>
                <w:color w:val="auto"/>
              </w:rPr>
            </w:pPr>
          </w:p>
        </w:tc>
        <w:tc>
          <w:tcPr>
            <w:tcW w:w="8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Buildings and improvements</w:t>
            </w: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10,847,135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9,748,989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2,413,338</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2,173,133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36,652,734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34,881,132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23,119,791</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21,802,819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vehicles</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9,473,786</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8,599,529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Parts and service equipment</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9,488,515</w:t>
            </w: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8,915,639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leases of buildings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4,382,518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4,382,518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96,377,817</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90,503,759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74,697,312</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68,901,948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vMerge w:val="restart"/>
          </w:tcPr>
          <w:p>
            <w:pPr>
              <w:spacing w:after="0"/>
              <w:rPr>
                <w:sz w:val="16"/>
                <w:szCs w:val="16"/>
                <w:color w:val="auto"/>
              </w:rPr>
            </w:pPr>
          </w:p>
        </w:tc>
        <w:tc>
          <w:tcPr>
            <w:tcW w:w="8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Net property and equipment</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21,680,505</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21,601,811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 for the years ended December 31, 2024 and 2023 was $8,326,722 and $7,328,638,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7 - A</w:t>
            </w:r>
            <w:r>
              <w:rPr>
                <w:rFonts w:ascii="Times New Roman" w:cs="Times New Roman" w:eastAsia="Times New Roman" w:hAnsi="Times New Roman"/>
                <w:sz w:val="11"/>
                <w:szCs w:val="11"/>
                <w:b w:val="1"/>
                <w:bCs w:val="1"/>
                <w:color w:val="auto"/>
              </w:rPr>
              <w:t>ccounts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ayable</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nd</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ther</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ccrued</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Accounts payable and other accrued expenses consisted of the following at December 31, 2024 and 2023: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300" w:type="dxa"/>
            <w:vAlign w:val="bottom"/>
          </w:tcPr>
          <w:p>
            <w:pPr>
              <w:spacing w:after="0"/>
              <w:rPr>
                <w:sz w:val="24"/>
                <w:szCs w:val="24"/>
                <w:color w:val="auto"/>
              </w:rPr>
            </w:pPr>
          </w:p>
        </w:tc>
        <w:tc>
          <w:tcPr>
            <w:tcW w:w="8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8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27,981,355</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20,530,703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Accrued payroll and payroll taxes</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6,804,415</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6,419,523</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profit sharing</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821,071</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772,266</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chargebacks</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8,046,000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7,629,000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payable</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1,537,378</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1,524,803</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Customer deposits</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10,429,736</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13,656,271</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 and current liabilities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6,868,303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7,081,783</w:t>
            </w:r>
          </w:p>
        </w:tc>
        <w:tc>
          <w:tcPr>
            <w:tcW w:w="0" w:type="dxa"/>
            <w:vAlign w:val="bottom"/>
          </w:tcPr>
          <w:p>
            <w:pPr>
              <w:spacing w:after="0"/>
              <w:rPr>
                <w:sz w:val="1"/>
                <w:szCs w:val="1"/>
                <w:color w:val="auto"/>
              </w:rPr>
            </w:pPr>
          </w:p>
        </w:tc>
      </w:tr>
      <w:tr>
        <w:trPr>
          <w:trHeight w:val="191"/>
        </w:trPr>
        <w:tc>
          <w:tcPr>
            <w:tcW w:w="300" w:type="dxa"/>
            <w:vAlign w:val="bottom"/>
            <w:vMerge w:val="restart"/>
          </w:tcPr>
          <w:p>
            <w:pPr>
              <w:spacing w:after="0"/>
              <w:rPr>
                <w:sz w:val="16"/>
                <w:szCs w:val="16"/>
                <w:color w:val="auto"/>
              </w:rPr>
            </w:pPr>
          </w:p>
        </w:tc>
        <w:tc>
          <w:tcPr>
            <w:tcW w:w="8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accounts payable and other accrued expenses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62,488,258</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57,614,349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8 - L</w:t>
      </w:r>
      <w:r>
        <w:rPr>
          <w:rFonts w:ascii="Times New Roman" w:cs="Times New Roman" w:eastAsia="Times New Roman" w:hAnsi="Times New Roman"/>
          <w:sz w:val="11"/>
          <w:szCs w:val="11"/>
          <w:b w:val="1"/>
          <w:bCs w:val="1"/>
          <w:color w:val="auto"/>
        </w:rPr>
        <w:t>ines</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redit</w:t>
      </w:r>
    </w:p>
    <w:p>
      <w:pPr>
        <w:spacing w:after="0" w:line="205" w:lineRule="exact"/>
        <w:rPr>
          <w:sz w:val="20"/>
          <w:szCs w:val="20"/>
          <w:color w:val="auto"/>
        </w:rPr>
      </w:pPr>
    </w:p>
    <w:p>
      <w:pPr>
        <w:jc w:val="both"/>
        <w:ind w:left="300" w:right="20"/>
        <w:spacing w:after="0" w:line="249" w:lineRule="auto"/>
        <w:rPr>
          <w:sz w:val="20"/>
          <w:szCs w:val="20"/>
          <w:color w:val="auto"/>
        </w:rPr>
      </w:pPr>
      <w:r>
        <w:rPr>
          <w:rFonts w:ascii="Times New Roman" w:cs="Times New Roman" w:eastAsia="Times New Roman" w:hAnsi="Times New Roman"/>
          <w:sz w:val="17"/>
          <w:szCs w:val="17"/>
          <w:color w:val="auto"/>
        </w:rPr>
        <w:t>The Group has a $7,000,000 revolving line of credit with Toyota Motor Credit Corporation. The credit facility expires on May 31, 2026, with interest payable at Prime minus .49%. The Group has a $10,000,000 revolving credit facility with Bank of America, N.A. The credit facility expires on October 31, 2025, with interest payable at SOFR plus 1.50%. The Group has a $ 5,000,000 revolving credit facility with Wells Fargo Bank, N.A. The credit facility expires on August 31, 2025, with interest payable at SOFR plus 1.10%. The above lines of credit are guaranteed by various dealerships who are included in the respective bank’s floorplan notes payable agreements.</w:t>
      </w:r>
    </w:p>
    <w:p>
      <w:pPr>
        <w:spacing w:after="0" w:line="175" w:lineRule="exact"/>
        <w:rPr>
          <w:sz w:val="20"/>
          <w:szCs w:val="20"/>
          <w:color w:val="auto"/>
        </w:rPr>
      </w:pPr>
    </w:p>
    <w:p>
      <w:pPr>
        <w:jc w:val="both"/>
        <w:ind w:left="300" w:right="20"/>
        <w:spacing w:after="0" w:line="267" w:lineRule="auto"/>
        <w:rPr>
          <w:sz w:val="20"/>
          <w:szCs w:val="20"/>
          <w:color w:val="auto"/>
        </w:rPr>
      </w:pPr>
      <w:r>
        <w:rPr>
          <w:rFonts w:ascii="Times New Roman" w:cs="Times New Roman" w:eastAsia="Times New Roman" w:hAnsi="Times New Roman"/>
          <w:sz w:val="17"/>
          <w:szCs w:val="17"/>
          <w:color w:val="auto"/>
        </w:rPr>
        <w:t>The Group has an additional $10,000,000 line of credit with Wells Fargo Bank, N.A. The credit facility expires on August 31, 2025, with interest payable at SOFR plus 1.25%. The line of credit is guaranteed by two operating entities in the Group, together with the owner.</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borrowings under the lines of credits were outstanding at December 31, 2024 and 2023.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ight</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f</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ssets</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iabilities</w:t>
      </w:r>
    </w:p>
    <w:p>
      <w:pPr>
        <w:spacing w:after="0" w:line="205" w:lineRule="exact"/>
        <w:rPr>
          <w:sz w:val="20"/>
          <w:szCs w:val="20"/>
          <w:color w:val="auto"/>
        </w:rPr>
      </w:pPr>
    </w:p>
    <w:p>
      <w:pPr>
        <w:jc w:val="both"/>
        <w:ind w:left="300" w:right="20"/>
        <w:spacing w:after="0" w:line="251" w:lineRule="auto"/>
        <w:rPr>
          <w:sz w:val="20"/>
          <w:szCs w:val="20"/>
          <w:color w:val="auto"/>
        </w:rPr>
      </w:pPr>
      <w:r>
        <w:rPr>
          <w:rFonts w:ascii="Times New Roman" w:cs="Times New Roman" w:eastAsia="Times New Roman" w:hAnsi="Times New Roman"/>
          <w:sz w:val="17"/>
          <w:szCs w:val="17"/>
          <w:color w:val="auto"/>
        </w:rPr>
        <w:t>The Group leases land and facilities related to dealership operations. The property leases are generally from affiliated companies related by common ownership and management for an initial period of 5 years and are typically structured to include renewal options. The Group has included renewal options that they are reasonably certain to exercise in the measurement of lease liabilities and right-of-use assets. The Group also has leases for various storage and parking locations. Leases expire on various dates through September 2034.</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carrying amount of right of use assets and accumulated amortization as of December 31, 2024 and 2023 are as follows:</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Facilities</w:t>
            </w:r>
          </w:p>
        </w:tc>
        <w:tc>
          <w:tcPr>
            <w:tcW w:w="240" w:type="dxa"/>
            <w:vAlign w:val="bottom"/>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316,753,545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325,880,812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Parking and storage</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11,887,953</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11,887,953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328,641,498</w:t>
            </w:r>
          </w:p>
        </w:tc>
        <w:tc>
          <w:tcPr>
            <w:tcW w:w="22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337,768,765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106,962,766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71,625,337</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8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 net</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221,678,732</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266,143,428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35" w:name="page36"/>
    <w:bookmarkEnd w:id="3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ight</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f</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ssets</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iabilities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right="20"/>
        <w:spacing w:after="0" w:line="255" w:lineRule="auto"/>
        <w:rPr>
          <w:sz w:val="20"/>
          <w:szCs w:val="20"/>
          <w:color w:val="auto"/>
        </w:rPr>
      </w:pPr>
      <w:r>
        <w:rPr>
          <w:rFonts w:ascii="Times New Roman" w:cs="Times New Roman" w:eastAsia="Times New Roman" w:hAnsi="Times New Roman"/>
          <w:sz w:val="17"/>
          <w:szCs w:val="17"/>
          <w:color w:val="auto"/>
        </w:rPr>
        <w:t>The right-of-use assets are amortized over the lease terms of the underlying assets which range from one to twelve years, on a straight-line basis. The weighted-average remaining lease term in years for operating leases is 5.91 and the weighted-average discount rate for operating leases is 5.55%. Amortization expense recognized for the years ended December 31, 2024 and 2023 was $37,807,658 and $36,944,643, respectively.</w:t>
      </w:r>
    </w:p>
    <w:p>
      <w:pPr>
        <w:spacing w:after="0" w:line="170" w:lineRule="exact"/>
        <w:rPr>
          <w:sz w:val="20"/>
          <w:szCs w:val="20"/>
          <w:color w:val="auto"/>
        </w:rPr>
      </w:pPr>
    </w:p>
    <w:p>
      <w:pPr>
        <w:jc w:val="both"/>
        <w:ind w:left="300" w:right="20"/>
        <w:spacing w:after="0" w:line="267" w:lineRule="auto"/>
        <w:rPr>
          <w:sz w:val="20"/>
          <w:szCs w:val="20"/>
          <w:color w:val="auto"/>
        </w:rPr>
      </w:pPr>
      <w:r>
        <w:rPr>
          <w:rFonts w:ascii="Times New Roman" w:cs="Times New Roman" w:eastAsia="Times New Roman" w:hAnsi="Times New Roman"/>
          <w:sz w:val="17"/>
          <w:szCs w:val="17"/>
          <w:color w:val="auto"/>
        </w:rPr>
        <w:t>Operating lease liabilities are recognized initially at the present value of the remaining lease payments, discounted using the lessee’s incremental borrowing rate as of January 1, 2022 for existing leases at adoption and for new leases after adoptions, the discounted rate based on the new terms of the new lease.</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8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at December 31, 2024 and 2023, are as follows: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82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Current portion</w:t>
            </w:r>
          </w:p>
        </w:tc>
        <w:tc>
          <w:tcPr>
            <w:tcW w:w="240" w:type="dxa"/>
            <w:vAlign w:val="bottom"/>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43,749,071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39,434,405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177,830,540</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226,895,768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8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221,579,611</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266,330,173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Aggregate future minimum lease maturities under these leases at December 31, 2024 are as follows: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8"/>
        </w:trPr>
        <w:tc>
          <w:tcPr>
            <w:tcW w:w="6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6"/>
              </w:rPr>
              <w:t>Year ending December 31,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67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3"/>
              </w:rPr>
              <w:t>2024</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51,262,746</w:t>
            </w:r>
          </w:p>
        </w:tc>
        <w:tc>
          <w:tcPr>
            <w:tcW w:w="80" w:type="dxa"/>
            <w:vAlign w:val="bottom"/>
            <w:tcBorders>
              <w:top w:val="single" w:sz="8" w:color="CCEEFF"/>
            </w:tcBorders>
            <w:shd w:val="clear" w:color="auto" w:fill="CCEEFF"/>
          </w:tcPr>
          <w:p>
            <w:pPr>
              <w:spacing w:after="0"/>
              <w:rPr>
                <w:sz w:val="16"/>
                <w:szCs w:val="16"/>
                <w:color w:val="auto"/>
              </w:rPr>
            </w:pPr>
          </w:p>
        </w:tc>
      </w:tr>
      <w:tr>
        <w:trPr>
          <w:trHeight w:val="198"/>
        </w:trPr>
        <w:tc>
          <w:tcPr>
            <w:tcW w:w="6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50,582,519</w:t>
            </w:r>
          </w:p>
        </w:tc>
        <w:tc>
          <w:tcPr>
            <w:tcW w:w="80" w:type="dxa"/>
            <w:vAlign w:val="bottom"/>
          </w:tcPr>
          <w:p>
            <w:pPr>
              <w:spacing w:after="0"/>
              <w:rPr>
                <w:sz w:val="17"/>
                <w:szCs w:val="17"/>
                <w:color w:val="auto"/>
              </w:rPr>
            </w:pPr>
          </w:p>
        </w:tc>
      </w:tr>
      <w:tr>
        <w:trPr>
          <w:trHeight w:val="198"/>
        </w:trPr>
        <w:tc>
          <w:tcPr>
            <w:tcW w:w="6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47,001,519</w:t>
            </w:r>
          </w:p>
        </w:tc>
        <w:tc>
          <w:tcPr>
            <w:tcW w:w="80" w:type="dxa"/>
            <w:vAlign w:val="bottom"/>
            <w:shd w:val="clear" w:color="auto" w:fill="CCEEFF"/>
          </w:tcPr>
          <w:p>
            <w:pPr>
              <w:spacing w:after="0"/>
              <w:rPr>
                <w:sz w:val="17"/>
                <w:szCs w:val="17"/>
                <w:color w:val="auto"/>
              </w:rPr>
            </w:pPr>
          </w:p>
        </w:tc>
      </w:tr>
      <w:tr>
        <w:trPr>
          <w:trHeight w:val="198"/>
        </w:trPr>
        <w:tc>
          <w:tcPr>
            <w:tcW w:w="6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34,405,019</w:t>
            </w:r>
          </w:p>
        </w:tc>
        <w:tc>
          <w:tcPr>
            <w:tcW w:w="80" w:type="dxa"/>
            <w:vAlign w:val="bottom"/>
          </w:tcPr>
          <w:p>
            <w:pPr>
              <w:spacing w:after="0"/>
              <w:rPr>
                <w:sz w:val="17"/>
                <w:szCs w:val="17"/>
                <w:color w:val="auto"/>
              </w:rPr>
            </w:pPr>
          </w:p>
        </w:tc>
      </w:tr>
      <w:tr>
        <w:trPr>
          <w:trHeight w:val="198"/>
        </w:trPr>
        <w:tc>
          <w:tcPr>
            <w:tcW w:w="6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23,896,549</w:t>
            </w:r>
          </w:p>
        </w:tc>
        <w:tc>
          <w:tcPr>
            <w:tcW w:w="80" w:type="dxa"/>
            <w:vAlign w:val="bottom"/>
            <w:shd w:val="clear" w:color="auto" w:fill="CCEEFF"/>
          </w:tcPr>
          <w:p>
            <w:pPr>
              <w:spacing w:after="0"/>
              <w:rPr>
                <w:sz w:val="17"/>
                <w:szCs w:val="17"/>
                <w:color w:val="auto"/>
              </w:rPr>
            </w:pPr>
          </w:p>
        </w:tc>
      </w:tr>
      <w:tr>
        <w:trPr>
          <w:trHeight w:val="211"/>
        </w:trPr>
        <w:tc>
          <w:tcPr>
            <w:tcW w:w="688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5"/>
              </w:rPr>
              <w:t>Thereafter</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52,195,684</w:t>
            </w:r>
          </w:p>
        </w:tc>
        <w:tc>
          <w:tcPr>
            <w:tcW w:w="80" w:type="dxa"/>
            <w:vAlign w:val="bottom"/>
            <w:tcBorders>
              <w:bottom w:val="single" w:sz="8" w:color="CCEEFF"/>
            </w:tcBorders>
          </w:tcPr>
          <w:p>
            <w:pPr>
              <w:spacing w:after="0"/>
              <w:rPr>
                <w:sz w:val="18"/>
                <w:szCs w:val="18"/>
                <w:color w:val="auto"/>
              </w:rPr>
            </w:pPr>
          </w:p>
        </w:tc>
      </w:tr>
      <w:tr>
        <w:trPr>
          <w:trHeight w:val="191"/>
        </w:trPr>
        <w:tc>
          <w:tcPr>
            <w:tcW w:w="6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2"/>
        </w:trPr>
        <w:tc>
          <w:tcPr>
            <w:tcW w:w="6880" w:type="dxa"/>
            <w:vAlign w:val="bottom"/>
            <w:gridSpan w:val="2"/>
          </w:tcPr>
          <w:p>
            <w:pPr>
              <w:jc w:val="center"/>
              <w:ind w:right="160"/>
              <w:spacing w:after="0" w:line="182" w:lineRule="exact"/>
              <w:rPr>
                <w:sz w:val="20"/>
                <w:szCs w:val="20"/>
                <w:color w:val="auto"/>
              </w:rPr>
            </w:pPr>
            <w:r>
              <w:rPr>
                <w:rFonts w:ascii="Times New Roman" w:cs="Times New Roman" w:eastAsia="Times New Roman" w:hAnsi="Times New Roman"/>
                <w:sz w:val="17"/>
                <w:szCs w:val="17"/>
                <w:color w:val="auto"/>
                <w:w w:val="89"/>
              </w:rPr>
              <w:t>Total</w:t>
            </w:r>
          </w:p>
        </w:tc>
        <w:tc>
          <w:tcPr>
            <w:tcW w:w="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w w:val="94"/>
              </w:rPr>
              <w:t>259,344,036</w:t>
            </w:r>
          </w:p>
        </w:tc>
        <w:tc>
          <w:tcPr>
            <w:tcW w:w="80" w:type="dxa"/>
            <w:vAlign w:val="bottom"/>
          </w:tcPr>
          <w:p>
            <w:pPr>
              <w:spacing w:after="0"/>
              <w:rPr>
                <w:sz w:val="15"/>
                <w:szCs w:val="15"/>
                <w:color w:val="auto"/>
              </w:rPr>
            </w:pPr>
          </w:p>
        </w:tc>
      </w:tr>
      <w:tr>
        <w:trPr>
          <w:trHeight w:val="227"/>
        </w:trPr>
        <w:tc>
          <w:tcPr>
            <w:tcW w:w="688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Less: amount representing interest</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37,764,425</w:t>
            </w:r>
          </w:p>
        </w:tc>
        <w:tc>
          <w:tcPr>
            <w:tcW w:w="80" w:type="dxa"/>
            <w:vAlign w:val="bottom"/>
            <w:tcBorders>
              <w:bottom w:val="single" w:sz="8" w:color="CCEEFF"/>
            </w:tcBorders>
          </w:tcPr>
          <w:p>
            <w:pPr>
              <w:spacing w:after="0"/>
              <w:rPr>
                <w:sz w:val="19"/>
                <w:szCs w:val="19"/>
                <w:color w:val="auto"/>
              </w:rPr>
            </w:pPr>
          </w:p>
        </w:tc>
      </w:tr>
      <w:tr>
        <w:trPr>
          <w:trHeight w:val="191"/>
        </w:trPr>
        <w:tc>
          <w:tcPr>
            <w:tcW w:w="6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3"/>
        </w:trPr>
        <w:tc>
          <w:tcPr>
            <w:tcW w:w="6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7"/>
              </w:rPr>
              <w:t>Present value of future minimum lease payments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221,579,611</w:t>
            </w:r>
          </w:p>
        </w:tc>
        <w:tc>
          <w:tcPr>
            <w:tcW w:w="8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ight</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f</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ssets</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nd</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iabilities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right="20"/>
        <w:spacing w:after="0" w:line="267" w:lineRule="auto"/>
        <w:rPr>
          <w:sz w:val="20"/>
          <w:szCs w:val="20"/>
          <w:color w:val="auto"/>
        </w:rPr>
      </w:pPr>
      <w:r>
        <w:rPr>
          <w:rFonts w:ascii="Times New Roman" w:cs="Times New Roman" w:eastAsia="Times New Roman" w:hAnsi="Times New Roman"/>
          <w:sz w:val="17"/>
          <w:szCs w:val="17"/>
          <w:color w:val="auto"/>
        </w:rPr>
        <w:t>The components of operating lease expense for the years ended December 31, 2024 and 2023 included in operating expenses on the accompanying combined statements of operations and comprehensive income is approximately as follows: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Operating lease costs</w:t>
            </w: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59,821,000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56,808,000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costs</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1,288,000</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801,000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Sublease income</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(36,000)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(37,000)</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8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costs</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61,073,000</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57,572,000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left="300" w:right="20"/>
        <w:spacing w:after="0" w:line="267" w:lineRule="auto"/>
        <w:rPr>
          <w:sz w:val="20"/>
          <w:szCs w:val="20"/>
          <w:color w:val="auto"/>
        </w:rPr>
      </w:pPr>
      <w:r>
        <w:rPr>
          <w:rFonts w:ascii="Times New Roman" w:cs="Times New Roman" w:eastAsia="Times New Roman" w:hAnsi="Times New Roman"/>
          <w:sz w:val="17"/>
          <w:szCs w:val="17"/>
          <w:color w:val="auto"/>
        </w:rPr>
        <w:t>The Group subleases portions of its facilities to companies related by common ownership and management as a tenant-at-will. Short-term leases mainly consist of month-to-month leases with unrelated parties for vehicle storage facilities and additional parking.</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w:t>
      </w:r>
      <w:r>
        <w:rPr>
          <w:rFonts w:ascii="Times New Roman" w:cs="Times New Roman" w:eastAsia="Times New Roman" w:hAnsi="Times New Roman"/>
          <w:sz w:val="11"/>
          <w:szCs w:val="11"/>
          <w:b w:val="1"/>
          <w:bCs w:val="1"/>
          <w:i w:val="1"/>
          <w:iCs w:val="1"/>
          <w:color w:val="auto"/>
        </w:rPr>
        <w:t>inancing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p>
    <w:p>
      <w:pPr>
        <w:spacing w:after="0" w:line="205" w:lineRule="exact"/>
        <w:rPr>
          <w:sz w:val="20"/>
          <w:szCs w:val="20"/>
          <w:color w:val="auto"/>
        </w:rPr>
      </w:pPr>
    </w:p>
    <w:p>
      <w:pPr>
        <w:jc w:val="both"/>
        <w:ind w:left="300" w:right="20"/>
        <w:spacing w:after="0" w:line="247" w:lineRule="auto"/>
        <w:rPr>
          <w:sz w:val="20"/>
          <w:szCs w:val="20"/>
          <w:color w:val="auto"/>
        </w:rPr>
      </w:pPr>
      <w:r>
        <w:rPr>
          <w:rFonts w:ascii="Times New Roman" w:cs="Times New Roman" w:eastAsia="Times New Roman" w:hAnsi="Times New Roman"/>
          <w:sz w:val="17"/>
          <w:szCs w:val="17"/>
          <w:color w:val="auto"/>
        </w:rPr>
        <w:t>The Group has a finance lease for the use of a building located next to one of the dealerships expiring in January 2029, with a five-year renewal option. The lease includes monthly payments of $ 38,446 through January 2024 and monthly payments of $43,831 thereafter. The asset and liability under the financing lease are recorded at the present value of the minimum lease payments. The financing lease asset has been included in net property and equipment at $4,382,518 at December 31, 2024 and 2023. The asset is depreciated over its estimated productive life. Accumulated depreciation for the financing lease asset was $1,856,124 and $1,237,416 at December 31, 2024 and 2023, respectively, and depreciation expense was $618,708 for the years ended December 31, 2024 and 2023. The remaining principal balance of $1,928,496 and $2,333,106 at December 31, 2024 and 2023, respectively, is recorded as financing lease liability, net of $433,122 and $404,611, respectively, which is included in current portion of finance lease liability in the accompanying combined balance sheets.</w:t>
      </w:r>
    </w:p>
    <w:p>
      <w:pPr>
        <w:spacing w:after="0" w:line="376"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w:t>
      </w:r>
      <w:r>
        <w:rPr>
          <w:rFonts w:ascii="Times New Roman" w:cs="Times New Roman" w:eastAsia="Times New Roman" w:hAnsi="Times New Roman"/>
          <w:sz w:val="11"/>
          <w:szCs w:val="11"/>
          <w:b w:val="1"/>
          <w:bCs w:val="1"/>
          <w:i w:val="1"/>
          <w:iCs w:val="1"/>
          <w:color w:val="auto"/>
        </w:rPr>
        <w:t>inancing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following is a schedule of the future minimum lease payments under the finance lease and the present value of the net minimum lease payments at December 31, 2024:</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215"/>
        </w:trPr>
        <w:tc>
          <w:tcPr>
            <w:tcW w:w="74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For the Year Ending December 31,</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1"/>
        </w:trPr>
        <w:tc>
          <w:tcPr>
            <w:tcW w:w="7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3"/>
              </w:rPr>
              <w:t>2025</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525,968</w:t>
            </w:r>
          </w:p>
        </w:tc>
        <w:tc>
          <w:tcPr>
            <w:tcW w:w="60" w:type="dxa"/>
            <w:vAlign w:val="bottom"/>
            <w:tcBorders>
              <w:top w:val="single" w:sz="8" w:color="CCEEFF"/>
            </w:tcBorders>
            <w:shd w:val="clear" w:color="auto" w:fill="CCEEFF"/>
          </w:tcPr>
          <w:p>
            <w:pPr>
              <w:spacing w:after="0"/>
              <w:rPr>
                <w:sz w:val="16"/>
                <w:szCs w:val="16"/>
                <w:color w:val="auto"/>
              </w:rPr>
            </w:pPr>
          </w:p>
        </w:tc>
      </w:tr>
      <w:tr>
        <w:trPr>
          <w:trHeight w:val="198"/>
        </w:trPr>
        <w:tc>
          <w:tcPr>
            <w:tcW w:w="7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525,968</w:t>
            </w:r>
          </w:p>
        </w:tc>
        <w:tc>
          <w:tcPr>
            <w:tcW w:w="60" w:type="dxa"/>
            <w:vAlign w:val="bottom"/>
          </w:tcPr>
          <w:p>
            <w:pPr>
              <w:spacing w:after="0"/>
              <w:rPr>
                <w:sz w:val="17"/>
                <w:szCs w:val="17"/>
                <w:color w:val="auto"/>
              </w:rPr>
            </w:pPr>
          </w:p>
        </w:tc>
      </w:tr>
      <w:tr>
        <w:trPr>
          <w:trHeight w:val="198"/>
        </w:trPr>
        <w:tc>
          <w:tcPr>
            <w:tcW w:w="7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525,968</w:t>
            </w:r>
          </w:p>
        </w:tc>
        <w:tc>
          <w:tcPr>
            <w:tcW w:w="60" w:type="dxa"/>
            <w:vAlign w:val="bottom"/>
            <w:shd w:val="clear" w:color="auto" w:fill="CCEEFF"/>
          </w:tcPr>
          <w:p>
            <w:pPr>
              <w:spacing w:after="0"/>
              <w:rPr>
                <w:sz w:val="17"/>
                <w:szCs w:val="17"/>
                <w:color w:val="auto"/>
              </w:rPr>
            </w:pPr>
          </w:p>
        </w:tc>
      </w:tr>
      <w:tr>
        <w:trPr>
          <w:trHeight w:val="198"/>
        </w:trPr>
        <w:tc>
          <w:tcPr>
            <w:tcW w:w="7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525,968</w:t>
            </w:r>
          </w:p>
        </w:tc>
        <w:tc>
          <w:tcPr>
            <w:tcW w:w="60" w:type="dxa"/>
            <w:vAlign w:val="bottom"/>
          </w:tcPr>
          <w:p>
            <w:pPr>
              <w:spacing w:after="0"/>
              <w:rPr>
                <w:sz w:val="17"/>
                <w:szCs w:val="17"/>
                <w:color w:val="auto"/>
              </w:rPr>
            </w:pPr>
          </w:p>
        </w:tc>
      </w:tr>
      <w:tr>
        <w:trPr>
          <w:trHeight w:val="211"/>
        </w:trPr>
        <w:tc>
          <w:tcPr>
            <w:tcW w:w="7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43,830</w:t>
            </w:r>
          </w:p>
        </w:tc>
        <w:tc>
          <w:tcPr>
            <w:tcW w:w="60" w:type="dxa"/>
            <w:vAlign w:val="bottom"/>
            <w:shd w:val="clear" w:color="auto" w:fill="CCEEFF"/>
          </w:tcPr>
          <w:p>
            <w:pPr>
              <w:spacing w:after="0"/>
              <w:rPr>
                <w:sz w:val="18"/>
                <w:szCs w:val="18"/>
                <w:color w:val="auto"/>
              </w:rPr>
            </w:pPr>
          </w:p>
        </w:tc>
      </w:tr>
      <w:tr>
        <w:trPr>
          <w:trHeight w:val="191"/>
        </w:trPr>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8"/>
        </w:trPr>
        <w:tc>
          <w:tcPr>
            <w:tcW w:w="7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2,147,702</w:t>
            </w:r>
          </w:p>
        </w:tc>
        <w:tc>
          <w:tcPr>
            <w:tcW w:w="60" w:type="dxa"/>
            <w:vAlign w:val="bottom"/>
            <w:shd w:val="clear" w:color="auto" w:fill="CCEEFF"/>
          </w:tcPr>
          <w:p>
            <w:pPr>
              <w:spacing w:after="0"/>
              <w:rPr>
                <w:sz w:val="17"/>
                <w:szCs w:val="17"/>
                <w:color w:val="auto"/>
              </w:rPr>
            </w:pPr>
          </w:p>
        </w:tc>
      </w:tr>
      <w:tr>
        <w:trPr>
          <w:trHeight w:val="211"/>
        </w:trPr>
        <w:tc>
          <w:tcPr>
            <w:tcW w:w="742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Less: amount representing interest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219,206</w:t>
            </w:r>
          </w:p>
        </w:tc>
        <w:tc>
          <w:tcPr>
            <w:tcW w:w="60" w:type="dxa"/>
            <w:vAlign w:val="bottom"/>
            <w:tcBorders>
              <w:bottom w:val="single" w:sz="8" w:color="CCEEFF"/>
            </w:tcBorders>
          </w:tcPr>
          <w:p>
            <w:pPr>
              <w:spacing w:after="0"/>
              <w:rPr>
                <w:sz w:val="18"/>
                <w:szCs w:val="18"/>
                <w:color w:val="auto"/>
              </w:rPr>
            </w:pPr>
          </w:p>
        </w:tc>
      </w:tr>
      <w:tr>
        <w:trPr>
          <w:trHeight w:val="191"/>
        </w:trPr>
        <w:tc>
          <w:tcPr>
            <w:tcW w:w="7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3"/>
        </w:trPr>
        <w:tc>
          <w:tcPr>
            <w:tcW w:w="74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6"/>
              </w:rPr>
              <w:t>Total principal payments</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1,928,496</w:t>
            </w:r>
          </w:p>
        </w:tc>
        <w:tc>
          <w:tcPr>
            <w:tcW w:w="6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10 - R</w:t>
      </w:r>
      <w:r>
        <w:rPr>
          <w:rFonts w:ascii="Times New Roman" w:cs="Times New Roman" w:eastAsia="Times New Roman" w:hAnsi="Times New Roman"/>
          <w:sz w:val="11"/>
          <w:szCs w:val="11"/>
          <w:b w:val="1"/>
          <w:bCs w:val="1"/>
          <w:color w:val="auto"/>
        </w:rPr>
        <w:t>elated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arty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w:t>
      </w:r>
      <w:r>
        <w:rPr>
          <w:rFonts w:ascii="Times New Roman" w:cs="Times New Roman" w:eastAsia="Times New Roman" w:hAnsi="Times New Roman"/>
          <w:sz w:val="11"/>
          <w:szCs w:val="11"/>
          <w:b w:val="1"/>
          <w:bCs w:val="1"/>
          <w:i w:val="1"/>
          <w:iCs w:val="1"/>
          <w:color w:val="auto"/>
        </w:rPr>
        <w:t>anagement</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greements</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JRM has management agreements with the dealerships owned by Herbert G. Chambers. The agreements are for a one-year term and automatically renew for successive one-year terms unless terminated in advance by the owner. Under these agreements, JRM collects an annual management fee.</w:t>
      </w:r>
    </w:p>
    <w:p>
      <w:pPr>
        <w:spacing w:after="0" w:line="160"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color w:val="auto"/>
        </w:rPr>
        <w:t>The agreements require the dealerships to pay between $35,000 and $58,300 per month. The agreements include services relating to accounting, advertising, banking, controller, data processing and management information service, internet service, employee benefits, financing, factory relationships, human resource, insurance, internal audit, legal, marketing, operations, tax, training and used car management. In addition to the monthly management fees, certain dealerships pay an annual management fee that is computed at year end based on a formula which takes into account income earned by the certain dealerships and a return of invested equity in those dealerships. The proceeds of the annual management fee are used by JRM in calculation and payment of the consulting fee paid to Chambers Consulting Corp., as noted below.</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10 - R</w:t>
      </w:r>
      <w:r>
        <w:rPr>
          <w:rFonts w:ascii="Times New Roman" w:cs="Times New Roman" w:eastAsia="Times New Roman" w:hAnsi="Times New Roman"/>
          <w:sz w:val="11"/>
          <w:szCs w:val="11"/>
          <w:b w:val="1"/>
          <w:bCs w:val="1"/>
          <w:color w:val="auto"/>
        </w:rPr>
        <w:t>elated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arty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w:t>
      </w:r>
      <w:r>
        <w:rPr>
          <w:rFonts w:ascii="Times New Roman" w:cs="Times New Roman" w:eastAsia="Times New Roman" w:hAnsi="Times New Roman"/>
          <w:sz w:val="11"/>
          <w:szCs w:val="11"/>
          <w:b w:val="1"/>
          <w:bCs w:val="1"/>
          <w:i w:val="1"/>
          <w:iCs w:val="1"/>
          <w:color w:val="auto"/>
        </w:rPr>
        <w:t>anagement</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For the years ended December 31, 2024 and 2023, management fees totaling $100,625,400 and $154,691,000, respectively, are eliminated from sales and operating expenses and have no effect on reported net income on the accompanying combined statements of operations and comprehensive income.</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w:t>
      </w:r>
      <w:r>
        <w:rPr>
          <w:rFonts w:ascii="Times New Roman" w:cs="Times New Roman" w:eastAsia="Times New Roman" w:hAnsi="Times New Roman"/>
          <w:sz w:val="11"/>
          <w:szCs w:val="11"/>
          <w:b w:val="1"/>
          <w:bCs w:val="1"/>
          <w:i w:val="1"/>
          <w:iCs w:val="1"/>
          <w:color w:val="auto"/>
        </w:rPr>
        <w:t>onsulting</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has an annual consulting agreement with Chambers Consulting Corp., a company related through common ownership. The annual fee is to be computed at year end based on a formula which takes into account total fees earned by The Herb Chambers Companies less direct expenses and overhead and profit for services not provided by the Group. The consulting agreement includes services relating to banking, financing, factory relationships, human resources, legal, marketing, tax, strategic planning, and acquisition planning. Total consulting fees for the years ended December 31, 2024 and 2023 are $60,350,000 and $101,450,000, respectively, and are included in operating expenses on the accompanying combined statements of operations and comprehensive income.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w:t>
      </w:r>
      <w:r>
        <w:rPr>
          <w:rFonts w:ascii="Times New Roman" w:cs="Times New Roman" w:eastAsia="Times New Roman" w:hAnsi="Times New Roman"/>
          <w:sz w:val="11"/>
          <w:szCs w:val="11"/>
          <w:b w:val="1"/>
          <w:bCs w:val="1"/>
          <w:i w:val="1"/>
          <w:iCs w:val="1"/>
          <w:color w:val="auto"/>
        </w:rPr>
        <w:t>ue</w:t>
      </w:r>
      <w:r>
        <w:rPr>
          <w:rFonts w:ascii="Times New Roman" w:cs="Times New Roman" w:eastAsia="Times New Roman" w:hAnsi="Times New Roman"/>
          <w:sz w:val="17"/>
          <w:szCs w:val="17"/>
          <w:b w:val="1"/>
          <w:bCs w:val="1"/>
          <w:i w:val="1"/>
          <w:iCs w:val="1"/>
          <w:color w:val="auto"/>
        </w:rPr>
        <w:t xml:space="preserve"> F</w:t>
      </w:r>
      <w:r>
        <w:rPr>
          <w:rFonts w:ascii="Times New Roman" w:cs="Times New Roman" w:eastAsia="Times New Roman" w:hAnsi="Times New Roman"/>
          <w:sz w:val="11"/>
          <w:szCs w:val="11"/>
          <w:b w:val="1"/>
          <w:bCs w:val="1"/>
          <w:i w:val="1"/>
          <w:iCs w:val="1"/>
          <w:color w:val="auto"/>
        </w:rPr>
        <w:t>rom</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o</w:t>
      </w:r>
      <w:r>
        <w:rPr>
          <w:rFonts w:ascii="Times New Roman" w:cs="Times New Roman" w:eastAsia="Times New Roman" w:hAnsi="Times New Roman"/>
          <w:sz w:val="17"/>
          <w:szCs w:val="17"/>
          <w:b w:val="1"/>
          <w:bCs w:val="1"/>
          <w:i w:val="1"/>
          <w:iCs w:val="1"/>
          <w:color w:val="auto"/>
        </w:rPr>
        <w:t>) O</w:t>
      </w:r>
      <w:r>
        <w:rPr>
          <w:rFonts w:ascii="Times New Roman" w:cs="Times New Roman" w:eastAsia="Times New Roman" w:hAnsi="Times New Roman"/>
          <w:sz w:val="11"/>
          <w:szCs w:val="11"/>
          <w:b w:val="1"/>
          <w:bCs w:val="1"/>
          <w:i w:val="1"/>
          <w:iCs w:val="1"/>
          <w:color w:val="auto"/>
        </w:rPr>
        <w:t>wner</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At December 31, 2024 and 2023, the Group had amounts due to or from the owner. These amounts represent unsecured net non-interest bearing advances and borrowings with no specified maturity date. As of December 31, 2024 and 2023, the net combined balance due from owner was $104,936,943 and $64,260,902, respectively, and is classified as an other asset on the accompanying combined balance sheets.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nsurance</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rogram</w:t>
      </w:r>
    </w:p>
    <w:p>
      <w:pPr>
        <w:spacing w:after="0" w:line="205"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7"/>
          <w:szCs w:val="17"/>
          <w:color w:val="auto"/>
        </w:rPr>
        <w:t>The Group administers high deductible programs for the workers’ compensation and property and casualty insurance coverage for the dealerships. The policies, which renew annually on October 1, have deductibles ranging from $5,000 to $350,000; premiums cover all claims over the deductibles. At December 31, 2024 and 2023, a $246,000 escrow funded by the Group to pay claims is included in other assets on the accompanying combined balance sheets. The dealerships make payments to JRM to create an insurance loss fund which will be used to replenish the escrow as claims within the deductible amount are paid. Since the Group is not an insurance company, it accounts for these payments, net of related premiums and insurance claims paid, as an insurance loss fund liability with a balance of $3,780,700 and $3,665,575 at December 31, 2024 and 2023, respectively. At December 31, 2024, the insurance policies require the Group to maintain a letter of credit totaling $4,117,000.</w:t>
      </w:r>
    </w:p>
    <w:p>
      <w:pPr>
        <w:spacing w:after="0" w:line="376"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10 - R</w:t>
      </w:r>
      <w:r>
        <w:rPr>
          <w:rFonts w:ascii="Times New Roman" w:cs="Times New Roman" w:eastAsia="Times New Roman" w:hAnsi="Times New Roman"/>
          <w:sz w:val="11"/>
          <w:szCs w:val="11"/>
          <w:b w:val="1"/>
          <w:bCs w:val="1"/>
          <w:color w:val="auto"/>
        </w:rPr>
        <w:t>elated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arty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nvestment</w:t>
      </w:r>
      <w:r>
        <w:rPr>
          <w:rFonts w:ascii="Times New Roman" w:cs="Times New Roman" w:eastAsia="Times New Roman" w:hAnsi="Times New Roman"/>
          <w:sz w:val="17"/>
          <w:szCs w:val="17"/>
          <w:b w:val="1"/>
          <w:bCs w:val="1"/>
          <w:i w:val="1"/>
          <w:iCs w:val="1"/>
          <w:color w:val="auto"/>
        </w:rPr>
        <w:t xml:space="preserve"> I</w:t>
      </w:r>
      <w:r>
        <w:rPr>
          <w:rFonts w:ascii="Times New Roman" w:cs="Times New Roman" w:eastAsia="Times New Roman" w:hAnsi="Times New Roman"/>
          <w:sz w:val="11"/>
          <w:szCs w:val="11"/>
          <w:b w:val="1"/>
          <w:bCs w:val="1"/>
          <w:i w:val="1"/>
          <w:iCs w:val="1"/>
          <w:color w:val="auto"/>
        </w:rPr>
        <w:t>n</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artnerships</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JRM is the general partner of Avonwood Associates Limited Partnership and Geo Missy Limited Partnership. The Group has elected to account for its one percent ownership in each of the partnerships on the equity method of accounting as it believes that this method best reflects the position of the general partner. Income recorded for these partnerships for the years ended December 31, 2024 and 2023 was $64,952 and $62,774, respectively, and has been classified as other income in the combined statements of operations and comprehensive income.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w:t>
      </w:r>
      <w:r>
        <w:rPr>
          <w:rFonts w:ascii="Times New Roman" w:cs="Times New Roman" w:eastAsia="Times New Roman" w:hAnsi="Times New Roman"/>
          <w:sz w:val="11"/>
          <w:szCs w:val="11"/>
          <w:b w:val="1"/>
          <w:bCs w:val="1"/>
          <w:i w:val="1"/>
          <w:iCs w:val="1"/>
          <w:color w:val="auto"/>
        </w:rPr>
        <w:t>uarantee</w:t>
      </w:r>
    </w:p>
    <w:p>
      <w:pPr>
        <w:spacing w:after="0" w:line="205" w:lineRule="exact"/>
        <w:rPr>
          <w:sz w:val="20"/>
          <w:szCs w:val="20"/>
          <w:color w:val="auto"/>
        </w:rPr>
      </w:pPr>
    </w:p>
    <w:p>
      <w:pPr>
        <w:jc w:val="both"/>
        <w:ind w:left="300"/>
        <w:spacing w:after="0" w:line="295" w:lineRule="auto"/>
        <w:rPr>
          <w:sz w:val="20"/>
          <w:szCs w:val="20"/>
          <w:color w:val="auto"/>
        </w:rPr>
      </w:pPr>
      <w:r>
        <w:rPr>
          <w:rFonts w:ascii="Times New Roman" w:cs="Times New Roman" w:eastAsia="Times New Roman" w:hAnsi="Times New Roman"/>
          <w:sz w:val="15"/>
          <w:szCs w:val="15"/>
          <w:color w:val="auto"/>
        </w:rPr>
        <w:t>Two operating entities in the Group, together with the owner, guarantee a $200,000,000 revolving line of credit. At December 31, 2024, the borrowing entities of the line of credit consisted of twenty-five related party real estate entities that the Group leases primary operating facilities from and are owned by the Group’s owner. The line of credit is used primarily for the purchase of operating facilities. The balance outstanding under the line of credit was $80,840,800 at December 31, 2024. The line of credit expires on September 30, 2025; however, management expects they will renew and extend the line of credit prior to September 30,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11 - R</w:t>
      </w:r>
      <w:r>
        <w:rPr>
          <w:rFonts w:ascii="Times New Roman" w:cs="Times New Roman" w:eastAsia="Times New Roman" w:hAnsi="Times New Roman"/>
          <w:sz w:val="11"/>
          <w:szCs w:val="11"/>
          <w:b w:val="1"/>
          <w:bCs w:val="1"/>
          <w:color w:val="auto"/>
        </w:rPr>
        <w:t>etirement</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and its affiliated organizations maintain a 401(k) plan covering all employees who have completed one year of service and attained 18 years of age. Participants may make elective deferrals from 1% to 50% of the participant’s eligible compensation, limited to a maximum annual as set periodically by the Internal Revenue Service. Participants’ contributions are matched by the Group at the rate of 50% up to 4% of the participants’ compensation. For the years ended December 31, 2024 and 2023, contributions were $2,062,153 and $2,063,055, respectively, and is included in operating expenses on the accompanying combined statements of operations and comprehensive income.</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12 - S</w:t>
            </w:r>
            <w:r>
              <w:rPr>
                <w:rFonts w:ascii="Times New Roman" w:cs="Times New Roman" w:eastAsia="Times New Roman" w:hAnsi="Times New Roman"/>
                <w:sz w:val="11"/>
                <w:szCs w:val="11"/>
                <w:b w:val="1"/>
                <w:bCs w:val="1"/>
                <w:color w:val="auto"/>
              </w:rPr>
              <w:t>upplemental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ash</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lows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The following cash and non-cash transactions occurred during the years ended December 31, 2024 and 2023.</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6"/>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300" w:type="dxa"/>
            <w:vAlign w:val="bottom"/>
          </w:tcPr>
          <w:p>
            <w:pPr>
              <w:spacing w:after="0"/>
              <w:rPr>
                <w:sz w:val="24"/>
                <w:szCs w:val="24"/>
                <w:color w:val="auto"/>
              </w:rPr>
            </w:pPr>
          </w:p>
        </w:tc>
        <w:tc>
          <w:tcPr>
            <w:tcW w:w="8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8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Cash paid during the year for:</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8"/>
        </w:trPr>
        <w:tc>
          <w:tcPr>
            <w:tcW w:w="300" w:type="dxa"/>
            <w:vAlign w:val="bottom"/>
          </w:tcPr>
          <w:p>
            <w:pPr>
              <w:spacing w:after="0"/>
              <w:rPr>
                <w:sz w:val="17"/>
                <w:szCs w:val="17"/>
                <w:color w:val="auto"/>
              </w:rPr>
            </w:pPr>
          </w:p>
        </w:tc>
        <w:tc>
          <w:tcPr>
            <w:tcW w:w="8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22,516,460</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14,450,710</w:t>
            </w: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7,610,501</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11,557,800</w:t>
            </w:r>
          </w:p>
        </w:tc>
      </w:tr>
      <w:tr>
        <w:trPr>
          <w:trHeight w:val="397"/>
        </w:trPr>
        <w:tc>
          <w:tcPr>
            <w:tcW w:w="8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Supplemental disclosures of non-cash financing and investing activities: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8"/>
        </w:trPr>
        <w:tc>
          <w:tcPr>
            <w:tcW w:w="300" w:type="dxa"/>
            <w:vAlign w:val="bottom"/>
          </w:tcPr>
          <w:p>
            <w:pPr>
              <w:spacing w:after="0"/>
              <w:rPr>
                <w:sz w:val="24"/>
                <w:szCs w:val="24"/>
                <w:color w:val="auto"/>
              </w:rPr>
            </w:pPr>
          </w:p>
        </w:tc>
        <w:tc>
          <w:tcPr>
            <w:tcW w:w="8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24"/>
                <w:szCs w:val="24"/>
                <w:color w:val="auto"/>
              </w:rPr>
            </w:pPr>
          </w:p>
        </w:tc>
      </w:tr>
      <w:tr>
        <w:trPr>
          <w:trHeight w:val="191"/>
        </w:trPr>
        <w:tc>
          <w:tcPr>
            <w:tcW w:w="300" w:type="dxa"/>
            <w:vAlign w:val="bottom"/>
          </w:tcPr>
          <w:p>
            <w:pPr>
              <w:spacing w:after="0"/>
              <w:rPr>
                <w:sz w:val="16"/>
                <w:szCs w:val="16"/>
                <w:color w:val="auto"/>
              </w:rPr>
            </w:pPr>
          </w:p>
        </w:tc>
        <w:tc>
          <w:tcPr>
            <w:tcW w:w="82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Reinvestment of investment sales proceeds through brokerage accounts</w:t>
            </w: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20,429,049</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32,759,203</w:t>
            </w:r>
          </w:p>
        </w:tc>
        <w:tc>
          <w:tcPr>
            <w:tcW w:w="100" w:type="dxa"/>
            <w:vAlign w:val="bottom"/>
            <w:shd w:val="clear" w:color="auto" w:fill="CCEEFF"/>
          </w:tcPr>
          <w:p>
            <w:pPr>
              <w:spacing w:after="0"/>
              <w:rPr>
                <w:sz w:val="16"/>
                <w:szCs w:val="16"/>
                <w:color w:val="auto"/>
              </w:rPr>
            </w:pP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Transfer of company vehicles to used vehicle inventory</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469,413</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652,439</w:t>
            </w: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gain in other comprehensive income</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23,415</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540,140</w:t>
            </w: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obtained in exchange for lease liabilities</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262,629</w:t>
            </w: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purchased through due from owner</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3,814,044</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1,493,452</w:t>
            </w:r>
          </w:p>
        </w:tc>
      </w:tr>
      <w:tr>
        <w:trPr>
          <w:trHeight w:val="198"/>
        </w:trPr>
        <w:tc>
          <w:tcPr>
            <w:tcW w:w="300" w:type="dxa"/>
            <w:vAlign w:val="bottom"/>
          </w:tcPr>
          <w:p>
            <w:pPr>
              <w:spacing w:after="0"/>
              <w:rPr>
                <w:sz w:val="17"/>
                <w:szCs w:val="17"/>
                <w:color w:val="auto"/>
              </w:rPr>
            </w:pPr>
          </w:p>
        </w:tc>
        <w:tc>
          <w:tcPr>
            <w:tcW w:w="82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transferred from prepaid expenses</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378,727</w:t>
            </w:r>
          </w:p>
        </w:tc>
      </w:tr>
      <w:tr>
        <w:trPr>
          <w:trHeight w:val="198"/>
        </w:trPr>
        <w:tc>
          <w:tcPr>
            <w:tcW w:w="300" w:type="dxa"/>
            <w:vAlign w:val="bottom"/>
          </w:tcPr>
          <w:p>
            <w:pPr>
              <w:spacing w:after="0"/>
              <w:rPr>
                <w:sz w:val="17"/>
                <w:szCs w:val="17"/>
                <w:color w:val="auto"/>
              </w:rPr>
            </w:pPr>
          </w:p>
        </w:tc>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Cancellation of right-of-use asset and liabilities</w:t>
            </w: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6,657,038</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13 - C</w:t>
      </w:r>
      <w:r>
        <w:rPr>
          <w:rFonts w:ascii="Times New Roman" w:cs="Times New Roman" w:eastAsia="Times New Roman" w:hAnsi="Times New Roman"/>
          <w:sz w:val="11"/>
          <w:szCs w:val="11"/>
          <w:b w:val="1"/>
          <w:bCs w:val="1"/>
          <w:color w:val="auto"/>
        </w:rPr>
        <w:t>ontingencies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ommitments</w:t>
      </w:r>
    </w:p>
    <w:p>
      <w:pPr>
        <w:spacing w:after="0" w:line="205" w:lineRule="exact"/>
        <w:rPr>
          <w:sz w:val="20"/>
          <w:szCs w:val="20"/>
          <w:color w:val="auto"/>
        </w:rPr>
      </w:pPr>
    </w:p>
    <w:p>
      <w:pPr>
        <w:jc w:val="both"/>
        <w:ind w:left="300" w:right="20"/>
        <w:spacing w:after="0" w:line="249" w:lineRule="auto"/>
        <w:rPr>
          <w:sz w:val="20"/>
          <w:szCs w:val="20"/>
          <w:color w:val="auto"/>
        </w:rPr>
      </w:pPr>
      <w:r>
        <w:rPr>
          <w:rFonts w:ascii="Times New Roman" w:cs="Times New Roman" w:eastAsia="Times New Roman" w:hAnsi="Times New Roman"/>
          <w:sz w:val="17"/>
          <w:szCs w:val="17"/>
          <w:color w:val="auto"/>
        </w:rPr>
        <w:t>The dealerships operated by the Group sell automobiles pursuant to franchise agreements with automobile manufacturers or authorized distributors of the manufacturer. Through the terms and conditions of these franchise agreements, manufacturers can exert considerable influence over the operations of the Group’s dealerships. Each franchise agreement includes provisions for the termination or non-renewal of the manufacturer-dealer relationship for a variety of causes. Under the terms of the franchise agreements, the Group is required to maintain minimum working capital requirements and other specific financial ratios. The loss of a Group’s franchise agreement could have a material adverse effect on the Group’s business, financial condition, and results of operations.</w:t>
      </w:r>
    </w:p>
    <w:p>
      <w:pPr>
        <w:spacing w:after="0" w:line="37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13 - C</w:t>
      </w:r>
      <w:r>
        <w:rPr>
          <w:rFonts w:ascii="Times New Roman" w:cs="Times New Roman" w:eastAsia="Times New Roman" w:hAnsi="Times New Roman"/>
          <w:sz w:val="11"/>
          <w:szCs w:val="11"/>
          <w:b w:val="1"/>
          <w:bCs w:val="1"/>
          <w:color w:val="auto"/>
        </w:rPr>
        <w:t>ontingencies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ommitments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participates in numerous factory incentive and warranty programs. The Group is reimbursed for these incentive and warranty claims based on individual program guidelines and rules. Such reimbursements are subject to audit and retroactive adjustments</w:t>
      </w:r>
    </w:p>
    <w:p>
      <w:pPr>
        <w:spacing w:after="0" w:line="16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is involved in lawsuits in the normal course of business. Management’s assessment is that none of these matters are anticipated to have a material adverse impact on the financial position, results of operations, or cash flows of the Group.</w:t>
      </w:r>
    </w:p>
    <w:p>
      <w:pPr>
        <w:spacing w:after="0" w:line="16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is subject to federal and state environmental regulations, including rules relating to air and water pollution, and the storage and disposal of gasoline, oil and other chemicals and waste. Local, state and federal regulations also affect automobile dealerships’ advertising, sales and service, and financing activities. Management believes that the Group complies with all applicable laws and regulations relating to its business.</w:t>
      </w:r>
    </w:p>
    <w:p>
      <w:pPr>
        <w:spacing w:after="0" w:line="170"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A significant portion of the Group’s business involves the sale of vehicles, parts, or vehicles composed of parts that are manufactured outside the United States. As a result, the Group’s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the Group’s products are imported may, from time to time, impose new quotas, duties, tariffs, or other restrictions; or adjust presently prevailing quotas, duties, or tariffs, which may affect the Group’s operations and ability to purchase imported vehicles and/or parts at reasonable prices.</w:t>
      </w:r>
    </w:p>
    <w:p>
      <w:pPr>
        <w:spacing w:after="0" w:line="175" w:lineRule="exact"/>
        <w:rPr>
          <w:sz w:val="20"/>
          <w:szCs w:val="20"/>
          <w:color w:val="auto"/>
        </w:rPr>
      </w:pPr>
    </w:p>
    <w:p>
      <w:pPr>
        <w:jc w:val="both"/>
        <w:ind w:left="300"/>
        <w:spacing w:after="0" w:line="285" w:lineRule="auto"/>
        <w:rPr>
          <w:sz w:val="20"/>
          <w:szCs w:val="20"/>
          <w:color w:val="auto"/>
        </w:rPr>
      </w:pPr>
      <w:r>
        <w:rPr>
          <w:rFonts w:ascii="Times New Roman" w:cs="Times New Roman" w:eastAsia="Times New Roman" w:hAnsi="Times New Roman"/>
          <w:sz w:val="15"/>
          <w:szCs w:val="15"/>
          <w:color w:val="auto"/>
        </w:rPr>
        <w:t>On September 10, 2024, the United States Attorney’s Office sent Civil Investigative Demands to eight entities of the Group in connection with its investigation into possible violations of the False Claims Act related to applications submitted for the issuance and forgiveness of Paycheck Protection Program (PPP) loans totaling $7,659,391. The issue concerns whether these entities were eligible for the PPP loans considering an Interim Final Ruling issued by the SBA which limited businesses that are part of a single corporate group to no more than $20,000,000 of PPP loans in the aggregate. Although the Group denies any liability under the False Claims Act or any other law related to this dispute, the Group has agreed to resolve this matter with the United States Attorney’s Office with a settlement payment of $11,841,143, which has been included in accounts payable and other accrued expenses at December 31, 2024 on the accompanying combined balance sheets and as settlement expense included in other income (expenses) on the accompanying combined statements of operations and comprehensive income.</w:t>
      </w:r>
    </w:p>
    <w:p>
      <w:pPr>
        <w:spacing w:after="0" w:line="3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2" w:name="page43"/>
    <w:bookmarkEnd w:id="4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14 -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Common stock is comprised of the following as of December 31, 2024 and 2023:</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98"/>
        </w:trPr>
        <w:tc>
          <w:tcPr>
            <w:tcW w:w="5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Shares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5380" w:type="dxa"/>
            <w:vAlign w:val="bottom"/>
          </w:tcPr>
          <w:p>
            <w:pPr>
              <w:spacing w:after="0"/>
              <w:rPr>
                <w:sz w:val="18"/>
                <w:szCs w:val="18"/>
                <w:color w:val="auto"/>
              </w:rPr>
            </w:pP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6"/>
              </w:rPr>
              <w:t>Par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Shares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Issued and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tcPr>
          <w:p>
            <w:pPr>
              <w:spacing w:after="0"/>
              <w:rPr>
                <w:sz w:val="18"/>
                <w:szCs w:val="18"/>
                <w:color w:val="auto"/>
              </w:rPr>
            </w:pPr>
          </w:p>
        </w:tc>
        <w:tc>
          <w:tcPr>
            <w:tcW w:w="820" w:type="dxa"/>
            <w:vAlign w:val="bottom"/>
          </w:tcPr>
          <w:p>
            <w:pPr>
              <w:jc w:val="center"/>
              <w:ind w:left="297"/>
              <w:spacing w:after="0"/>
              <w:rPr>
                <w:sz w:val="20"/>
                <w:szCs w:val="20"/>
                <w:color w:val="auto"/>
              </w:rPr>
            </w:pPr>
            <w:r>
              <w:rPr>
                <w:rFonts w:ascii="Times New Roman" w:cs="Times New Roman" w:eastAsia="Times New Roman" w:hAnsi="Times New Roman"/>
                <w:sz w:val="17"/>
                <w:szCs w:val="17"/>
                <w:color w:val="auto"/>
                <w:w w:val="88"/>
              </w:rPr>
              <w:t>Value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Authorized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Outstanding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Amount</w:t>
            </w:r>
          </w:p>
        </w:tc>
      </w:tr>
      <w:tr>
        <w:trPr>
          <w:trHeight w:val="191"/>
        </w:trPr>
        <w:tc>
          <w:tcPr>
            <w:tcW w:w="53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Jennings Road Management Corp.</w:t>
            </w:r>
          </w:p>
        </w:tc>
        <w:tc>
          <w:tcPr>
            <w:tcW w:w="820" w:type="dxa"/>
            <w:vAlign w:val="bottom"/>
            <w:tcBorders>
              <w:top w:val="single" w:sz="8" w:color="auto"/>
            </w:tcBorders>
            <w:shd w:val="clear" w:color="auto" w:fill="CCEEFF"/>
          </w:tcPr>
          <w:p>
            <w:pPr>
              <w:jc w:val="right"/>
              <w:ind w:right="6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5,000</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Route 1,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1,500</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I-93,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Commonwealth Avenue,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Silver Star,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500</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1172,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500</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Cambridge Street,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Cadillac,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1186,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128,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10,000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44,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Route 9,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Norwood,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Millbury,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2,500</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Auburn,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93"/>
              </w:rPr>
              <w:t>1,630</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1168,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w w:val="93"/>
              </w:rPr>
              <w:t>2,500</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500,000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Dave Dinger Ford,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284,000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Westborough,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Andover Street,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50</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22 Brighton Ave,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w:t>
            </w:r>
          </w:p>
        </w:tc>
      </w:tr>
      <w:tr>
        <w:trPr>
          <w:trHeight w:val="198"/>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Boston Post Road,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bl>
    <w:p>
      <w:pPr>
        <w:spacing w:after="0" w:line="380"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43" w:name="page44"/>
    <w:bookmarkEnd w:id="4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14 -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Shares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6"/>
              </w:rPr>
              <w:t>Par</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Shares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Issued and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820" w:type="dxa"/>
            <w:vAlign w:val="bottom"/>
          </w:tcPr>
          <w:p>
            <w:pPr>
              <w:jc w:val="center"/>
              <w:ind w:left="297"/>
              <w:spacing w:after="0"/>
              <w:rPr>
                <w:sz w:val="20"/>
                <w:szCs w:val="20"/>
                <w:color w:val="auto"/>
              </w:rPr>
            </w:pPr>
            <w:r>
              <w:rPr>
                <w:rFonts w:ascii="Times New Roman" w:cs="Times New Roman" w:eastAsia="Times New Roman" w:hAnsi="Times New Roman"/>
                <w:sz w:val="17"/>
                <w:szCs w:val="17"/>
                <w:color w:val="auto"/>
                <w:w w:val="88"/>
              </w:rPr>
              <w:t>Value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Authorized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Outstanding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Amount</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Herb Chambers I-95, Inc.</w:t>
            </w:r>
          </w:p>
        </w:tc>
        <w:tc>
          <w:tcPr>
            <w:tcW w:w="820" w:type="dxa"/>
            <w:vAlign w:val="bottom"/>
            <w:tcBorders>
              <w:top w:val="single" w:sz="8" w:color="auto"/>
            </w:tcBorders>
            <w:shd w:val="clear" w:color="auto" w:fill="CCEEFF"/>
          </w:tcPr>
          <w:p>
            <w:pPr>
              <w:jc w:val="right"/>
              <w:ind w:right="6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1,250</w:t>
            </w: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200</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200</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Wayland,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Natick,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Sudbury,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75 Otis Street,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Burlington,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Millbury II,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Boston Turnpike,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395 Broadway,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Brookline, Inc.</w:t>
            </w:r>
          </w:p>
        </w:tc>
        <w:tc>
          <w:tcPr>
            <w:tcW w:w="82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1188, Inc.</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62 Cambridge Street, Inc.</w:t>
            </w:r>
          </w:p>
        </w:tc>
        <w:tc>
          <w:tcPr>
            <w:tcW w:w="82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3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50,900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26,800</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2,689,100</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15 – S</w:t>
            </w:r>
            <w:r>
              <w:rPr>
                <w:rFonts w:ascii="Times New Roman" w:cs="Times New Roman" w:eastAsia="Times New Roman" w:hAnsi="Times New Roman"/>
                <w:sz w:val="11"/>
                <w:szCs w:val="11"/>
                <w:b w:val="1"/>
                <w:bCs w:val="1"/>
                <w:color w:val="auto"/>
              </w:rPr>
              <w:t>ubsequent</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vent</w:t>
            </w: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6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300" w:right="20"/>
        <w:spacing w:after="0" w:line="246" w:lineRule="auto"/>
        <w:rPr>
          <w:sz w:val="20"/>
          <w:szCs w:val="20"/>
          <w:color w:val="auto"/>
        </w:rPr>
      </w:pPr>
      <w:r>
        <w:rPr>
          <w:rFonts w:ascii="Times New Roman" w:cs="Times New Roman" w:eastAsia="Times New Roman" w:hAnsi="Times New Roman"/>
          <w:sz w:val="17"/>
          <w:szCs w:val="17"/>
          <w:color w:val="auto"/>
        </w:rPr>
        <w:t>On February 14, 2025, the Group entered into a Purchase and Sale Agreement (the “Transaction Agreement”) with Asbury Automotive Group, Inc. (“Asbury”). Pursuant to the Transaction Agreement, the Group is expected to sell substantially all of the assets, including all real property and related businesses of the Herb Chambers Companies (collectively, the “Businesses”) for an aggregate purchase price of approximately $1.34 billion, which includes $590 million for related real estate entities and leasehold improvements. In addition, the Group will sell new vehicles, used vehicles, service loaner vehicles, fixed assets, parts, and supplies for a purchase price to be determined at the closing (the “Closing”) of the transactions set forth in the Transaction Agreement and Asbury will reimburse the Group for certain dealership construction and development costs incurred prior to the Closing. The Businesses includes 33 dealerships, 52 franchises and three collision centers. The Group will retain ownership of the Mercedes-Benz of Boston dealership in Somerville, Massachusetts (Herb Chambers I-93, Inc.). The Groups sale of the Businesses is anticipated to close in the second quarter of 2025 and is subject to various customary closing conditions, including approval from the applicable automotive manufacturers.</w:t>
      </w:r>
    </w:p>
    <w:p>
      <w:pPr>
        <w:spacing w:after="0" w:line="377"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 – COMBINING BALANCE SHEETS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10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1"/>
              </w:rPr>
              <w:t>Herb</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Herb Chambers</w:t>
            </w:r>
          </w:p>
        </w:tc>
        <w:tc>
          <w:tcPr>
            <w:tcW w:w="8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6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720" w:type="dxa"/>
            <w:vAlign w:val="bottom"/>
            <w:gridSpan w:val="2"/>
          </w:tcPr>
          <w:p>
            <w:pPr>
              <w:jc w:val="right"/>
              <w:ind w:right="340"/>
              <w:spacing w:after="0" w:line="137" w:lineRule="exact"/>
              <w:rPr>
                <w:sz w:val="20"/>
                <w:szCs w:val="20"/>
                <w:color w:val="auto"/>
              </w:rPr>
            </w:pPr>
            <w:r>
              <w:rPr>
                <w:rFonts w:ascii="Times New Roman" w:cs="Times New Roman" w:eastAsia="Times New Roman" w:hAnsi="Times New Roman"/>
                <w:sz w:val="12"/>
                <w:szCs w:val="12"/>
                <w:color w:val="auto"/>
              </w:rPr>
              <w:t>Silver</w:t>
            </w:r>
          </w:p>
        </w:tc>
        <w:tc>
          <w:tcPr>
            <w:tcW w:w="60" w:type="dxa"/>
            <w:vAlign w:val="bottom"/>
          </w:tcPr>
          <w:p>
            <w:pPr>
              <w:spacing w:after="0"/>
              <w:rPr>
                <w:sz w:val="11"/>
                <w:szCs w:val="11"/>
                <w:color w:val="auto"/>
              </w:rPr>
            </w:pPr>
          </w:p>
        </w:tc>
        <w:tc>
          <w:tcPr>
            <w:tcW w:w="6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w w:val="97"/>
              </w:rPr>
              <w:t>Cambridge</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60" w:type="dxa"/>
            <w:vAlign w:val="bottom"/>
          </w:tcPr>
          <w:p>
            <w:pPr>
              <w:spacing w:after="0"/>
              <w:rPr>
                <w:sz w:val="11"/>
                <w:szCs w:val="11"/>
                <w:color w:val="auto"/>
              </w:rPr>
            </w:pPr>
          </w:p>
        </w:tc>
        <w:tc>
          <w:tcPr>
            <w:tcW w:w="66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140" w:type="dxa"/>
            <w:vAlign w:val="bottom"/>
          </w:tcPr>
          <w:p>
            <w:pPr>
              <w:spacing w:after="0"/>
              <w:rPr>
                <w:sz w:val="11"/>
                <w:szCs w:val="11"/>
                <w:color w:val="auto"/>
              </w:rPr>
            </w:pPr>
          </w:p>
        </w:tc>
        <w:tc>
          <w:tcPr>
            <w:tcW w:w="660" w:type="dxa"/>
            <w:vAlign w:val="bottom"/>
            <w:gridSpan w:val="2"/>
          </w:tcPr>
          <w:p>
            <w:pPr>
              <w:jc w:val="right"/>
              <w:ind w:right="380"/>
              <w:spacing w:after="0" w:line="137" w:lineRule="exact"/>
              <w:rPr>
                <w:sz w:val="20"/>
                <w:szCs w:val="20"/>
                <w:color w:val="auto"/>
              </w:rPr>
            </w:pPr>
            <w:r>
              <w:rPr>
                <w:rFonts w:ascii="Times New Roman" w:cs="Times New Roman" w:eastAsia="Times New Roman" w:hAnsi="Times New Roman"/>
                <w:sz w:val="12"/>
                <w:szCs w:val="12"/>
                <w:color w:val="auto"/>
              </w:rPr>
              <w:t>of</w:t>
            </w:r>
          </w:p>
        </w:tc>
      </w:tr>
      <w:tr>
        <w:trPr>
          <w:trHeight w:val="140"/>
        </w:trPr>
        <w:tc>
          <w:tcPr>
            <w:tcW w:w="1400" w:type="dxa"/>
            <w:vAlign w:val="bottom"/>
          </w:tcPr>
          <w:p>
            <w:pPr>
              <w:spacing w:after="0"/>
              <w:rPr>
                <w:sz w:val="12"/>
                <w:szCs w:val="12"/>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6"/>
              </w:rPr>
              <w:t>Route 1,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4"/>
              </w:rPr>
              <w:t>I-93, Inc.</w:t>
            </w:r>
          </w:p>
        </w:tc>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Comm Ave. Inc.</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6"/>
              </w:rPr>
              <w:t>Star, Inc.</w:t>
            </w:r>
          </w:p>
        </w:tc>
        <w:tc>
          <w:tcPr>
            <w:tcW w:w="6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5"/>
              </w:rPr>
              <w:t>1172,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9"/>
              </w:rPr>
              <w:t>Street, Inc.</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Cadillac,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5"/>
              </w:rPr>
              <w:t>1186, Inc.</w:t>
            </w:r>
          </w:p>
        </w:tc>
        <w:tc>
          <w:tcPr>
            <w:tcW w:w="6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4"/>
              </w:rPr>
              <w:t>128,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44, Inc.</w:t>
            </w:r>
          </w:p>
        </w:tc>
        <w:tc>
          <w:tcPr>
            <w:tcW w:w="8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auto"/>
                <w:w w:val="96"/>
              </w:rPr>
              <w:t>Route 9, Inc.</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w w:val="97"/>
              </w:rPr>
              <w:t>Norwood, Inc.</w:t>
            </w:r>
          </w:p>
        </w:tc>
      </w:tr>
      <w:tr>
        <w:trPr>
          <w:trHeight w:val="116"/>
        </w:trPr>
        <w:tc>
          <w:tcPr>
            <w:tcW w:w="14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98"/>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Cash</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7,504,732</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106,856</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1,751,934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4,752,231</w:t>
            </w:r>
          </w:p>
        </w:tc>
        <w:tc>
          <w:tcPr>
            <w:tcW w:w="1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1,256,337</w:t>
            </w:r>
          </w:p>
        </w:tc>
        <w:tc>
          <w:tcPr>
            <w:tcW w:w="80" w:type="dxa"/>
            <w:vAlign w:val="bottom"/>
          </w:tcPr>
          <w:p>
            <w:pPr>
              <w:spacing w:after="0"/>
              <w:rPr>
                <w:sz w:val="10"/>
                <w:szCs w:val="10"/>
                <w:color w:val="auto"/>
              </w:rPr>
            </w:pPr>
          </w:p>
        </w:tc>
        <w:tc>
          <w:tcPr>
            <w:tcW w:w="16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3,696,240</w:t>
            </w:r>
          </w:p>
        </w:tc>
        <w:tc>
          <w:tcPr>
            <w:tcW w:w="180" w:type="dxa"/>
            <w:vAlign w:val="bottom"/>
          </w:tcPr>
          <w:p>
            <w:pPr>
              <w:spacing w:after="0"/>
              <w:rPr>
                <w:sz w:val="10"/>
                <w:szCs w:val="10"/>
                <w:color w:val="auto"/>
              </w:rPr>
            </w:pP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495,917</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934,579</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2,551,499</w:t>
            </w:r>
          </w:p>
        </w:tc>
        <w:tc>
          <w:tcPr>
            <w:tcW w:w="100" w:type="dxa"/>
            <w:vAlign w:val="bottom"/>
          </w:tcPr>
          <w:p>
            <w:pPr>
              <w:spacing w:after="0"/>
              <w:rPr>
                <w:sz w:val="10"/>
                <w:szCs w:val="10"/>
                <w:color w:val="auto"/>
              </w:rPr>
            </w:pPr>
          </w:p>
        </w:tc>
        <w:tc>
          <w:tcPr>
            <w:tcW w:w="1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1,355,523</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(558,890)</w:t>
            </w:r>
          </w:p>
        </w:tc>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1,476,050</w:t>
            </w: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5,000,000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2,500,000</w:t>
            </w: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Investments</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Accounts receivable, net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5,941,955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5,337,846</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1,263,011</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6,083,018</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6,699,938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2,445,293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2,086,834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2,574,837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2,028,024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1,418,151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375,933</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2,059,135</w:t>
            </w: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Inventories</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15,349,900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9"/>
              </w:rPr>
              <w:t>28,104,087</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12,197,412</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6"/>
              </w:rPr>
              <w:t>31,128,440</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31,826,044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18,108,799</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11,901,716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9,904,019</w:t>
            </w:r>
          </w:p>
        </w:tc>
        <w:tc>
          <w:tcPr>
            <w:tcW w:w="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9,296,719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6"/>
              </w:rPr>
              <w:t>12,137,789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36,223</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20,388,966</w:t>
            </w: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Due from related parties</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Prepaid taxes and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8,606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(19,494)</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3,700</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(30,012)</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32,834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54,775</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21,560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21,000</w:t>
            </w:r>
          </w:p>
        </w:tc>
        <w:tc>
          <w:tcPr>
            <w:tcW w:w="6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7,893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7,032</w:t>
            </w:r>
          </w:p>
        </w:tc>
      </w:tr>
      <w:tr>
        <w:trPr>
          <w:trHeight w:val="198"/>
        </w:trPr>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36"/>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33,805,193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35,529,295</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16,216,057</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42,933,677</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39,815,153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24,805,107</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16,506,027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15,434,435</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13,875,130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16,919,356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(146,734)</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26,431,183</w:t>
            </w: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06"/>
        </w:trPr>
        <w:tc>
          <w:tcPr>
            <w:tcW w:w="14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Property and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4"/>
        </w:trPr>
        <w:tc>
          <w:tcPr>
            <w:tcW w:w="1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761,889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1,940,889</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66,627</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644,532</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1,107,574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865,595</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3,534,382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104,816</w:t>
            </w:r>
          </w:p>
        </w:tc>
        <w:tc>
          <w:tcPr>
            <w:tcW w:w="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305,658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387,609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318,185</w:t>
            </w: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24"/>
        </w:trPr>
        <w:tc>
          <w:tcPr>
            <w:tcW w:w="14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Other Assets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Right of use assets, net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34,952,553</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9"/>
              </w:rPr>
              <w:t>14,798,635</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4,240,387</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7,579,658</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11,785,263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10,546,984</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3,259,368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4,455,815</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4,007,068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2,969,628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7,705,515</w:t>
            </w: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Due from owner</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33,703,774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3,586,953</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12,193,252</w:t>
            </w:r>
          </w:p>
        </w:tc>
        <w:tc>
          <w:tcPr>
            <w:tcW w:w="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8,027,404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10,435,572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1,792,778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6,256,270</w:t>
            </w: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11,635,097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6,947,500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27,490,055</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3,701,178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500,000</w:t>
            </w: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 in</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partnerships</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36"/>
        </w:trPr>
        <w:tc>
          <w:tcPr>
            <w:tcW w:w="140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Other assets</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6"/>
        </w:trPr>
        <w:tc>
          <w:tcPr>
            <w:tcW w:w="14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Other Assets</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68,656,327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18,385,588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16,433,639</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15,607,062</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22,220,835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14,248,162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5,052,146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10,712,085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15,642,165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9,917,128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27,490,055</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8,205,515</w:t>
            </w: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3"/>
              </w:rPr>
              <w:t>103,223,409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55,855,772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32,716,323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6"/>
              </w:rPr>
              <w:t>59,185,271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63,143,562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39,918,864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25,092,555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26,251,336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29,822,953</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27,224,093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27,343,321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34,954,883</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8"/>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98"/>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Lines of credit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Floorplan notes payable</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11,357,025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9"/>
              </w:rPr>
              <w:t>25,786,569</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10,822,896</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6"/>
              </w:rPr>
              <w:t>29,987,421</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32,937,624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15,878,893</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12,157,720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8,644,406</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9,575,374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9,188,022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36,218</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22,464,558</w:t>
            </w: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3,317,540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1,697,922</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402,479</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2,019,200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3,903,699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1,344,781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868,286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1,025,898</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1,114,182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862,376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1,320,227</w:t>
            </w: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financing lease liability</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433,122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 payable and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accrued expenses</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1,114,793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3,902,541</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1,988,824</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3,593,824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4,858,420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2,025,421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754,458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2,276,284</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695,976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1,777,657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264,959</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1,404,202</w:t>
            </w: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Income taxes payable</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46,077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19,216</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147,894</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14,847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73,322</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14,592</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14,768</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23,808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7,957</w:t>
            </w:r>
          </w:p>
        </w:tc>
      </w:tr>
      <w:tr>
        <w:trPr>
          <w:trHeight w:val="136"/>
        </w:trPr>
        <w:tc>
          <w:tcPr>
            <w:tcW w:w="140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auto"/>
              </w:rPr>
              <w:t>Debentures payable</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36"/>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15,835,435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31,387,032</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13,233,415</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35,748,339</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41,714,590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19,322,417</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14,213,586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11,961,180</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11,400,300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11,851,863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301,177</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25,196,944</w:t>
            </w: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24"/>
        </w:trPr>
        <w:tc>
          <w:tcPr>
            <w:tcW w:w="14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Insurance loss fund</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Operating lease</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liabilities, net of current</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31,635,013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12,687,803</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3,837,908</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5,560,459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7,657,694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9,202,203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2,391,082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3,430,020</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2,892,886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2,107,252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6,385,288</w:t>
            </w: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Financing lease liability,</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 of current portion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1,495,374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36"/>
        </w:trPr>
        <w:tc>
          <w:tcPr>
            <w:tcW w:w="140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auto"/>
              </w:rPr>
              <w:t>Due to owner</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27,563,571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504,014</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1,579,814</w:t>
            </w: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06"/>
        </w:trPr>
        <w:tc>
          <w:tcPr>
            <w:tcW w:w="14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Long-Term</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4"/>
        </w:trPr>
        <w:tc>
          <w:tcPr>
            <w:tcW w:w="1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59,198,584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12,687,803</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3,837,908</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5,560,459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7,657,694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9,706,217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3,886,456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3,430,020</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2,892,886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2,107,252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7,965,102</w:t>
            </w: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36"/>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75,034,019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44,074,835</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17,071,323</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41,308,798</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49,372,284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29,028,634</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18,100,042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15,391,200</w:t>
            </w:r>
          </w:p>
        </w:tc>
        <w:tc>
          <w:tcPr>
            <w:tcW w:w="6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14,293,186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13,959,115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301,177</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33,162,046</w:t>
            </w: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24"/>
        </w:trPr>
        <w:tc>
          <w:tcPr>
            <w:tcW w:w="14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Common stock</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5,000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50,000</w:t>
            </w: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Additional paid-in</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capital</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2,745,000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895,000</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299,000</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400,000</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370,000</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3,568,444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2,315,914</w:t>
            </w:r>
          </w:p>
        </w:tc>
        <w:tc>
          <w:tcPr>
            <w:tcW w:w="6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500,000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490,000</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Retained earnings</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25,144,390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10,880,937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15,345,000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6"/>
              </w:rPr>
              <w:t>17,376,473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13,671,278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10,510,230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3,423,969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8,534,222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15,019,767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12,164,978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26,542,144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1,742,837</w:t>
            </w: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Member's deficit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comprehensive income</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2"/>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6"/>
        </w:trPr>
        <w:tc>
          <w:tcPr>
            <w:tcW w:w="14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Equity (Deficit)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28,189,390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11,780,937</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15,645,000</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17,876,473</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13,771,278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10,890,230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6,992,513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10,860,136</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15,529,767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13,264,978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27,042,144</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1,792,837</w:t>
            </w: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06"/>
        </w:trPr>
        <w:tc>
          <w:tcPr>
            <w:tcW w:w="14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Liabilities and</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67"/>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3"/>
              </w:rPr>
              <w:t>103,223,409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55,855,772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32,716,323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6"/>
              </w:rPr>
              <w:t>59,185,271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63,143,562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39,918,864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25,092,555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26,251,336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29,822,953</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27,224,093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27,343,321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34,954,883</w:t>
            </w: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 – COMBINING BALANCE SHEETS (CONTINUED)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Herb</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Herb</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Herb</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800" w:type="dxa"/>
            <w:vAlign w:val="bottom"/>
            <w:gridSpan w:val="3"/>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70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2"/>
                <w:szCs w:val="12"/>
                <w:color w:val="auto"/>
                <w:w w:val="93"/>
              </w:rPr>
              <w:t>Chambers 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5"/>
              </w:rPr>
              <w:t>Dinger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5"/>
              </w:rPr>
              <w:t>Andover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w w:val="93"/>
              </w:rPr>
              <w:t>22 Brighton</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6"/>
              </w:rPr>
              <w:t>Boston Post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6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120" w:type="dxa"/>
            <w:vAlign w:val="bottom"/>
          </w:tcPr>
          <w:p>
            <w:pPr>
              <w:spacing w:after="0"/>
              <w:rPr>
                <w:sz w:val="11"/>
                <w:szCs w:val="11"/>
                <w:color w:val="auto"/>
              </w:rPr>
            </w:pPr>
          </w:p>
        </w:tc>
        <w:tc>
          <w:tcPr>
            <w:tcW w:w="660" w:type="dxa"/>
            <w:vAlign w:val="bottom"/>
            <w:gridSpan w:val="2"/>
          </w:tcPr>
          <w:p>
            <w:pPr>
              <w:jc w:val="right"/>
              <w:ind w:right="380"/>
              <w:spacing w:after="0" w:line="137" w:lineRule="exact"/>
              <w:rPr>
                <w:sz w:val="20"/>
                <w:szCs w:val="20"/>
                <w:color w:val="auto"/>
              </w:rPr>
            </w:pPr>
            <w:r>
              <w:rPr>
                <w:rFonts w:ascii="Times New Roman" w:cs="Times New Roman" w:eastAsia="Times New Roman" w:hAnsi="Times New Roman"/>
                <w:sz w:val="12"/>
                <w:szCs w:val="12"/>
                <w:color w:val="auto"/>
              </w:rPr>
              <w:t>of</w:t>
            </w:r>
          </w:p>
        </w:tc>
      </w:tr>
      <w:tr>
        <w:trPr>
          <w:trHeight w:val="140"/>
        </w:trPr>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4"/>
              </w:rPr>
              <w:t>I-95, Inc.</w:t>
            </w:r>
          </w:p>
        </w:tc>
        <w:tc>
          <w:tcPr>
            <w:tcW w:w="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Millbury, Inc.</w:t>
            </w: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5"/>
              </w:rPr>
              <w:t>Auburn,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5"/>
              </w:rPr>
              <w:t>1168, Inc.</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7"/>
              </w:rPr>
              <w:t>Ford, Inc.</w:t>
            </w:r>
          </w:p>
        </w:tc>
        <w:tc>
          <w:tcPr>
            <w:tcW w:w="10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Westborough, Inc.</w:t>
            </w:r>
          </w:p>
        </w:tc>
        <w:tc>
          <w:tcPr>
            <w:tcW w:w="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Street,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Ave., Inc.</w:t>
            </w:r>
          </w:p>
        </w:tc>
        <w:tc>
          <w:tcPr>
            <w:tcW w:w="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Road, Inc.</w:t>
            </w:r>
          </w:p>
        </w:tc>
        <w:tc>
          <w:tcPr>
            <w:tcW w:w="6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7"/>
              </w:rPr>
              <w:t>Wayland,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5"/>
              </w:rPr>
              <w:t>Natick, Inc.</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Sudbury, Inc.</w:t>
            </w:r>
          </w:p>
        </w:tc>
      </w:tr>
      <w:tr>
        <w:trPr>
          <w:trHeight w:val="116"/>
        </w:trPr>
        <w:tc>
          <w:tcPr>
            <w:tcW w:w="124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Assets</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98"/>
        </w:trPr>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24"/>
        </w:trPr>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Cash</w:t>
            </w:r>
          </w:p>
        </w:tc>
        <w:tc>
          <w:tcPr>
            <w:tcW w:w="1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355,146</w:t>
            </w:r>
          </w:p>
        </w:tc>
        <w:tc>
          <w:tcPr>
            <w:tcW w:w="18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1,453,890</w:t>
            </w:r>
          </w:p>
        </w:tc>
        <w:tc>
          <w:tcPr>
            <w:tcW w:w="16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771,746</w:t>
            </w:r>
          </w:p>
        </w:tc>
        <w:tc>
          <w:tcPr>
            <w:tcW w:w="80" w:type="dxa"/>
            <w:vAlign w:val="bottom"/>
          </w:tcPr>
          <w:p>
            <w:pPr>
              <w:spacing w:after="0"/>
              <w:rPr>
                <w:sz w:val="10"/>
                <w:szCs w:val="10"/>
                <w:color w:val="auto"/>
              </w:rPr>
            </w:pP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924,980</w:t>
            </w:r>
          </w:p>
        </w:tc>
        <w:tc>
          <w:tcPr>
            <w:tcW w:w="1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785,093</w:t>
            </w:r>
          </w:p>
        </w:tc>
        <w:tc>
          <w:tcPr>
            <w:tcW w:w="1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666,720</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757,638</w:t>
            </w:r>
          </w:p>
        </w:tc>
        <w:tc>
          <w:tcPr>
            <w:tcW w:w="14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46,135</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1,441,466</w:t>
            </w:r>
          </w:p>
        </w:tc>
        <w:tc>
          <w:tcPr>
            <w:tcW w:w="1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3,612,445</w:t>
            </w:r>
          </w:p>
        </w:tc>
        <w:tc>
          <w:tcPr>
            <w:tcW w:w="14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3,083,172</w:t>
            </w:r>
          </w:p>
        </w:tc>
        <w:tc>
          <w:tcPr>
            <w:tcW w:w="160" w:type="dxa"/>
            <w:vAlign w:val="bottom"/>
          </w:tcPr>
          <w:p>
            <w:pPr>
              <w:spacing w:after="0"/>
              <w:rPr>
                <w:sz w:val="10"/>
                <w:szCs w:val="10"/>
                <w:color w:val="auto"/>
              </w:rPr>
            </w:pPr>
          </w:p>
        </w:tc>
        <w:tc>
          <w:tcPr>
            <w:tcW w:w="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486,959</w:t>
            </w: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750,000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2,500,000</w:t>
            </w: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12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 receivable,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1,273,474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1,727,872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2,335,528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417,979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517,681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1,245,024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1,992,992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4,423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3,216,506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1,769,760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5,631,313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2,619,520</w:t>
            </w: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Inventories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96"/>
              </w:rPr>
              <w:t>11,356,189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6"/>
              </w:rPr>
              <w:t>13,292,353</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6"/>
              </w:rPr>
              <w:t>17,606,695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3,202,225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6"/>
              </w:rPr>
              <w:t>11,046,368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16,187,138</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8,868,410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259,785</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24,219,348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19,064,912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26,550,105</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19,402,341</w:t>
            </w:r>
          </w:p>
        </w:tc>
      </w:tr>
      <w:tr>
        <w:trPr>
          <w:trHeight w:val="108"/>
        </w:trPr>
        <w:tc>
          <w:tcPr>
            <w:tcW w:w="12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Due from related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parties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124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Prepaid taxes 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0"/>
        </w:trPr>
        <w:tc>
          <w:tcPr>
            <w:tcW w:w="1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47,374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452,412</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100,928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(1,790)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617,248</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9,357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2,250</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36,404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137,157</w:t>
            </w:r>
          </w:p>
        </w:tc>
        <w:tc>
          <w:tcPr>
            <w:tcW w:w="12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(13,613)</w:t>
            </w:r>
          </w:p>
        </w:tc>
      </w:tr>
      <w:tr>
        <w:trPr>
          <w:trHeight w:val="198"/>
        </w:trPr>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36"/>
        </w:trPr>
        <w:tc>
          <w:tcPr>
            <w:tcW w:w="124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14,532,183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19,426,527</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22,814,897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5,293,394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14,849,560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21,216,130</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13,628,397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312,593</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29,877,320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26,483,521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37,901,747</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24,995,207</w:t>
            </w:r>
          </w:p>
        </w:tc>
      </w:tr>
      <w:tr>
        <w:trPr>
          <w:trHeight w:val="191"/>
        </w:trPr>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06"/>
        </w:trPr>
        <w:tc>
          <w:tcPr>
            <w:tcW w:w="124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Property 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4"/>
        </w:trPr>
        <w:tc>
          <w:tcPr>
            <w:tcW w:w="1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335,298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136,068</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1,548,708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143,387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959,710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262,093</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442,352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1,649</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791,194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387,604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3,353,129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444,949</w:t>
            </w:r>
          </w:p>
        </w:tc>
      </w:tr>
      <w:tr>
        <w:trPr>
          <w:trHeight w:val="191"/>
        </w:trPr>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24"/>
        </w:trPr>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Other Assets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w w:val="97"/>
              </w:rPr>
              <w:t>Right of use assets, net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3,684,503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1,654,179</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8,179,060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4,224,014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5,779,537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3,661,523</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6,377,031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13,513,249</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2,509,090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6,827,142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5,539,925</w:t>
            </w: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Due from owner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5,676,447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6"/>
              </w:rPr>
              <w:t>11,552,578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8,370,478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15,489,943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1,507,500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822,517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2,557,482</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3,001,001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4,520,594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4,131,033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3,490,733</w:t>
            </w:r>
          </w:p>
        </w:tc>
      </w:tr>
      <w:tr>
        <w:trPr>
          <w:trHeight w:val="108"/>
        </w:trPr>
        <w:tc>
          <w:tcPr>
            <w:tcW w:w="124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 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0"/>
        </w:trPr>
        <w:tc>
          <w:tcPr>
            <w:tcW w:w="1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partnerships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36"/>
        </w:trPr>
        <w:tc>
          <w:tcPr>
            <w:tcW w:w="124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Other assets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91"/>
        </w:trPr>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6"/>
        </w:trPr>
        <w:tc>
          <w:tcPr>
            <w:tcW w:w="12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Other Assets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10,868,450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1,654,179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8,179,060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16,599,109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14,150,015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6,219,005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24,867,975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18,033,843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2,509,090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10,958,175</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9,030,658</w:t>
            </w:r>
          </w:p>
        </w:tc>
      </w:tr>
      <w:tr>
        <w:trPr>
          <w:trHeight w:val="191"/>
        </w:trPr>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49"/>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25,735,931</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21,216,774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32,542,665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22,035,890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29,959,285</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27,697,228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38,938,724</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314,242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48,702,357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29,380,215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52,213,051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34,470,814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88"/>
        </w:trPr>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4"/>
        </w:trPr>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98"/>
        </w:trPr>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24"/>
        </w:trPr>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Lines of credit</w:t>
            </w:r>
          </w:p>
        </w:tc>
        <w:tc>
          <w:tcPr>
            <w:tcW w:w="1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12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Floorplan notes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15,075,159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17,803,571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14,892,018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1,943,051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11,240,338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17,690,350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9,438,852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222,797</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18,013,437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19,373,848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25,506,132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17,312,189</w:t>
            </w:r>
          </w:p>
        </w:tc>
      </w:tr>
      <w:tr>
        <w:trPr>
          <w:trHeight w:val="108"/>
        </w:trPr>
        <w:tc>
          <w:tcPr>
            <w:tcW w:w="124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operating lease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0"/>
        </w:trPr>
        <w:tc>
          <w:tcPr>
            <w:tcW w:w="1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liabilities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981,541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437,089</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2,178,879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688,370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1,539,652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975,419</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807,981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1,627,626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962,535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2,489,427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1,706,477</w:t>
            </w:r>
          </w:p>
        </w:tc>
      </w:tr>
      <w:tr>
        <w:trPr>
          <w:trHeight w:val="108"/>
        </w:trPr>
        <w:tc>
          <w:tcPr>
            <w:tcW w:w="12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financing lease</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0"/>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liability</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124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 payable 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other accrued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0"/>
        </w:trPr>
        <w:tc>
          <w:tcPr>
            <w:tcW w:w="1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39,685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1,043,607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2,522,828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843,453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821,190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896,161</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822,718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17,458</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2,660,959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5,146,243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4,598,295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1,605,918</w:t>
            </w: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Income taxes payable</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5,567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(10,379)</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7,734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11,773</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26,932</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13,246</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2,445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(530)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16,631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8,205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10,543</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(5,043)</w:t>
            </w:r>
          </w:p>
        </w:tc>
      </w:tr>
      <w:tr>
        <w:trPr>
          <w:trHeight w:val="136"/>
        </w:trPr>
        <w:tc>
          <w:tcPr>
            <w:tcW w:w="124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auto"/>
              </w:rPr>
              <w:t>Debentures payable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91"/>
        </w:trPr>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36"/>
        </w:trPr>
        <w:tc>
          <w:tcPr>
            <w:tcW w:w="124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w w:val="96"/>
              </w:rPr>
              <w:t>Total Current Liabilities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16,101,952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19,273,888</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19,601,459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3,486,647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13,628,112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19,575,176</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11,071,996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239,725</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22,318,653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25,490,831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32,604,397</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20,619,541</w:t>
            </w:r>
          </w:p>
        </w:tc>
      </w:tr>
      <w:tr>
        <w:trPr>
          <w:trHeight w:val="191"/>
        </w:trPr>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24"/>
        </w:trPr>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Insurance loss fund</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124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Operating lease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liabilities, net of</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0"/>
        </w:trPr>
        <w:tc>
          <w:tcPr>
            <w:tcW w:w="1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current portion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2,702,962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1,217,091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6,000,182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3,535,644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4,239,885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2,686,103</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5,569,050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11,885,623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1,546,555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4,337,715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3,833,448</w:t>
            </w:r>
          </w:p>
        </w:tc>
      </w:tr>
      <w:tr>
        <w:trPr>
          <w:trHeight w:val="108"/>
        </w:trPr>
        <w:tc>
          <w:tcPr>
            <w:tcW w:w="12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Financing lease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w w:val="99"/>
              </w:rPr>
              <w:t>liability, net of current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0"/>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36"/>
        </w:trPr>
        <w:tc>
          <w:tcPr>
            <w:tcW w:w="124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auto"/>
              </w:rPr>
              <w:t>Due to owner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470,158</w:t>
            </w:r>
          </w:p>
        </w:tc>
        <w:tc>
          <w:tcPr>
            <w:tcW w:w="8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378,948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1,176,154</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212,450</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2,858,011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474,420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831,118</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3,383,245</w:t>
            </w:r>
          </w:p>
        </w:tc>
      </w:tr>
      <w:tr>
        <w:trPr>
          <w:trHeight w:val="191"/>
        </w:trPr>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06"/>
        </w:trPr>
        <w:tc>
          <w:tcPr>
            <w:tcW w:w="124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Long-Term</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4"/>
        </w:trPr>
        <w:tc>
          <w:tcPr>
            <w:tcW w:w="1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2,702,962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1,687,249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6,379,130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3,535,644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4,239,885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3,862,257</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5,569,050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212,450</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14,743,634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2,020,975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5,168,833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7,216,693</w:t>
            </w:r>
          </w:p>
        </w:tc>
      </w:tr>
      <w:tr>
        <w:trPr>
          <w:trHeight w:val="191"/>
        </w:trPr>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36"/>
        </w:trPr>
        <w:tc>
          <w:tcPr>
            <w:tcW w:w="124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18,804,914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20,961,137</w:t>
            </w:r>
          </w:p>
        </w:tc>
        <w:tc>
          <w:tcPr>
            <w:tcW w:w="8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25,980,589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7,022,291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17,867,997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23,437,433</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16,641,046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452,175</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37,062,287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27,511,806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37,773,230</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27,836,234</w:t>
            </w:r>
          </w:p>
        </w:tc>
      </w:tr>
      <w:tr>
        <w:trPr>
          <w:trHeight w:val="191"/>
        </w:trPr>
        <w:tc>
          <w:tcPr>
            <w:tcW w:w="12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24"/>
        </w:trPr>
        <w:tc>
          <w:tcPr>
            <w:tcW w:w="124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Common stock</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250,000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326,000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500,000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284,000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10,000</w:t>
            </w:r>
          </w:p>
        </w:tc>
      </w:tr>
      <w:tr>
        <w:trPr>
          <w:trHeight w:val="108"/>
        </w:trPr>
        <w:tc>
          <w:tcPr>
            <w:tcW w:w="124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Additional paid-in</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0"/>
        </w:trPr>
        <w:tc>
          <w:tcPr>
            <w:tcW w:w="12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155,821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50,000</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813,654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1,748,000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75,270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4,921,000</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2,590,000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25,000</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490,000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690,000</w:t>
            </w: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490,000</w:t>
            </w:r>
          </w:p>
        </w:tc>
      </w:tr>
      <w:tr>
        <w:trPr>
          <w:trHeight w:val="108"/>
        </w:trPr>
        <w:tc>
          <w:tcPr>
            <w:tcW w:w="12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Retained earnings</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6,525,196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(294,363)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5,422,422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12,765,599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11,732,018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(662,205)</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19,697,678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(163,933)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11,140,070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1,368,409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13,739,821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6,134,580</w:t>
            </w:r>
          </w:p>
        </w:tc>
      </w:tr>
      <w:tr>
        <w:trPr>
          <w:trHeight w:val="124"/>
        </w:trPr>
        <w:tc>
          <w:tcPr>
            <w:tcW w:w="124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Member's deficit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124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4"/>
        </w:trPr>
        <w:tc>
          <w:tcPr>
            <w:tcW w:w="124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comprehensive</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52"/>
        </w:trPr>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income (loss)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91"/>
        </w:trPr>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6"/>
        </w:trPr>
        <w:tc>
          <w:tcPr>
            <w:tcW w:w="12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Equity (Deficit)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6,931,017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255,637</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6,562,076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15,013,599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12,091,288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4,259,795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22,297,678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rPr>
              <w:t>(137,933)</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11,640,070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1,868,409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14,439,821</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6,634,580</w:t>
            </w:r>
          </w:p>
        </w:tc>
      </w:tr>
      <w:tr>
        <w:trPr>
          <w:trHeight w:val="191"/>
        </w:trPr>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06"/>
        </w:trPr>
        <w:tc>
          <w:tcPr>
            <w:tcW w:w="12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Liabilities and</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67"/>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25,735,931</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21,216,774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32,542,665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22,035,890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29,959,285</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27,697,228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38,938,724</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314,242</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48,702,357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29,380,215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52,213,051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34,470,814</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78"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5"/>
          <w:szCs w:val="15"/>
          <w:b w:val="1"/>
          <w:bCs w:val="1"/>
          <w:i w:val="1"/>
          <w:iCs w:val="1"/>
          <w:color w:val="auto"/>
        </w:rPr>
        <w:t>See independent auditors’ report.</w:t>
      </w:r>
    </w:p>
    <w:p>
      <w:pPr>
        <w:spacing w:after="0" w:line="22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6" w:name="page47"/>
    <w:bookmarkEnd w:id="46"/>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SCHEDULE I – COMBINING BALANCE SHEETS (CONTINUED)</w:t>
      </w:r>
    </w:p>
    <w:p>
      <w:pPr>
        <w:spacing w:after="0" w:line="20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2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6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Herb</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60" w:type="dxa"/>
            <w:vAlign w:val="bottom"/>
          </w:tcPr>
          <w:p>
            <w:pPr>
              <w:spacing w:after="0"/>
              <w:rPr>
                <w:sz w:val="12"/>
                <w:szCs w:val="12"/>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Total</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Jennings Road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37" w:lineRule="exact"/>
              <w:rPr>
                <w:sz w:val="20"/>
                <w:szCs w:val="20"/>
                <w:color w:val="auto"/>
              </w:rPr>
            </w:pPr>
            <w:r>
              <w:rPr>
                <w:rFonts w:ascii="Times New Roman" w:cs="Times New Roman" w:eastAsia="Times New Roman" w:hAnsi="Times New Roman"/>
                <w:sz w:val="12"/>
                <w:szCs w:val="12"/>
                <w:color w:val="auto"/>
              </w:rPr>
              <w:t>75 Otis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42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60" w:type="dxa"/>
            <w:vAlign w:val="bottom"/>
          </w:tcPr>
          <w:p>
            <w:pPr>
              <w:spacing w:after="0"/>
              <w:rPr>
                <w:sz w:val="11"/>
                <w:szCs w:val="11"/>
                <w:color w:val="auto"/>
              </w:rPr>
            </w:pPr>
          </w:p>
        </w:tc>
        <w:tc>
          <w:tcPr>
            <w:tcW w:w="6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0"/>
              </w:rPr>
              <w:t>Chambers</w:t>
            </w:r>
          </w:p>
        </w:tc>
        <w:tc>
          <w:tcPr>
            <w:tcW w:w="180" w:type="dxa"/>
            <w:vAlign w:val="bottom"/>
          </w:tcPr>
          <w:p>
            <w:pPr>
              <w:spacing w:after="0"/>
              <w:rPr>
                <w:sz w:val="11"/>
                <w:szCs w:val="11"/>
                <w:color w:val="auto"/>
              </w:rPr>
            </w:pPr>
          </w:p>
        </w:tc>
        <w:tc>
          <w:tcPr>
            <w:tcW w:w="64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60"/>
              <w:spacing w:after="0" w:line="137" w:lineRule="exact"/>
              <w:rPr>
                <w:sz w:val="20"/>
                <w:szCs w:val="20"/>
                <w:color w:val="auto"/>
              </w:rPr>
            </w:pPr>
            <w:r>
              <w:rPr>
                <w:rFonts w:ascii="Times New Roman" w:cs="Times New Roman" w:eastAsia="Times New Roman" w:hAnsi="Times New Roman"/>
                <w:sz w:val="12"/>
                <w:szCs w:val="12"/>
                <w:color w:val="auto"/>
              </w:rPr>
              <w:t>Boston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202"/>
              <w:spacing w:after="0" w:line="137" w:lineRule="exact"/>
              <w:rPr>
                <w:sz w:val="20"/>
                <w:szCs w:val="20"/>
                <w:color w:val="auto"/>
              </w:rPr>
            </w:pPr>
            <w:r>
              <w:rPr>
                <w:rFonts w:ascii="Times New Roman" w:cs="Times New Roman" w:eastAsia="Times New Roman" w:hAnsi="Times New Roman"/>
                <w:sz w:val="12"/>
                <w:szCs w:val="12"/>
                <w:color w:val="auto"/>
              </w:rPr>
              <w:t>395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38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20" w:type="dxa"/>
            <w:vAlign w:val="bottom"/>
          </w:tcPr>
          <w:p>
            <w:pPr>
              <w:spacing w:after="0"/>
              <w:rPr>
                <w:sz w:val="11"/>
                <w:szCs w:val="11"/>
                <w:color w:val="auto"/>
              </w:rPr>
            </w:pPr>
          </w:p>
        </w:tc>
        <w:tc>
          <w:tcPr>
            <w:tcW w:w="820" w:type="dxa"/>
            <w:vAlign w:val="bottom"/>
            <w:gridSpan w:val="3"/>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w w:val="96"/>
              </w:rPr>
              <w:t>62 Cambridge</w:t>
            </w:r>
          </w:p>
        </w:tc>
        <w:tc>
          <w:tcPr>
            <w:tcW w:w="60" w:type="dxa"/>
            <w:vAlign w:val="bottom"/>
          </w:tcPr>
          <w:p>
            <w:pPr>
              <w:spacing w:after="0"/>
              <w:rPr>
                <w:sz w:val="11"/>
                <w:szCs w:val="11"/>
                <w:color w:val="auto"/>
              </w:rPr>
            </w:pPr>
          </w:p>
        </w:tc>
        <w:tc>
          <w:tcPr>
            <w:tcW w:w="7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color w:val="auto"/>
                <w:w w:val="97"/>
              </w:rPr>
              <w:t>Retail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320"/>
              <w:spacing w:after="0" w:line="137" w:lineRule="exact"/>
              <w:rPr>
                <w:sz w:val="20"/>
                <w:szCs w:val="20"/>
                <w:color w:val="auto"/>
              </w:rPr>
            </w:pPr>
            <w:r>
              <w:rPr>
                <w:rFonts w:ascii="Times New Roman" w:cs="Times New Roman" w:eastAsia="Times New Roman" w:hAnsi="Times New Roman"/>
                <w:sz w:val="12"/>
                <w:szCs w:val="12"/>
                <w:color w:val="auto"/>
              </w:rPr>
              <w:t>HGC</w:t>
            </w:r>
          </w:p>
        </w:tc>
        <w:tc>
          <w:tcPr>
            <w:tcW w:w="780" w:type="dxa"/>
            <w:vAlign w:val="bottom"/>
            <w:gridSpan w:val="3"/>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w w:val="98"/>
              </w:rPr>
              <w:t>Management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0"/>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3"/>
              </w:rPr>
              <w:t>Street, Inc.,</w:t>
            </w:r>
          </w:p>
        </w:tc>
        <w:tc>
          <w:tcPr>
            <w:tcW w:w="2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Burlington, Inc.</w:t>
            </w:r>
          </w:p>
        </w:tc>
        <w:tc>
          <w:tcPr>
            <w:tcW w:w="6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0"/>
              </w:rPr>
              <w:t>1188, Inc.</w:t>
            </w:r>
          </w:p>
        </w:tc>
        <w:tc>
          <w:tcPr>
            <w:tcW w:w="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Millbury II, Inc.</w:t>
            </w:r>
          </w:p>
        </w:tc>
        <w:tc>
          <w:tcPr>
            <w:tcW w:w="20" w:type="dxa"/>
            <w:vAlign w:val="bottom"/>
          </w:tcPr>
          <w:p>
            <w:pPr>
              <w:spacing w:after="0"/>
              <w:rPr>
                <w:sz w:val="12"/>
                <w:szCs w:val="12"/>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w w:val="99"/>
              </w:rPr>
              <w:t>Turnpike, Inc.</w:t>
            </w:r>
          </w:p>
        </w:tc>
        <w:tc>
          <w:tcPr>
            <w:tcW w:w="2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Broadway, Inc.</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Brookline, Inc.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Street, Inc.</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5"/>
              </w:rPr>
              <w:t>Dealerships</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Holdings, LLC</w:t>
            </w:r>
          </w:p>
        </w:tc>
        <w:tc>
          <w:tcPr>
            <w:tcW w:w="12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Corp.</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Eliminations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Total</w:t>
            </w:r>
          </w:p>
        </w:tc>
      </w:tr>
      <w:tr>
        <w:trPr>
          <w:trHeight w:val="116"/>
        </w:trPr>
        <w:tc>
          <w:tcPr>
            <w:tcW w:w="9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98"/>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24"/>
        </w:trPr>
        <w:tc>
          <w:tcPr>
            <w:tcW w:w="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Cash</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659,698</w:t>
            </w:r>
          </w:p>
        </w:tc>
        <w:tc>
          <w:tcPr>
            <w:tcW w:w="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313,793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778,298</w:t>
            </w:r>
          </w:p>
        </w:tc>
        <w:tc>
          <w:tcPr>
            <w:tcW w:w="1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487,916</w:t>
            </w:r>
          </w:p>
        </w:tc>
        <w:tc>
          <w:tcPr>
            <w:tcW w:w="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2,190,028</w:t>
            </w:r>
          </w:p>
        </w:tc>
        <w:tc>
          <w:tcPr>
            <w:tcW w:w="80" w:type="dxa"/>
            <w:vAlign w:val="bottom"/>
          </w:tcPr>
          <w:p>
            <w:pPr>
              <w:spacing w:after="0"/>
              <w:rPr>
                <w:sz w:val="10"/>
                <w:szCs w:val="10"/>
                <w:color w:val="auto"/>
              </w:rPr>
            </w:pPr>
          </w:p>
        </w:tc>
        <w:tc>
          <w:tcPr>
            <w:tcW w:w="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739,118</w:t>
            </w:r>
          </w:p>
        </w:tc>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2,207,995</w:t>
            </w:r>
          </w:p>
        </w:tc>
        <w:tc>
          <w:tcPr>
            <w:tcW w:w="1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994,491</w:t>
            </w:r>
          </w:p>
        </w:tc>
        <w:tc>
          <w:tcPr>
            <w:tcW w:w="10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48,079,735</w:t>
            </w:r>
          </w:p>
        </w:tc>
        <w:tc>
          <w:tcPr>
            <w:tcW w:w="18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11,400</w:t>
            </w:r>
          </w:p>
        </w:tc>
        <w:tc>
          <w:tcPr>
            <w:tcW w:w="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32,661,485</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80,752,620</w:t>
            </w: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3,500,000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750,000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1,250,000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750,000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50,000,000</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(50,000,000)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Investments</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74,556,161</w:t>
            </w:r>
          </w:p>
        </w:tc>
        <w:tc>
          <w:tcPr>
            <w:tcW w:w="12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74,556,161</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receivable,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339,599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924,054</w:t>
            </w: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4,151,848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82,010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440,892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3,497,637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1,156,725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1,666,229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73,325,041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(410,726)</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72,914,315</w:t>
            </w: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Inventories</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6,726,625</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6,856,831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2"/>
              </w:rPr>
              <w:t>31,401,028</w:t>
            </w:r>
          </w:p>
        </w:tc>
        <w:tc>
          <w:tcPr>
            <w:tcW w:w="18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3,306,304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15,015,038</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11,153,104</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11,526,880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15,044,894</w:t>
            </w:r>
          </w:p>
        </w:tc>
        <w:tc>
          <w:tcPr>
            <w:tcW w:w="60" w:type="dxa"/>
            <w:vAlign w:val="bottom"/>
          </w:tcPr>
          <w:p>
            <w:pPr>
              <w:spacing w:after="0"/>
              <w:rPr>
                <w:sz w:val="10"/>
                <w:szCs w:val="10"/>
                <w:color w:val="auto"/>
              </w:rPr>
            </w:pPr>
          </w:p>
        </w:tc>
        <w:tc>
          <w:tcPr>
            <w:tcW w:w="7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472,466,687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472,466,687</w:t>
            </w:r>
          </w:p>
        </w:tc>
        <w:tc>
          <w:tcPr>
            <w:tcW w:w="40" w:type="dxa"/>
            <w:vAlign w:val="bottom"/>
          </w:tcPr>
          <w:p>
            <w:pPr>
              <w:spacing w:after="0"/>
              <w:rPr>
                <w:sz w:val="10"/>
                <w:szCs w:val="10"/>
                <w:color w:val="auto"/>
              </w:rPr>
            </w:pP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Due from</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related parties</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5,411,918</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(5,013,039)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398,879</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Prepaid taxes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and expenses</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36,339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209,040</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15,197</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36,913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(10,736)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(13,280)</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16,667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(24,409)</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1,760,658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291,580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2,052,238</w:t>
            </w:r>
          </w:p>
        </w:tc>
        <w:tc>
          <w:tcPr>
            <w:tcW w:w="40" w:type="dxa"/>
            <w:vAlign w:val="bottom"/>
          </w:tcPr>
          <w:p>
            <w:pPr>
              <w:spacing w:after="0"/>
              <w:rPr>
                <w:sz w:val="12"/>
                <w:szCs w:val="12"/>
                <w:color w:val="auto"/>
              </w:rPr>
            </w:pPr>
          </w:p>
        </w:tc>
      </w:tr>
      <w:tr>
        <w:trPr>
          <w:trHeight w:val="198"/>
        </w:trPr>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Current</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4"/>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9,262,261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9,803,718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2"/>
              </w:rPr>
              <w:t>39,846,371</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4,663,143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18,885,222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16,376,579</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15,658,267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17,681,205</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645,632,121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74,567,561</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37,954,257</w:t>
            </w:r>
          </w:p>
        </w:tc>
        <w:tc>
          <w:tcPr>
            <w:tcW w:w="6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(55,013,039)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703,140,900</w:t>
            </w:r>
          </w:p>
        </w:tc>
        <w:tc>
          <w:tcPr>
            <w:tcW w:w="40" w:type="dxa"/>
            <w:vAlign w:val="bottom"/>
          </w:tcPr>
          <w:p>
            <w:pPr>
              <w:spacing w:after="0"/>
              <w:rPr>
                <w:sz w:val="13"/>
                <w:szCs w:val="13"/>
                <w:color w:val="auto"/>
              </w:rPr>
            </w:pPr>
          </w:p>
        </w:tc>
      </w:tr>
      <w:tr>
        <w:trPr>
          <w:trHeight w:val="191"/>
        </w:trPr>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Property</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4"/>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Equipment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140,134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157,010</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693,717</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28,570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150,432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290,735</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380,692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454,038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21,139,225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541,280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21,680,505</w:t>
            </w:r>
          </w:p>
        </w:tc>
      </w:tr>
      <w:tr>
        <w:trPr>
          <w:trHeight w:val="191"/>
        </w:trPr>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24"/>
        </w:trPr>
        <w:tc>
          <w:tcPr>
            <w:tcW w:w="9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Other Assets</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Right of use</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assets, net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3,481,511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961,341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21,000,053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1,050,938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5,919,849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2,849,553</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11,407,585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6,560,810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221,481,767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221,678,732</w:t>
            </w:r>
          </w:p>
        </w:tc>
        <w:tc>
          <w:tcPr>
            <w:tcW w:w="40" w:type="dxa"/>
            <w:vAlign w:val="bottom"/>
            <w:shd w:val="clear" w:color="auto" w:fill="CCEEFF"/>
          </w:tcPr>
          <w:p>
            <w:pPr>
              <w:spacing w:after="0"/>
              <w:rPr>
                <w:sz w:val="12"/>
                <w:szCs w:val="12"/>
                <w:color w:val="auto"/>
              </w:rPr>
            </w:pP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Due from</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owner</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549,547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163,707,648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(58,770,705)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104,936,943</w:t>
            </w:r>
          </w:p>
        </w:tc>
        <w:tc>
          <w:tcPr>
            <w:tcW w:w="40" w:type="dxa"/>
            <w:vAlign w:val="bottom"/>
          </w:tcPr>
          <w:p>
            <w:pPr>
              <w:spacing w:after="0"/>
              <w:rPr>
                <w:sz w:val="12"/>
                <w:szCs w:val="12"/>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785,700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6,595,000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31,612,738</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31,612,738</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 in</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partnerships</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1,151,174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1,151,174</w:t>
            </w:r>
          </w:p>
        </w:tc>
        <w:tc>
          <w:tcPr>
            <w:tcW w:w="40" w:type="dxa"/>
            <w:vAlign w:val="bottom"/>
          </w:tcPr>
          <w:p>
            <w:pPr>
              <w:spacing w:after="0"/>
              <w:rPr>
                <w:sz w:val="12"/>
                <w:szCs w:val="12"/>
                <w:color w:val="auto"/>
              </w:rPr>
            </w:pPr>
          </w:p>
        </w:tc>
      </w:tr>
      <w:tr>
        <w:trPr>
          <w:trHeight w:val="136"/>
        </w:trPr>
        <w:tc>
          <w:tcPr>
            <w:tcW w:w="90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Other assets</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261,453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261,453</w:t>
            </w:r>
          </w:p>
        </w:tc>
      </w:tr>
      <w:tr>
        <w:trPr>
          <w:trHeight w:val="191"/>
        </w:trPr>
        <w:tc>
          <w:tcPr>
            <w:tcW w:w="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3,481,511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961,341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21,000,053</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1,050,938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6,705,549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2,849,553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18,552,132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6,560,810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416,802,153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1,609,592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(58,770,705)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359,641,040</w:t>
            </w:r>
          </w:p>
        </w:tc>
        <w:tc>
          <w:tcPr>
            <w:tcW w:w="40" w:type="dxa"/>
            <w:vAlign w:val="bottom"/>
            <w:shd w:val="clear" w:color="auto" w:fill="CCEEFF"/>
          </w:tcPr>
          <w:p>
            <w:pPr>
              <w:spacing w:after="0"/>
              <w:rPr>
                <w:sz w:val="13"/>
                <w:szCs w:val="13"/>
                <w:color w:val="auto"/>
              </w:rPr>
            </w:pPr>
          </w:p>
        </w:tc>
      </w:tr>
      <w:tr>
        <w:trPr>
          <w:trHeight w:val="191"/>
        </w:trPr>
        <w:tc>
          <w:tcPr>
            <w:tcW w:w="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4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12,883,906</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10,922,069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61,540,141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5,742,651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25,741,203</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19,516,867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34,591,091</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24,696,053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2"/>
              </w:rPr>
              <w:t>1,083,573,499</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74,567,561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40,105,129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4"/>
              </w:rPr>
              <w:t>(113,783,744)</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1,084,462,445</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88"/>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Liabilities and</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98"/>
        </w:trPr>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Current</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Lines of credit</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Floorplan</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notes payable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7,057,012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6,619,863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31,036,016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3,782,765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14,691,786</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12,607,787</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9,544,600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10,413,185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453,101,482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453,101,482</w:t>
            </w:r>
          </w:p>
        </w:tc>
        <w:tc>
          <w:tcPr>
            <w:tcW w:w="40" w:type="dxa"/>
            <w:vAlign w:val="bottom"/>
            <w:shd w:val="clear" w:color="auto" w:fill="CCEEFF"/>
          </w:tcPr>
          <w:p>
            <w:pPr>
              <w:spacing w:after="0"/>
              <w:rPr>
                <w:sz w:val="12"/>
                <w:szCs w:val="12"/>
                <w:color w:val="auto"/>
              </w:rPr>
            </w:pP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portion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operating lease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liabilities</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927,465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256,099</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2,895,413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134,209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803,523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759,113</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1,268,931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837,840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40,154,179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53,633</w:t>
            </w: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40,207,812</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portion of</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financing lease</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liability</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433,122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433,122</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payable and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other accrued</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703,602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432,346</w:t>
            </w: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2,375,313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216,426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906,348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371,317</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1,327,907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2,186,233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54,195,365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13,305,931</w:t>
            </w:r>
          </w:p>
        </w:tc>
        <w:tc>
          <w:tcPr>
            <w:tcW w:w="6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(5,013,039)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62,488,258</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Income taxes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6,266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(461)</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1,095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27,225</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64,194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545,117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545,117</w:t>
            </w:r>
          </w:p>
        </w:tc>
        <w:tc>
          <w:tcPr>
            <w:tcW w:w="40" w:type="dxa"/>
            <w:vAlign w:val="bottom"/>
            <w:shd w:val="clear" w:color="auto" w:fill="CCEEFF"/>
          </w:tcPr>
          <w:p>
            <w:pPr>
              <w:spacing w:after="0"/>
              <w:rPr>
                <w:sz w:val="12"/>
                <w:szCs w:val="12"/>
                <w:color w:val="auto"/>
              </w:rPr>
            </w:pP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Debentures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2"/>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payable</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50,000,000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(50,000,000)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91"/>
        </w:trPr>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Current</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4"/>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8,688,079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7,314,574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2"/>
              </w:rPr>
              <w:t>36,306,281</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4,131,400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16,402,752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13,765,442</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12,140,631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13,501,452</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548,429,265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50,000,000</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13,359,564</w:t>
            </w:r>
          </w:p>
        </w:tc>
        <w:tc>
          <w:tcPr>
            <w:tcW w:w="6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(55,013,039)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556,775,791</w:t>
            </w:r>
          </w:p>
        </w:tc>
        <w:tc>
          <w:tcPr>
            <w:tcW w:w="40" w:type="dxa"/>
            <w:vAlign w:val="bottom"/>
          </w:tcPr>
          <w:p>
            <w:pPr>
              <w:spacing w:after="0"/>
              <w:rPr>
                <w:sz w:val="13"/>
                <w:szCs w:val="13"/>
                <w:color w:val="auto"/>
              </w:rPr>
            </w:pPr>
          </w:p>
        </w:tc>
      </w:tr>
      <w:tr>
        <w:trPr>
          <w:trHeight w:val="191"/>
        </w:trPr>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Long-Term</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2"/>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Insurance loss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fund</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3,780,700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3,780,700</w:t>
            </w:r>
          </w:p>
        </w:tc>
        <w:tc>
          <w:tcPr>
            <w:tcW w:w="40" w:type="dxa"/>
            <w:vAlign w:val="bottom"/>
            <w:shd w:val="clear" w:color="auto" w:fill="CCEEFF"/>
          </w:tcPr>
          <w:p>
            <w:pPr>
              <w:spacing w:after="0"/>
              <w:rPr>
                <w:sz w:val="12"/>
                <w:szCs w:val="12"/>
                <w:color w:val="auto"/>
              </w:rPr>
            </w:pP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Operating</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lease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liabilities, net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of current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2,554,046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705,243</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2"/>
              </w:rPr>
              <w:t>18,104,641</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916,730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5,116,326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2,090,440</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10,676,205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5,722,970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181,228,467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143,332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181,371,799</w:t>
            </w:r>
          </w:p>
        </w:tc>
        <w:tc>
          <w:tcPr>
            <w:tcW w:w="40" w:type="dxa"/>
            <w:vAlign w:val="bottom"/>
          </w:tcPr>
          <w:p>
            <w:pPr>
              <w:spacing w:after="0"/>
              <w:rPr>
                <w:sz w:val="12"/>
                <w:szCs w:val="12"/>
                <w:color w:val="auto"/>
              </w:rPr>
            </w:pP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Financing</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lease liability,</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net of current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1,495,374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1,495,374</w:t>
            </w:r>
          </w:p>
        </w:tc>
        <w:tc>
          <w:tcPr>
            <w:tcW w:w="40" w:type="dxa"/>
            <w:vAlign w:val="bottom"/>
            <w:shd w:val="clear" w:color="auto" w:fill="CCEEFF"/>
          </w:tcPr>
          <w:p>
            <w:pPr>
              <w:spacing w:after="0"/>
              <w:rPr>
                <w:sz w:val="12"/>
                <w:szCs w:val="12"/>
                <w:color w:val="auto"/>
              </w:rPr>
            </w:pPr>
          </w:p>
        </w:tc>
      </w:tr>
      <w:tr>
        <w:trPr>
          <w:trHeight w:val="136"/>
        </w:trPr>
        <w:tc>
          <w:tcPr>
            <w:tcW w:w="90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auto"/>
              </w:rPr>
              <w:t>Due to owner</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2,216,700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1,327,709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5,958,575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1,002,042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1,653,178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2,865,626</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4,399,469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58,855,202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(84,497)</w:t>
            </w:r>
          </w:p>
        </w:tc>
        <w:tc>
          <w:tcPr>
            <w:tcW w:w="6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(58,770,705)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91"/>
        </w:trPr>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8"/>
              </w:rPr>
              <w:t>Total Long-Term</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4"/>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4,770,746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2,032,952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2"/>
              </w:rPr>
              <w:t>24,063,216</w:t>
            </w:r>
          </w:p>
        </w:tc>
        <w:tc>
          <w:tcPr>
            <w:tcW w:w="18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1,918,772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6,769,504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4,956,066</w:t>
            </w: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10,676,205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10,122,439</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241,579,043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3,839,535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(58,770,705)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186,647,873</w:t>
            </w:r>
          </w:p>
        </w:tc>
        <w:tc>
          <w:tcPr>
            <w:tcW w:w="40" w:type="dxa"/>
            <w:vAlign w:val="bottom"/>
          </w:tcPr>
          <w:p>
            <w:pPr>
              <w:spacing w:after="0"/>
              <w:rPr>
                <w:sz w:val="13"/>
                <w:szCs w:val="13"/>
                <w:color w:val="auto"/>
              </w:rPr>
            </w:pPr>
          </w:p>
        </w:tc>
      </w:tr>
      <w:tr>
        <w:trPr>
          <w:trHeight w:val="191"/>
        </w:trPr>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36"/>
        </w:trPr>
        <w:tc>
          <w:tcPr>
            <w:tcW w:w="90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13,458,825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9,347,526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2"/>
              </w:rPr>
              <w:t>60,369,497</w:t>
            </w:r>
          </w:p>
        </w:tc>
        <w:tc>
          <w:tcPr>
            <w:tcW w:w="18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6,050,172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23,172,256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18,721,508</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22,816,836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23,623,891</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790,008,308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50,000,000</w:t>
            </w:r>
          </w:p>
        </w:tc>
        <w:tc>
          <w:tcPr>
            <w:tcW w:w="12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17,199,099</w:t>
            </w:r>
          </w:p>
        </w:tc>
        <w:tc>
          <w:tcPr>
            <w:tcW w:w="60" w:type="dxa"/>
            <w:vAlign w:val="bottom"/>
          </w:tcPr>
          <w:p>
            <w:pPr>
              <w:spacing w:after="0"/>
              <w:rPr>
                <w:sz w:val="11"/>
                <w:szCs w:val="11"/>
                <w:color w:val="auto"/>
              </w:rPr>
            </w:pPr>
          </w:p>
        </w:tc>
        <w:tc>
          <w:tcPr>
            <w:tcW w:w="70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w w:val="94"/>
              </w:rPr>
              <w:t>(113,783,744)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743,423,664</w:t>
            </w:r>
          </w:p>
        </w:tc>
        <w:tc>
          <w:tcPr>
            <w:tcW w:w="40" w:type="dxa"/>
            <w:vAlign w:val="bottom"/>
          </w:tcPr>
          <w:p>
            <w:pPr>
              <w:spacing w:after="0"/>
              <w:rPr>
                <w:sz w:val="11"/>
                <w:szCs w:val="11"/>
                <w:color w:val="auto"/>
              </w:rPr>
            </w:pPr>
          </w:p>
        </w:tc>
      </w:tr>
      <w:tr>
        <w:trPr>
          <w:trHeight w:val="191"/>
        </w:trPr>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124"/>
        </w:trPr>
        <w:tc>
          <w:tcPr>
            <w:tcW w:w="9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Common stock</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2,688,100</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2,689,100</w:t>
            </w:r>
          </w:p>
        </w:tc>
        <w:tc>
          <w:tcPr>
            <w:tcW w:w="40" w:type="dxa"/>
            <w:vAlign w:val="bottom"/>
            <w:shd w:val="clear" w:color="auto" w:fill="CCEEFF"/>
          </w:tcPr>
          <w:p>
            <w:pPr>
              <w:spacing w:after="0"/>
              <w:rPr>
                <w:sz w:val="10"/>
                <w:szCs w:val="10"/>
                <w:color w:val="auto"/>
              </w:rPr>
            </w:pP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Additional</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 capital</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490,000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40,000</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490,000</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90,000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490,000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4,040,000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30,882,103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543,956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31,426,059</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Retained</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earnings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(1,074,919)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1,524,543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670,644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(407,521)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2,068,947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785,359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7,724,255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942,162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259,994,987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22,361,074</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282,356,061</w:t>
            </w:r>
          </w:p>
        </w:tc>
        <w:tc>
          <w:tcPr>
            <w:tcW w:w="40" w:type="dxa"/>
            <w:vAlign w:val="bottom"/>
            <w:shd w:val="clear" w:color="auto" w:fill="CCEEFF"/>
          </w:tcPr>
          <w:p>
            <w:pPr>
              <w:spacing w:after="0"/>
              <w:rPr>
                <w:sz w:val="12"/>
                <w:szCs w:val="12"/>
                <w:color w:val="auto"/>
              </w:rPr>
            </w:pP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Member's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24,236,020</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24,236,020</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comprehensive</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income (loss)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331,541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331,541</w:t>
            </w:r>
          </w:p>
        </w:tc>
      </w:tr>
      <w:tr>
        <w:trPr>
          <w:trHeight w:val="191"/>
        </w:trPr>
        <w:tc>
          <w:tcPr>
            <w:tcW w:w="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Equity</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(574,919)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1,574,543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1,170,644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(307,521)</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2,568,947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795,359</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11,774,255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1,072,162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293,565,190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24,567,561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22,906,030</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341,038,781</w:t>
            </w:r>
          </w:p>
        </w:tc>
        <w:tc>
          <w:tcPr>
            <w:tcW w:w="40" w:type="dxa"/>
            <w:vAlign w:val="bottom"/>
            <w:shd w:val="clear" w:color="auto" w:fill="CCEEFF"/>
          </w:tcPr>
          <w:p>
            <w:pPr>
              <w:spacing w:after="0"/>
              <w:rPr>
                <w:sz w:val="13"/>
                <w:szCs w:val="13"/>
                <w:color w:val="auto"/>
              </w:rPr>
            </w:pPr>
          </w:p>
        </w:tc>
      </w:tr>
      <w:tr>
        <w:trPr>
          <w:trHeight w:val="191"/>
        </w:trPr>
        <w:tc>
          <w:tcPr>
            <w:tcW w:w="9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67"/>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and Equity</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12,883,906</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10,922,069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61,540,141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5,742,651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25,741,203</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19,516,867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34,591,091</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24,696,053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2"/>
              </w:rPr>
              <w:t>1,083,573,499</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74,567,561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40,105,129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4"/>
              </w:rPr>
              <w:t>(113,783,744)</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1,084,462,445</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ectPr>
          <w:pgSz w:w="11900" w:h="16838" w:orient="portrait"/>
          <w:cols w:equalWidth="0" w:num="1">
            <w:col w:w="11320"/>
          </w:cols>
          <w:pgMar w:left="320" w:top="838" w:right="259" w:bottom="0" w:gutter="0" w:footer="0" w:header="0"/>
        </w:sectPr>
      </w:pPr>
    </w:p>
    <w:bookmarkStart w:id="47" w:name="page48"/>
    <w:bookmarkEnd w:id="47"/>
    <w:p>
      <w:pPr>
        <w:ind w:left="7860"/>
        <w:spacing w:after="0"/>
        <w:rPr>
          <w:sz w:val="20"/>
          <w:szCs w:val="20"/>
          <w:color w:val="auto"/>
        </w:rPr>
      </w:pPr>
      <w:r>
        <w:rPr>
          <w:rFonts w:ascii="Times New Roman" w:cs="Times New Roman" w:eastAsia="Times New Roman" w:hAnsi="Times New Roman"/>
          <w:sz w:val="15"/>
          <w:szCs w:val="15"/>
          <w:b w:val="1"/>
          <w:bCs w:val="1"/>
          <w:i w:val="1"/>
          <w:iCs w:val="1"/>
          <w:color w:val="auto"/>
        </w:rPr>
        <w:t>See independent auditors’ report.</w:t>
      </w:r>
    </w:p>
    <w:p>
      <w:pPr>
        <w:sectPr>
          <w:pgSz w:w="11900" w:h="16838" w:orient="portrait"/>
          <w:cols w:equalWidth="0" w:num="1">
            <w:col w:w="10120"/>
          </w:cols>
          <w:pgMar w:left="1440" w:top="317"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26670</wp:posOffset>
            </wp:positionV>
            <wp:extent cx="714375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317" w:right="339"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 – COMBINING STATEMENTS OF OPERATIONS AND COMPREHENSIVE INCOME (LOSS)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Herb</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Herb Chambers</w:t>
            </w:r>
          </w:p>
        </w:tc>
        <w:tc>
          <w:tcPr>
            <w:tcW w:w="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Herb</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Herb</w:t>
            </w:r>
          </w:p>
        </w:tc>
        <w:tc>
          <w:tcPr>
            <w:tcW w:w="6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1"/>
              </w:rPr>
              <w:t>Herb</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8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2"/>
                <w:szCs w:val="12"/>
                <w:color w:val="auto"/>
              </w:rPr>
              <w:t>Silver</w:t>
            </w:r>
          </w:p>
        </w:tc>
        <w:tc>
          <w:tcPr>
            <w:tcW w:w="80" w:type="dxa"/>
            <w:vAlign w:val="bottom"/>
          </w:tcPr>
          <w:p>
            <w:pPr>
              <w:spacing w:after="0"/>
              <w:rPr>
                <w:sz w:val="11"/>
                <w:szCs w:val="11"/>
                <w:color w:val="auto"/>
              </w:rPr>
            </w:pPr>
          </w:p>
        </w:tc>
        <w:tc>
          <w:tcPr>
            <w:tcW w:w="68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w w:val="97"/>
              </w:rPr>
              <w:t>Cambridge</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60" w:type="dxa"/>
            <w:vAlign w:val="bottom"/>
          </w:tcPr>
          <w:p>
            <w:pPr>
              <w:spacing w:after="0"/>
              <w:rPr>
                <w:sz w:val="11"/>
                <w:szCs w:val="11"/>
                <w:color w:val="auto"/>
              </w:rPr>
            </w:pPr>
          </w:p>
        </w:tc>
        <w:tc>
          <w:tcPr>
            <w:tcW w:w="72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80" w:type="dxa"/>
            <w:vAlign w:val="bottom"/>
          </w:tcPr>
          <w:p>
            <w:pPr>
              <w:spacing w:after="0"/>
              <w:rPr>
                <w:sz w:val="11"/>
                <w:szCs w:val="11"/>
                <w:color w:val="auto"/>
              </w:rPr>
            </w:pPr>
          </w:p>
        </w:tc>
        <w:tc>
          <w:tcPr>
            <w:tcW w:w="7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140" w:type="dxa"/>
            <w:vAlign w:val="bottom"/>
          </w:tcPr>
          <w:p>
            <w:pPr>
              <w:spacing w:after="0"/>
              <w:rPr>
                <w:sz w:val="11"/>
                <w:szCs w:val="11"/>
                <w:color w:val="auto"/>
              </w:rPr>
            </w:pPr>
          </w:p>
        </w:tc>
        <w:tc>
          <w:tcPr>
            <w:tcW w:w="660" w:type="dxa"/>
            <w:vAlign w:val="bottom"/>
            <w:gridSpan w:val="3"/>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9"/>
              </w:rPr>
              <w:t>of</w:t>
            </w:r>
          </w:p>
        </w:tc>
      </w:tr>
      <w:tr>
        <w:trPr>
          <w:trHeight w:val="140"/>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auto"/>
                <w:w w:val="96"/>
              </w:rPr>
              <w:t>Route 1, Inc.</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I-93, Inc.</w:t>
            </w: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4"/>
              </w:rPr>
              <w:t>Comm Ave.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Star, Inc.</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1172,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9"/>
              </w:rPr>
              <w:t>Street, Inc.</w:t>
            </w:r>
          </w:p>
        </w:tc>
        <w:tc>
          <w:tcPr>
            <w:tcW w:w="7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Cadillac, Inc.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w w:val="90"/>
              </w:rPr>
              <w:t>1186, Inc.</w:t>
            </w:r>
          </w:p>
        </w:tc>
        <w:tc>
          <w:tcPr>
            <w:tcW w:w="6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4"/>
              </w:rPr>
              <w:t>128, Inc.</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3"/>
              </w:rPr>
              <w:t>44, Inc.</w:t>
            </w:r>
          </w:p>
        </w:tc>
        <w:tc>
          <w:tcPr>
            <w:tcW w:w="6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auto"/>
                <w:w w:val="96"/>
              </w:rPr>
              <w:t>Route 9, Inc.</w:t>
            </w:r>
          </w:p>
        </w:tc>
        <w:tc>
          <w:tcPr>
            <w:tcW w:w="8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color w:val="auto"/>
                <w:w w:val="97"/>
              </w:rPr>
              <w:t>Norwood, Inc.</w:t>
            </w:r>
          </w:p>
        </w:tc>
      </w:tr>
      <w:tr>
        <w:trPr>
          <w:trHeight w:val="116"/>
        </w:trPr>
        <w:tc>
          <w:tcPr>
            <w:tcW w:w="122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Sales</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290,361,173</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177,212,521</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73,179,995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3"/>
              </w:rPr>
              <w:t>186,154,133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225,280,705</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114,527,626</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66,607,108</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89,363,139</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90,779,210</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3"/>
              </w:rPr>
              <w:t>107,442,527</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90,946,644</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83,998,631</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98"/>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6"/>
        </w:trPr>
        <w:tc>
          <w:tcPr>
            <w:tcW w:w="1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Cost of Sales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w w:val="96"/>
              </w:rPr>
              <w:t>241,849,592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w w:val="96"/>
              </w:rPr>
              <w:t>144,637,992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61,662,620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3"/>
              </w:rPr>
              <w:t>157,381,886</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w w:val="96"/>
              </w:rPr>
              <w:t>182,313,584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91,851,860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55,624,121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72,561,683</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72,463,022</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rPr>
              <w:t>87,700,632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74,910,692</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69,584,756</w:t>
            </w:r>
          </w:p>
        </w:tc>
        <w:tc>
          <w:tcPr>
            <w:tcW w:w="60" w:type="dxa"/>
            <w:vAlign w:val="bottom"/>
            <w:shd w:val="clear" w:color="auto" w:fill="CCEEFF"/>
          </w:tcPr>
          <w:p>
            <w:pPr>
              <w:spacing w:after="0"/>
              <w:rPr>
                <w:sz w:val="11"/>
                <w:szCs w:val="11"/>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48,511,581</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32,574,529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11,517,375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28,772,247</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42,967,121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22,675,766</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10,982,987</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6"/>
              </w:rPr>
              <w:t>16,801,456</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6"/>
              </w:rPr>
              <w:t>18,316,188</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19,741,895</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16,035,952</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14,413,875</w:t>
            </w:r>
          </w:p>
        </w:tc>
        <w:tc>
          <w:tcPr>
            <w:tcW w:w="60" w:type="dxa"/>
            <w:vAlign w:val="bottom"/>
            <w:shd w:val="clear" w:color="auto" w:fill="CCEEFF"/>
          </w:tcPr>
          <w:p>
            <w:pPr>
              <w:spacing w:after="0"/>
              <w:rPr>
                <w:sz w:val="10"/>
                <w:szCs w:val="10"/>
                <w:color w:val="auto"/>
              </w:rPr>
            </w:pPr>
          </w:p>
        </w:tc>
      </w:tr>
      <w:tr>
        <w:trPr>
          <w:trHeight w:val="198"/>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6"/>
        </w:trPr>
        <w:tc>
          <w:tcPr>
            <w:tcW w:w="1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46,260,953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33,002,009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10,142,388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29,224,665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41,585,840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21,573,371</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10,668,093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15,738,978</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16,864,837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rPr>
              <w:t>20,024,182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13,663,789</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14,397,519</w:t>
            </w:r>
          </w:p>
        </w:tc>
        <w:tc>
          <w:tcPr>
            <w:tcW w:w="60" w:type="dxa"/>
            <w:vAlign w:val="bottom"/>
            <w:shd w:val="clear" w:color="auto" w:fill="CCEEFF"/>
          </w:tcPr>
          <w:p>
            <w:pPr>
              <w:spacing w:after="0"/>
              <w:rPr>
                <w:sz w:val="11"/>
                <w:szCs w:val="11"/>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Income (Loss) from</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2,250,628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(427,480)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1,374,987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(452,418)</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1,381,281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1,102,395</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314,894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1,062,478</w:t>
            </w: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1,451,351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(282,287)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2,372,163</w:t>
            </w:r>
          </w:p>
        </w:tc>
        <w:tc>
          <w:tcPr>
            <w:tcW w:w="1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16,356</w:t>
            </w:r>
          </w:p>
        </w:tc>
      </w:tr>
      <w:tr>
        <w:trPr>
          <w:trHeight w:val="191"/>
        </w:trPr>
        <w:tc>
          <w:tcPr>
            <w:tcW w:w="12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86"/>
        </w:trPr>
        <w:tc>
          <w:tcPr>
            <w:tcW w:w="1220" w:type="dxa"/>
            <w:vAlign w:val="bottom"/>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rPr>
              <w:t>Other Income</w:t>
            </w: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142"/>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 income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Gain on sale of</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franchise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13,204,798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Settlement expense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Other income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2"/>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(expense), net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405,119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1,565,693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201,312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2,141,319</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116,672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1,648,277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191,149</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166,056</w:t>
            </w:r>
          </w:p>
        </w:tc>
        <w:tc>
          <w:tcPr>
            <w:tcW w:w="60" w:type="dxa"/>
            <w:vAlign w:val="bottom"/>
            <w:shd w:val="clear" w:color="auto" w:fill="CCEEFF"/>
          </w:tcPr>
          <w:p>
            <w:pPr>
              <w:spacing w:after="0"/>
              <w:rPr>
                <w:sz w:val="13"/>
                <w:szCs w:val="13"/>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 Income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405,119</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1,565,693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201,312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2,141,319</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116,672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1,648,277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13,395,947</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166,056</w:t>
            </w:r>
          </w:p>
        </w:tc>
        <w:tc>
          <w:tcPr>
            <w:tcW w:w="60" w:type="dxa"/>
            <w:vAlign w:val="bottom"/>
            <w:shd w:val="clear" w:color="auto" w:fill="CCEEFF"/>
          </w:tcPr>
          <w:p>
            <w:pPr>
              <w:spacing w:after="0"/>
              <w:rPr>
                <w:sz w:val="13"/>
                <w:szCs w:val="13"/>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2"/>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Continuing Operations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2,655,747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1,138,213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1,576,299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1,688,901</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1,381,281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1,102,395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314,894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1,062,478</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1,568,023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1,365,990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15,768,110</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182,412</w:t>
            </w:r>
          </w:p>
        </w:tc>
        <w:tc>
          <w:tcPr>
            <w:tcW w:w="60" w:type="dxa"/>
            <w:vAlign w:val="bottom"/>
            <w:shd w:val="clear" w:color="auto" w:fill="CCEEFF"/>
          </w:tcPr>
          <w:p>
            <w:pPr>
              <w:spacing w:after="0"/>
              <w:rPr>
                <w:sz w:val="12"/>
                <w:szCs w:val="12"/>
                <w:color w:val="auto"/>
              </w:rPr>
            </w:pPr>
          </w:p>
        </w:tc>
      </w:tr>
      <w:tr>
        <w:trPr>
          <w:trHeight w:val="198"/>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8"/>
              </w:rPr>
              <w:t>Loss from Discontinued</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2,655,747</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1,138,213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1,576,299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1,688,901</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1,381,281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1,102,395</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314,894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1,062,478</w:t>
            </w: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1,568,023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1,365,990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15,768,110</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182,412</w:t>
            </w:r>
          </w:p>
        </w:tc>
        <w:tc>
          <w:tcPr>
            <w:tcW w:w="60" w:type="dxa"/>
            <w:vAlign w:val="bottom"/>
            <w:shd w:val="clear" w:color="auto" w:fill="CCEEFF"/>
          </w:tcPr>
          <w:p>
            <w:pPr>
              <w:spacing w:after="0"/>
              <w:rPr>
                <w:sz w:val="10"/>
                <w:szCs w:val="10"/>
                <w:color w:val="auto"/>
              </w:rPr>
            </w:pPr>
          </w:p>
        </w:tc>
      </w:tr>
      <w:tr>
        <w:trPr>
          <w:trHeight w:val="198"/>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Comprehensive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2"/>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Unrealized holding</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2"/>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91"/>
        </w:trPr>
        <w:tc>
          <w:tcPr>
            <w:tcW w:w="1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06"/>
        </w:trPr>
        <w:tc>
          <w:tcPr>
            <w:tcW w:w="122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9"/>
              </w:rPr>
              <w:t>Comprehensive Income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7"/>
        </w:trPr>
        <w:tc>
          <w:tcPr>
            <w:tcW w:w="1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2,655,747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1,138,213</w:t>
            </w:r>
          </w:p>
        </w:tc>
        <w:tc>
          <w:tcPr>
            <w:tcW w:w="100" w:type="dxa"/>
            <w:vAlign w:val="bottom"/>
          </w:tcPr>
          <w:p>
            <w:pPr>
              <w:spacing w:after="0"/>
              <w:rPr>
                <w:sz w:val="14"/>
                <w:szCs w:val="14"/>
                <w:color w:val="auto"/>
              </w:rPr>
            </w:pPr>
          </w:p>
        </w:tc>
        <w:tc>
          <w:tcPr>
            <w:tcW w:w="180" w:type="dxa"/>
            <w:vAlign w:val="bottom"/>
            <w:gridSpan w:val="2"/>
          </w:tcPr>
          <w:p>
            <w:pPr>
              <w:jc w:val="right"/>
              <w:ind w:right="37"/>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1,576,299</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1,688,901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1,381,281</w:t>
            </w:r>
          </w:p>
        </w:tc>
        <w:tc>
          <w:tcPr>
            <w:tcW w:w="8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1,102,395</w:t>
            </w:r>
          </w:p>
        </w:tc>
        <w:tc>
          <w:tcPr>
            <w:tcW w:w="18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314,894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1,062,478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1,568,023</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1,365,990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15,768,110</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182,412</w:t>
            </w:r>
          </w:p>
        </w:tc>
        <w:tc>
          <w:tcPr>
            <w:tcW w:w="6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 – COMBINING STATEMENTS OF OPERATIONS AND COMPREHENSIVE INCOME (LOSS) (CONTINUED)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Herb</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Herb</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Herb Chambers</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7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800" w:type="dxa"/>
            <w:vAlign w:val="bottom"/>
            <w:gridSpan w:val="3"/>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760" w:type="dxa"/>
            <w:vAlign w:val="bottom"/>
            <w:gridSpan w:val="3"/>
          </w:tcPr>
          <w:p>
            <w:pPr>
              <w:jc w:val="center"/>
              <w:ind w:right="8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20"/>
              <w:spacing w:after="0" w:line="137" w:lineRule="exact"/>
              <w:rPr>
                <w:sz w:val="20"/>
                <w:szCs w:val="20"/>
                <w:color w:val="auto"/>
              </w:rPr>
            </w:pPr>
            <w:r>
              <w:rPr>
                <w:rFonts w:ascii="Times New Roman" w:cs="Times New Roman" w:eastAsia="Times New Roman" w:hAnsi="Times New Roman"/>
                <w:sz w:val="12"/>
                <w:szCs w:val="12"/>
                <w:color w:val="auto"/>
              </w:rPr>
              <w:t>Dinger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rPr>
              <w:t>Andover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w w:val="97"/>
              </w:rPr>
              <w:t>22 Brighton</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6"/>
              </w:rPr>
              <w:t>Boston Post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6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120" w:type="dxa"/>
            <w:vAlign w:val="bottom"/>
          </w:tcPr>
          <w:p>
            <w:pPr>
              <w:spacing w:after="0"/>
              <w:rPr>
                <w:sz w:val="11"/>
                <w:szCs w:val="11"/>
                <w:color w:val="auto"/>
              </w:rPr>
            </w:pPr>
          </w:p>
        </w:tc>
        <w:tc>
          <w:tcPr>
            <w:tcW w:w="660" w:type="dxa"/>
            <w:vAlign w:val="bottom"/>
            <w:gridSpan w:val="3"/>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9"/>
              </w:rPr>
              <w:t>of</w:t>
            </w:r>
          </w:p>
        </w:tc>
      </w:tr>
      <w:tr>
        <w:trPr>
          <w:trHeight w:val="140"/>
        </w:trPr>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I-95, Inc.</w:t>
            </w:r>
          </w:p>
        </w:tc>
        <w:tc>
          <w:tcPr>
            <w:tcW w:w="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Millbury, Inc.</w:t>
            </w: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8"/>
              </w:rPr>
              <w:t>Auburn, Inc.</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1168,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Ford, Inc.</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Westborough, Inc.</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Street,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Ave., Inc.</w:t>
            </w:r>
          </w:p>
        </w:tc>
        <w:tc>
          <w:tcPr>
            <w:tcW w:w="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Road, Inc.</w:t>
            </w:r>
          </w:p>
        </w:tc>
        <w:tc>
          <w:tcPr>
            <w:tcW w:w="6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7"/>
              </w:rPr>
              <w:t>Wayland,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5"/>
              </w:rPr>
              <w:t>Natick, Inc.</w:t>
            </w: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color w:val="auto"/>
                <w:w w:val="95"/>
              </w:rPr>
              <w:t>Sudbury, Inc.</w:t>
            </w:r>
          </w:p>
        </w:tc>
      </w:tr>
      <w:tr>
        <w:trPr>
          <w:trHeight w:val="116"/>
        </w:trPr>
        <w:tc>
          <w:tcPr>
            <w:tcW w:w="118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Sales</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70,278,342</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58,437,779</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178,731,845</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55,287,524</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w w:val="92"/>
              </w:rPr>
              <w:t>69,500,947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71,022,556</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64,145,941</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678,600</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187,808,767</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99,034,738</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144,096,566</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89,295,604</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11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Cost of Sales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59,135,140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49,616,812</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149,221,611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43,723,747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55,893,222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60,857,783</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49,695,821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475,617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159,298,092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87,691,436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114,947,437</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71,834,473</w:t>
            </w:r>
          </w:p>
        </w:tc>
        <w:tc>
          <w:tcPr>
            <w:tcW w:w="40" w:type="dxa"/>
            <w:vAlign w:val="bottom"/>
            <w:shd w:val="clear" w:color="auto" w:fill="CCEEFF"/>
          </w:tcPr>
          <w:p>
            <w:pPr>
              <w:spacing w:after="0"/>
              <w:rPr>
                <w:sz w:val="11"/>
                <w:szCs w:val="11"/>
                <w:color w:val="auto"/>
              </w:rPr>
            </w:pPr>
          </w:p>
        </w:tc>
      </w:tr>
      <w:tr>
        <w:trPr>
          <w:trHeight w:val="11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1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99"/>
              </w:rPr>
              <w:t>11,143,202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8,820,967</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29,510,234</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99"/>
              </w:rPr>
              <w:t>11,563,777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6"/>
              </w:rPr>
              <w:t>13,607,725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10,164,773</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14,450,120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202,983</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28,510,675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11,343,302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29,149,129</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17,461,131</w:t>
            </w:r>
          </w:p>
        </w:tc>
        <w:tc>
          <w:tcPr>
            <w:tcW w:w="40" w:type="dxa"/>
            <w:vAlign w:val="bottom"/>
            <w:shd w:val="clear" w:color="auto" w:fill="CCEEFF"/>
          </w:tcPr>
          <w:p>
            <w:pPr>
              <w:spacing w:after="0"/>
              <w:rPr>
                <w:sz w:val="10"/>
                <w:szCs w:val="10"/>
                <w:color w:val="auto"/>
              </w:rPr>
            </w:pPr>
          </w:p>
        </w:tc>
      </w:tr>
      <w:tr>
        <w:trPr>
          <w:trHeight w:val="124"/>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11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10,932,135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9,730,340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29,221,693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10,324,974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13,013,807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10,134,805</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12,254,298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307,918</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27,646,845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11,224,953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28,465,965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16,541,864</w:t>
            </w:r>
          </w:p>
        </w:tc>
        <w:tc>
          <w:tcPr>
            <w:tcW w:w="40" w:type="dxa"/>
            <w:vAlign w:val="bottom"/>
            <w:shd w:val="clear" w:color="auto" w:fill="CCEEFF"/>
          </w:tcPr>
          <w:p>
            <w:pPr>
              <w:spacing w:after="0"/>
              <w:rPr>
                <w:sz w:val="11"/>
                <w:szCs w:val="11"/>
                <w:color w:val="auto"/>
              </w:rPr>
            </w:pPr>
          </w:p>
        </w:tc>
      </w:tr>
      <w:tr>
        <w:trPr>
          <w:trHeight w:val="11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Income (Loss) from</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211,067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(909,373)</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288,541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1,238,803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593,918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29,968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2,195,822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(104,935)</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863,830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118,349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683,164</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919,267</w:t>
            </w:r>
          </w:p>
        </w:tc>
        <w:tc>
          <w:tcPr>
            <w:tcW w:w="40" w:type="dxa"/>
            <w:vAlign w:val="bottom"/>
            <w:shd w:val="clear" w:color="auto" w:fill="CCEEFF"/>
          </w:tcPr>
          <w:p>
            <w:pPr>
              <w:spacing w:after="0"/>
              <w:rPr>
                <w:sz w:val="13"/>
                <w:szCs w:val="13"/>
                <w:color w:val="auto"/>
              </w:rPr>
            </w:pPr>
          </w:p>
        </w:tc>
      </w:tr>
      <w:tr>
        <w:trPr>
          <w:trHeight w:val="11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Income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4"/>
        </w:trPr>
        <w:tc>
          <w:tcPr>
            <w:tcW w:w="118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 income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r>
      <w:tr>
        <w:trPr>
          <w:trHeight w:val="108"/>
        </w:trPr>
        <w:tc>
          <w:tcPr>
            <w:tcW w:w="11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Gain on sale of</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1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franchise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r>
      <w:tr>
        <w:trPr>
          <w:trHeight w:val="124"/>
        </w:trPr>
        <w:tc>
          <w:tcPr>
            <w:tcW w:w="118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Settlement expense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r>
      <w:tr>
        <w:trPr>
          <w:trHeight w:val="108"/>
        </w:trPr>
        <w:tc>
          <w:tcPr>
            <w:tcW w:w="11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Other income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2"/>
        </w:trPr>
        <w:tc>
          <w:tcPr>
            <w:tcW w:w="1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(expense), net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135,254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184,856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383,631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199,094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245,308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382,809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104,742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19,292</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326,692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68,065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726,402</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r>
      <w:tr>
        <w:trPr>
          <w:trHeight w:val="11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 Income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135,254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184,856</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383,631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199,094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245,308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382,809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104,742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19,292</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326,692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68,065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726,402</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r>
      <w:tr>
        <w:trPr>
          <w:trHeight w:val="11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7"/>
              </w:rPr>
              <w:t>Continuing Operations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346,321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(724,517)</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672,172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1,437,897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839,226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412,777</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2,300,564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(85,643)</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1,190,522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186,414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1,409,566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919,267</w:t>
            </w:r>
          </w:p>
        </w:tc>
        <w:tc>
          <w:tcPr>
            <w:tcW w:w="40" w:type="dxa"/>
            <w:vAlign w:val="bottom"/>
            <w:shd w:val="clear" w:color="auto" w:fill="CCEEFF"/>
          </w:tcPr>
          <w:p>
            <w:pPr>
              <w:spacing w:after="0"/>
              <w:rPr>
                <w:sz w:val="12"/>
                <w:szCs w:val="12"/>
                <w:color w:val="auto"/>
              </w:rPr>
            </w:pPr>
          </w:p>
        </w:tc>
      </w:tr>
      <w:tr>
        <w:trPr>
          <w:trHeight w:val="124"/>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Loss from</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1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r>
      <w:tr>
        <w:trPr>
          <w:trHeight w:val="11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11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346,321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(724,517)</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672,172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1,437,897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839,226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412,777</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2,300,564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(85,643)</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1,190,522</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186,414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1,409,566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919,267</w:t>
            </w:r>
          </w:p>
        </w:tc>
        <w:tc>
          <w:tcPr>
            <w:tcW w:w="40" w:type="dxa"/>
            <w:vAlign w:val="bottom"/>
            <w:shd w:val="clear" w:color="auto" w:fill="CCEEFF"/>
          </w:tcPr>
          <w:p>
            <w:pPr>
              <w:spacing w:after="0"/>
              <w:rPr>
                <w:sz w:val="10"/>
                <w:szCs w:val="10"/>
                <w:color w:val="auto"/>
              </w:rPr>
            </w:pPr>
          </w:p>
        </w:tc>
      </w:tr>
      <w:tr>
        <w:trPr>
          <w:trHeight w:val="124"/>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8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Comprehensive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08"/>
        </w:trPr>
        <w:tc>
          <w:tcPr>
            <w:tcW w:w="118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Unrealized holding</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2"/>
        </w:trPr>
        <w:tc>
          <w:tcPr>
            <w:tcW w:w="1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16"/>
        </w:trPr>
        <w:tc>
          <w:tcPr>
            <w:tcW w:w="11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06"/>
        </w:trPr>
        <w:tc>
          <w:tcPr>
            <w:tcW w:w="118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67"/>
        </w:trPr>
        <w:tc>
          <w:tcPr>
            <w:tcW w:w="1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346,321</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(724,517)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672,172</w:t>
            </w: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1,437,897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839,226</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412,777</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2,300,564</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(85,643)</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1,190,522</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186,414</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1,409,566</w:t>
            </w:r>
          </w:p>
        </w:tc>
        <w:tc>
          <w:tcPr>
            <w:tcW w:w="1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919,267</w:t>
            </w:r>
          </w:p>
        </w:tc>
        <w:tc>
          <w:tcPr>
            <w:tcW w:w="4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50" w:name="page51"/>
    <w:bookmarkEnd w:id="50"/>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SCHEDULE II – COMBINING STATEMENTS OF OPERATIONS AND COMPREHENSIVE INCOME (LOSS) (CONTINUED)</w:t>
      </w: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Herb</w:t>
            </w:r>
          </w:p>
        </w:tc>
        <w:tc>
          <w:tcPr>
            <w:tcW w:w="40" w:type="dxa"/>
            <w:vAlign w:val="bottom"/>
          </w:tcPr>
          <w:p>
            <w:pPr>
              <w:spacing w:after="0"/>
              <w:rPr>
                <w:sz w:val="12"/>
                <w:szCs w:val="12"/>
                <w:color w:val="auto"/>
              </w:rPr>
            </w:pPr>
          </w:p>
        </w:tc>
        <w:tc>
          <w:tcPr>
            <w:tcW w:w="80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5"/>
              </w:rPr>
              <w:t>Herb Chambers</w:t>
            </w:r>
          </w:p>
        </w:tc>
        <w:tc>
          <w:tcPr>
            <w:tcW w:w="8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Herb Chambers</w:t>
            </w:r>
          </w:p>
        </w:tc>
        <w:tc>
          <w:tcPr>
            <w:tcW w:w="86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color w:val="auto"/>
                <w:w w:val="95"/>
              </w:rPr>
              <w:t>Herb Chambers</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7"/>
              </w:rPr>
              <w:t>Herb Chambers</w:t>
            </w: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Herb Chambers</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86"/>
              </w:rPr>
              <w:t>Total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3"/>
              </w:rPr>
              <w:t>Jennings Road</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6"/>
        </w:trPr>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rPr>
              <w:t>75 Otis</w:t>
            </w:r>
          </w:p>
        </w:tc>
        <w:tc>
          <w:tcPr>
            <w:tcW w:w="140" w:type="dxa"/>
            <w:vAlign w:val="bottom"/>
          </w:tcPr>
          <w:p>
            <w:pPr>
              <w:spacing w:after="0"/>
              <w:rPr>
                <w:sz w:val="11"/>
                <w:szCs w:val="11"/>
                <w:color w:val="auto"/>
              </w:rPr>
            </w:pPr>
          </w:p>
        </w:tc>
        <w:tc>
          <w:tcPr>
            <w:tcW w:w="66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2"/>
                <w:szCs w:val="12"/>
                <w:color w:val="auto"/>
                <w:w w:val="99"/>
              </w:rPr>
              <w:t>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60"/>
              <w:spacing w:after="0" w:line="137" w:lineRule="exact"/>
              <w:rPr>
                <w:sz w:val="20"/>
                <w:szCs w:val="20"/>
                <w:color w:val="auto"/>
              </w:rPr>
            </w:pPr>
            <w:r>
              <w:rPr>
                <w:rFonts w:ascii="Times New Roman" w:cs="Times New Roman" w:eastAsia="Times New Roman" w:hAnsi="Times New Roman"/>
                <w:sz w:val="12"/>
                <w:szCs w:val="12"/>
                <w:color w:val="auto"/>
              </w:rPr>
              <w:t>Boston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82"/>
              <w:spacing w:after="0" w:line="137" w:lineRule="exact"/>
              <w:rPr>
                <w:sz w:val="20"/>
                <w:szCs w:val="20"/>
                <w:color w:val="auto"/>
              </w:rPr>
            </w:pPr>
            <w:r>
              <w:rPr>
                <w:rFonts w:ascii="Times New Roman" w:cs="Times New Roman" w:eastAsia="Times New Roman" w:hAnsi="Times New Roman"/>
                <w:sz w:val="12"/>
                <w:szCs w:val="12"/>
                <w:color w:val="auto"/>
                <w:w w:val="99"/>
              </w:rPr>
              <w:t>395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40" w:type="dxa"/>
            <w:vAlign w:val="bottom"/>
          </w:tcPr>
          <w:p>
            <w:pPr>
              <w:spacing w:after="0"/>
              <w:rPr>
                <w:sz w:val="11"/>
                <w:szCs w:val="11"/>
                <w:color w:val="auto"/>
              </w:rPr>
            </w:pPr>
          </w:p>
        </w:tc>
        <w:tc>
          <w:tcPr>
            <w:tcW w:w="820" w:type="dxa"/>
            <w:vAlign w:val="bottom"/>
            <w:gridSpan w:val="3"/>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w w:val="99"/>
              </w:rPr>
              <w:t>62 Cambridge</w:t>
            </w:r>
          </w:p>
        </w:tc>
        <w:tc>
          <w:tcPr>
            <w:tcW w:w="60" w:type="dxa"/>
            <w:vAlign w:val="bottom"/>
          </w:tcPr>
          <w:p>
            <w:pPr>
              <w:spacing w:after="0"/>
              <w:rPr>
                <w:sz w:val="11"/>
                <w:szCs w:val="11"/>
                <w:color w:val="auto"/>
              </w:rPr>
            </w:pPr>
          </w:p>
        </w:tc>
        <w:tc>
          <w:tcPr>
            <w:tcW w:w="7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2"/>
                <w:szCs w:val="12"/>
                <w:color w:val="auto"/>
                <w:w w:val="90"/>
              </w:rPr>
              <w:t>Retail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320"/>
              <w:spacing w:after="0" w:line="137" w:lineRule="exact"/>
              <w:rPr>
                <w:sz w:val="20"/>
                <w:szCs w:val="20"/>
                <w:color w:val="auto"/>
              </w:rPr>
            </w:pPr>
            <w:r>
              <w:rPr>
                <w:rFonts w:ascii="Times New Roman" w:cs="Times New Roman" w:eastAsia="Times New Roman" w:hAnsi="Times New Roman"/>
                <w:sz w:val="12"/>
                <w:szCs w:val="12"/>
                <w:color w:val="auto"/>
              </w:rPr>
              <w:t>HGC</w:t>
            </w: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8"/>
              </w:rPr>
              <w:t>Management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7"/>
              </w:rPr>
              <w:t>Street, Inc.,</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9"/>
              </w:rPr>
              <w:t>Burlington, Inc.</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5"/>
              </w:rPr>
              <w:t>1188, Inc.</w:t>
            </w: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2"/>
                <w:szCs w:val="12"/>
                <w:color w:val="auto"/>
                <w:w w:val="94"/>
              </w:rPr>
              <w:t>Millbury II, Inc.</w:t>
            </w:r>
          </w:p>
        </w:tc>
        <w:tc>
          <w:tcPr>
            <w:tcW w:w="4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Turnpike, Inc.</w:t>
            </w:r>
          </w:p>
        </w:tc>
        <w:tc>
          <w:tcPr>
            <w:tcW w:w="40" w:type="dxa"/>
            <w:vAlign w:val="bottom"/>
          </w:tcPr>
          <w:p>
            <w:pPr>
              <w:spacing w:after="0"/>
              <w:rPr>
                <w:sz w:val="12"/>
                <w:szCs w:val="12"/>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w w:val="94"/>
              </w:rPr>
              <w:t>Broadway, Inc.</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Brookline,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5"/>
              </w:rPr>
              <w:t>Street, Inc.</w:t>
            </w:r>
          </w:p>
        </w:tc>
        <w:tc>
          <w:tcPr>
            <w:tcW w:w="6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5"/>
              </w:rPr>
              <w:t>Dealerships</w:t>
            </w: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Holdings, LLC</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Corp.</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Eliminations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Total</w:t>
            </w:r>
          </w:p>
        </w:tc>
      </w:tr>
      <w:tr>
        <w:trPr>
          <w:trHeight w:val="116"/>
        </w:trPr>
        <w:tc>
          <w:tcPr>
            <w:tcW w:w="8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Sales</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38,251,532</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41,266,041</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3"/>
              </w:rPr>
              <w:t>128,374,254</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9,778,686</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73,290,168</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50,156,507</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83,470,914</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87,696,097</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5"/>
              </w:rPr>
              <w:t>3,196,456,820</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100,625,400</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88"/>
              </w:rPr>
              <w:t>(100,625,400)</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5"/>
              </w:rPr>
              <w:t>3,196,456,820</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98"/>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6"/>
        </w:trPr>
        <w:tc>
          <w:tcPr>
            <w:tcW w:w="8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Cost of Sales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32,273,796</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34,347,599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w w:val="93"/>
              </w:rPr>
              <w:t>109,740,639</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8,495,017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62,728,325</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42,497,364</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67,197,065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74,068,110</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w w:val="95"/>
              </w:rPr>
              <w:t>2,646,281,546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w w:val="95"/>
              </w:rPr>
              <w:t>2,646,281,546</w:t>
            </w:r>
          </w:p>
        </w:tc>
        <w:tc>
          <w:tcPr>
            <w:tcW w:w="20" w:type="dxa"/>
            <w:vAlign w:val="bottom"/>
            <w:shd w:val="clear" w:color="auto" w:fill="CCEEFF"/>
          </w:tcPr>
          <w:p>
            <w:pPr>
              <w:spacing w:after="0"/>
              <w:rPr>
                <w:sz w:val="11"/>
                <w:szCs w:val="11"/>
                <w:color w:val="auto"/>
              </w:rPr>
            </w:pPr>
          </w:p>
        </w:tc>
      </w:tr>
      <w:tr>
        <w:trPr>
          <w:trHeight w:val="191"/>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5,977,736</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6,918,442</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18,633,615</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1,283,669</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10,561,843</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7,659,143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16,273,849</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13,627,987</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550,175,274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100,625,400</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94"/>
              </w:rPr>
              <w:t>(100,625,400)</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550,175,274</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98"/>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7,049,169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6,873,693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19,510,197</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1,565,062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10,992,707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7,682,650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15,133,907</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13,510,874</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535,264,480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1,926,026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73,644,554</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4"/>
              </w:rPr>
              <w:t>(102,545,400)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508,289,660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1"/>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from</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(1,071,433)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44,749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(876,582)</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(281,393)</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(430,864)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(23,507)</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1,139,942</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117,113</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14,910,794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(1,926,026)</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26,980,846</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1,920,000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41,885,614</w:t>
            </w:r>
          </w:p>
        </w:tc>
        <w:tc>
          <w:tcPr>
            <w:tcW w:w="20" w:type="dxa"/>
            <w:vAlign w:val="bottom"/>
            <w:shd w:val="clear" w:color="auto" w:fill="CCEEFF"/>
          </w:tcPr>
          <w:p>
            <w:pPr>
              <w:spacing w:after="0"/>
              <w:rPr>
                <w:sz w:val="13"/>
                <w:szCs w:val="13"/>
                <w:color w:val="auto"/>
              </w:rPr>
            </w:pPr>
          </w:p>
        </w:tc>
      </w:tr>
      <w:tr>
        <w:trPr>
          <w:trHeight w:val="191"/>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42"/>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08"/>
        </w:trPr>
        <w:tc>
          <w:tcPr>
            <w:tcW w:w="8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0"/>
        </w:trPr>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4,923,317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4,923,317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8"/>
        </w:trPr>
        <w:tc>
          <w:tcPr>
            <w:tcW w:w="8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Gain on sale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40"/>
        </w:trPr>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of franchise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13,204,798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13,204,798</w:t>
            </w:r>
          </w:p>
        </w:tc>
        <w:tc>
          <w:tcPr>
            <w:tcW w:w="20" w:type="dxa"/>
            <w:vAlign w:val="bottom"/>
            <w:shd w:val="clear" w:color="auto" w:fill="CCEEFF"/>
          </w:tcPr>
          <w:p>
            <w:pPr>
              <w:spacing w:after="0"/>
              <w:rPr>
                <w:sz w:val="12"/>
                <w:szCs w:val="12"/>
                <w:color w:val="auto"/>
              </w:rPr>
            </w:pPr>
          </w:p>
        </w:tc>
      </w:tr>
      <w:tr>
        <w:trPr>
          <w:trHeight w:val="108"/>
        </w:trPr>
        <w:tc>
          <w:tcPr>
            <w:tcW w:w="8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Settlement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0"/>
        </w:trPr>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(11,841,143)</w:t>
            </w:r>
          </w:p>
        </w:tc>
        <w:tc>
          <w:tcPr>
            <w:tcW w:w="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(11,841,143)</w:t>
            </w:r>
          </w:p>
        </w:tc>
      </w:tr>
      <w:tr>
        <w:trPr>
          <w:trHeight w:val="108"/>
        </w:trPr>
        <w:tc>
          <w:tcPr>
            <w:tcW w:w="8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w w:val="97"/>
              </w:rPr>
              <w:t>Other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(expense),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2"/>
        </w:trPr>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51,369</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114,482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996,394</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42,277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697,639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11,228,256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1,649,761</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(1,920,000)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10,958,016</w:t>
            </w:r>
          </w:p>
        </w:tc>
        <w:tc>
          <w:tcPr>
            <w:tcW w:w="20" w:type="dxa"/>
            <w:vAlign w:val="bottom"/>
            <w:shd w:val="clear" w:color="auto" w:fill="CCEEFF"/>
          </w:tcPr>
          <w:p>
            <w:pPr>
              <w:spacing w:after="0"/>
              <w:rPr>
                <w:sz w:val="13"/>
                <w:szCs w:val="13"/>
                <w:color w:val="auto"/>
              </w:rPr>
            </w:pPr>
          </w:p>
        </w:tc>
      </w:tr>
      <w:tr>
        <w:trPr>
          <w:trHeight w:val="191"/>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Income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51,369</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114,482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996,394</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42,277</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697,639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114,353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24,433,054</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4,923,317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(10,191,382)</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(1,920,000)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17,244,988</w:t>
            </w:r>
          </w:p>
        </w:tc>
        <w:tc>
          <w:tcPr>
            <w:tcW w:w="20" w:type="dxa"/>
            <w:vAlign w:val="bottom"/>
            <w:shd w:val="clear" w:color="auto" w:fill="CCEEFF"/>
          </w:tcPr>
          <w:p>
            <w:pPr>
              <w:spacing w:after="0"/>
              <w:rPr>
                <w:sz w:val="13"/>
                <w:szCs w:val="13"/>
                <w:color w:val="auto"/>
              </w:rPr>
            </w:pPr>
          </w:p>
        </w:tc>
      </w:tr>
      <w:tr>
        <w:trPr>
          <w:trHeight w:val="191"/>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(Loss)</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Continuing</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42"/>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(1,020,064)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159,231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119,812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(239,116)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266,775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90,846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1,139,942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117,113</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39,343,848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2,997,291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16,789,464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59,130,602</w:t>
            </w:r>
          </w:p>
        </w:tc>
        <w:tc>
          <w:tcPr>
            <w:tcW w:w="20" w:type="dxa"/>
            <w:vAlign w:val="bottom"/>
            <w:shd w:val="clear" w:color="auto" w:fill="CCEEFF"/>
          </w:tcPr>
          <w:p>
            <w:pPr>
              <w:spacing w:after="0"/>
              <w:rPr>
                <w:sz w:val="12"/>
                <w:szCs w:val="12"/>
                <w:color w:val="auto"/>
              </w:rPr>
            </w:pPr>
          </w:p>
        </w:tc>
      </w:tr>
      <w:tr>
        <w:trPr>
          <w:trHeight w:val="198"/>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Loss from</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r>
      <w:tr>
        <w:trPr>
          <w:trHeight w:val="191"/>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42"/>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(1,020,064)</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159,231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119,812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(239,116)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266,775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90,846</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1,139,942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117,113</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39,343,848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2,997,291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16,789,464</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59,130,602</w:t>
            </w:r>
          </w:p>
        </w:tc>
        <w:tc>
          <w:tcPr>
            <w:tcW w:w="20" w:type="dxa"/>
            <w:vAlign w:val="bottom"/>
            <w:shd w:val="clear" w:color="auto" w:fill="CCEEFF"/>
          </w:tcPr>
          <w:p>
            <w:pPr>
              <w:spacing w:after="0"/>
              <w:rPr>
                <w:sz w:val="12"/>
                <w:szCs w:val="12"/>
                <w:color w:val="auto"/>
              </w:rPr>
            </w:pPr>
          </w:p>
        </w:tc>
      </w:tr>
      <w:tr>
        <w:trPr>
          <w:trHeight w:val="198"/>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08"/>
        </w:trPr>
        <w:tc>
          <w:tcPr>
            <w:tcW w:w="8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Unrealized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2"/>
        </w:trPr>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holding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23,415</w:t>
            </w:r>
          </w:p>
        </w:tc>
        <w:tc>
          <w:tcPr>
            <w:tcW w:w="6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23,415</w:t>
            </w:r>
          </w:p>
        </w:tc>
        <w:tc>
          <w:tcPr>
            <w:tcW w:w="20" w:type="dxa"/>
            <w:vAlign w:val="bottom"/>
          </w:tcPr>
          <w:p>
            <w:pPr>
              <w:spacing w:after="0"/>
              <w:rPr>
                <w:sz w:val="13"/>
                <w:szCs w:val="13"/>
                <w:color w:val="auto"/>
              </w:rPr>
            </w:pPr>
          </w:p>
        </w:tc>
      </w:tr>
      <w:tr>
        <w:trPr>
          <w:trHeight w:val="191"/>
        </w:trPr>
        <w:tc>
          <w:tcPr>
            <w:tcW w:w="8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106"/>
        </w:trPr>
        <w:tc>
          <w:tcPr>
            <w:tcW w:w="8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7"/>
        </w:trPr>
        <w:tc>
          <w:tcPr>
            <w:tcW w:w="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(1,020,064)</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159,231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119,812</w:t>
            </w:r>
          </w:p>
        </w:tc>
        <w:tc>
          <w:tcPr>
            <w:tcW w:w="20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(239,116)</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266,775</w:t>
            </w:r>
          </w:p>
        </w:tc>
        <w:tc>
          <w:tcPr>
            <w:tcW w:w="16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90,846</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1,139,942</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117,113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39,343,848</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3,020,706</w:t>
            </w:r>
          </w:p>
        </w:tc>
        <w:tc>
          <w:tcPr>
            <w:tcW w:w="8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16,789,464</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59,154,017</w:t>
            </w:r>
          </w:p>
        </w:tc>
        <w:tc>
          <w:tcPr>
            <w:tcW w:w="2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340"/>
          </w:cols>
          <w:pgMar w:left="320" w:top="838"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III – COMBINING BALANCE SHEETS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10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1"/>
              </w:rPr>
              <w:t>Herb</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Herb Chambers</w:t>
            </w:r>
          </w:p>
        </w:tc>
        <w:tc>
          <w:tcPr>
            <w:tcW w:w="80" w:type="dxa"/>
            <w:vAlign w:val="bottom"/>
          </w:tcPr>
          <w:p>
            <w:pPr>
              <w:spacing w:after="0"/>
              <w:rPr>
                <w:sz w:val="12"/>
                <w:szCs w:val="12"/>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6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100" w:type="dxa"/>
            <w:vAlign w:val="bottom"/>
          </w:tcPr>
          <w:p>
            <w:pPr>
              <w:spacing w:after="0"/>
              <w:rPr>
                <w:sz w:val="11"/>
                <w:szCs w:val="11"/>
                <w:color w:val="auto"/>
              </w:rPr>
            </w:pPr>
          </w:p>
        </w:tc>
        <w:tc>
          <w:tcPr>
            <w:tcW w:w="8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720" w:type="dxa"/>
            <w:vAlign w:val="bottom"/>
            <w:gridSpan w:val="2"/>
          </w:tcPr>
          <w:p>
            <w:pPr>
              <w:jc w:val="right"/>
              <w:ind w:right="340"/>
              <w:spacing w:after="0" w:line="137" w:lineRule="exact"/>
              <w:rPr>
                <w:sz w:val="20"/>
                <w:szCs w:val="20"/>
                <w:color w:val="auto"/>
              </w:rPr>
            </w:pPr>
            <w:r>
              <w:rPr>
                <w:rFonts w:ascii="Times New Roman" w:cs="Times New Roman" w:eastAsia="Times New Roman" w:hAnsi="Times New Roman"/>
                <w:sz w:val="12"/>
                <w:szCs w:val="12"/>
                <w:color w:val="auto"/>
              </w:rPr>
              <w:t>Silver</w:t>
            </w:r>
          </w:p>
        </w:tc>
        <w:tc>
          <w:tcPr>
            <w:tcW w:w="60" w:type="dxa"/>
            <w:vAlign w:val="bottom"/>
          </w:tcPr>
          <w:p>
            <w:pPr>
              <w:spacing w:after="0"/>
              <w:rPr>
                <w:sz w:val="11"/>
                <w:szCs w:val="11"/>
                <w:color w:val="auto"/>
              </w:rPr>
            </w:pPr>
          </w:p>
        </w:tc>
        <w:tc>
          <w:tcPr>
            <w:tcW w:w="6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w w:val="97"/>
              </w:rPr>
              <w:t>Cambridge</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60" w:type="dxa"/>
            <w:vAlign w:val="bottom"/>
          </w:tcPr>
          <w:p>
            <w:pPr>
              <w:spacing w:after="0"/>
              <w:rPr>
                <w:sz w:val="11"/>
                <w:szCs w:val="11"/>
                <w:color w:val="auto"/>
              </w:rPr>
            </w:pPr>
          </w:p>
        </w:tc>
        <w:tc>
          <w:tcPr>
            <w:tcW w:w="64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140" w:type="dxa"/>
            <w:vAlign w:val="bottom"/>
          </w:tcPr>
          <w:p>
            <w:pPr>
              <w:spacing w:after="0"/>
              <w:rPr>
                <w:sz w:val="11"/>
                <w:szCs w:val="11"/>
                <w:color w:val="auto"/>
              </w:rPr>
            </w:pPr>
          </w:p>
        </w:tc>
        <w:tc>
          <w:tcPr>
            <w:tcW w:w="660" w:type="dxa"/>
            <w:vAlign w:val="bottom"/>
            <w:gridSpan w:val="2"/>
          </w:tcPr>
          <w:p>
            <w:pPr>
              <w:jc w:val="right"/>
              <w:ind w:right="380"/>
              <w:spacing w:after="0" w:line="137" w:lineRule="exact"/>
              <w:rPr>
                <w:sz w:val="20"/>
                <w:szCs w:val="20"/>
                <w:color w:val="auto"/>
              </w:rPr>
            </w:pPr>
            <w:r>
              <w:rPr>
                <w:rFonts w:ascii="Times New Roman" w:cs="Times New Roman" w:eastAsia="Times New Roman" w:hAnsi="Times New Roman"/>
                <w:sz w:val="12"/>
                <w:szCs w:val="12"/>
                <w:color w:val="auto"/>
              </w:rPr>
              <w:t>of</w:t>
            </w:r>
          </w:p>
        </w:tc>
      </w:tr>
      <w:tr>
        <w:trPr>
          <w:trHeight w:val="140"/>
        </w:trPr>
        <w:tc>
          <w:tcPr>
            <w:tcW w:w="1400" w:type="dxa"/>
            <w:vAlign w:val="bottom"/>
          </w:tcPr>
          <w:p>
            <w:pPr>
              <w:spacing w:after="0"/>
              <w:rPr>
                <w:sz w:val="12"/>
                <w:szCs w:val="12"/>
                <w:color w:val="auto"/>
              </w:rPr>
            </w:pPr>
          </w:p>
        </w:tc>
        <w:tc>
          <w:tcPr>
            <w:tcW w:w="76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6"/>
              </w:rPr>
              <w:t>Route 1,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4"/>
              </w:rPr>
              <w:t>I-93, Inc.</w:t>
            </w:r>
          </w:p>
        </w:tc>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Comm Ave. Inc.</w:t>
            </w:r>
          </w:p>
        </w:tc>
        <w:tc>
          <w:tcPr>
            <w:tcW w:w="8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6"/>
              </w:rPr>
              <w:t>Star, Inc.</w:t>
            </w:r>
          </w:p>
        </w:tc>
        <w:tc>
          <w:tcPr>
            <w:tcW w:w="6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5"/>
              </w:rPr>
              <w:t>1172,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9"/>
              </w:rPr>
              <w:t>Street, Inc.</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Cadillac,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5"/>
              </w:rPr>
              <w:t>1186, Inc.</w:t>
            </w:r>
          </w:p>
        </w:tc>
        <w:tc>
          <w:tcPr>
            <w:tcW w:w="6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4"/>
              </w:rPr>
              <w:t>128,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44, Inc.</w:t>
            </w:r>
          </w:p>
        </w:tc>
        <w:tc>
          <w:tcPr>
            <w:tcW w:w="8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auto"/>
                <w:w w:val="96"/>
              </w:rPr>
              <w:t>Route 9, Inc.</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Norwood, Inc.</w:t>
            </w:r>
          </w:p>
        </w:tc>
      </w:tr>
      <w:tr>
        <w:trPr>
          <w:trHeight w:val="116"/>
        </w:trPr>
        <w:tc>
          <w:tcPr>
            <w:tcW w:w="14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98"/>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Cash</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3,001,746</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704,406</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3,616,214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6,757,333</w:t>
            </w:r>
          </w:p>
        </w:tc>
        <w:tc>
          <w:tcPr>
            <w:tcW w:w="18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3,538,903</w:t>
            </w:r>
          </w:p>
        </w:tc>
        <w:tc>
          <w:tcPr>
            <w:tcW w:w="80" w:type="dxa"/>
            <w:vAlign w:val="bottom"/>
          </w:tcPr>
          <w:p>
            <w:pPr>
              <w:spacing w:after="0"/>
              <w:rPr>
                <w:sz w:val="10"/>
                <w:szCs w:val="10"/>
                <w:color w:val="auto"/>
              </w:rPr>
            </w:pPr>
          </w:p>
        </w:tc>
        <w:tc>
          <w:tcPr>
            <w:tcW w:w="16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1,972,063</w:t>
            </w:r>
          </w:p>
        </w:tc>
        <w:tc>
          <w:tcPr>
            <w:tcW w:w="180" w:type="dxa"/>
            <w:vAlign w:val="bottom"/>
          </w:tcPr>
          <w:p>
            <w:pPr>
              <w:spacing w:after="0"/>
              <w:rPr>
                <w:sz w:val="10"/>
                <w:szCs w:val="10"/>
                <w:color w:val="auto"/>
              </w:rPr>
            </w:pP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768,630</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3,072,256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3,421,766</w:t>
            </w:r>
          </w:p>
        </w:tc>
        <w:tc>
          <w:tcPr>
            <w:tcW w:w="80" w:type="dxa"/>
            <w:vAlign w:val="bottom"/>
          </w:tcPr>
          <w:p>
            <w:pPr>
              <w:spacing w:after="0"/>
              <w:rPr>
                <w:sz w:val="10"/>
                <w:szCs w:val="10"/>
                <w:color w:val="auto"/>
              </w:rPr>
            </w:pPr>
          </w:p>
        </w:tc>
        <w:tc>
          <w:tcPr>
            <w:tcW w:w="16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1,301,303</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1,271,035</w:t>
            </w:r>
          </w:p>
        </w:tc>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978,841</w:t>
            </w: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6,000,000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Investments</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Accounts receivable, net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9,550,718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5,567,110</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2,353,530</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5,831,123</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7,316,857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5,643,922</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2,031,454</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2,359,016</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1,083,624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1,758,686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914,459</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2,661,037</w:t>
            </w: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Inventories</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23,844,301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9"/>
              </w:rPr>
              <w:t>27,568,595</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9,292,334</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6"/>
              </w:rPr>
              <w:t>25,760,029</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27,488,009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14,312,122</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12,681,815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7,446,921</w:t>
            </w:r>
          </w:p>
        </w:tc>
        <w:tc>
          <w:tcPr>
            <w:tcW w:w="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7,214,965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8,653,664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6,505,034</w:t>
            </w:r>
          </w:p>
        </w:tc>
        <w:tc>
          <w:tcPr>
            <w:tcW w:w="14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17,931,973</w:t>
            </w: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Due from related parties</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Prepaid taxes and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2"/>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7,514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711</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3,700</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32,834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9,762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21,000</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31,017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7,143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29,423</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7,035</w:t>
            </w:r>
          </w:p>
        </w:tc>
        <w:tc>
          <w:tcPr>
            <w:tcW w:w="80" w:type="dxa"/>
            <w:vAlign w:val="bottom"/>
          </w:tcPr>
          <w:p>
            <w:pPr>
              <w:spacing w:after="0"/>
              <w:rPr>
                <w:sz w:val="13"/>
                <w:szCs w:val="13"/>
                <w:color w:val="auto"/>
              </w:rPr>
            </w:pP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36"/>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42,404,279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35,840,822</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16,265,778</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39,348,485</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38,376,603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22,428,107</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17,491,661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14,899,193</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11,751,372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13,720,796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9,719,951</w:t>
            </w:r>
          </w:p>
        </w:tc>
        <w:tc>
          <w:tcPr>
            <w:tcW w:w="14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24,078,886</w:t>
            </w:r>
          </w:p>
        </w:tc>
        <w:tc>
          <w:tcPr>
            <w:tcW w:w="80" w:type="dxa"/>
            <w:vAlign w:val="bottom"/>
          </w:tcPr>
          <w:p>
            <w:pPr>
              <w:spacing w:after="0"/>
              <w:rPr>
                <w:sz w:val="11"/>
                <w:szCs w:val="11"/>
                <w:color w:val="auto"/>
              </w:rPr>
            </w:pP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06"/>
        </w:trPr>
        <w:tc>
          <w:tcPr>
            <w:tcW w:w="14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Property and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4"/>
        </w:trPr>
        <w:tc>
          <w:tcPr>
            <w:tcW w:w="1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556,953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2,189,039</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110,856</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751,910</w:t>
            </w:r>
          </w:p>
        </w:tc>
        <w:tc>
          <w:tcPr>
            <w:tcW w:w="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1,469,179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1,194,905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4,050,772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134,599</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364,448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317,354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473,854</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367,116</w:t>
            </w:r>
          </w:p>
        </w:tc>
        <w:tc>
          <w:tcPr>
            <w:tcW w:w="80" w:type="dxa"/>
            <w:vAlign w:val="bottom"/>
          </w:tcPr>
          <w:p>
            <w:pPr>
              <w:spacing w:after="0"/>
              <w:rPr>
                <w:sz w:val="13"/>
                <w:szCs w:val="13"/>
                <w:color w:val="auto"/>
              </w:rPr>
            </w:pP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24"/>
        </w:trPr>
        <w:tc>
          <w:tcPr>
            <w:tcW w:w="14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Other Assets</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Right of use assets, net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38,092,949</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9"/>
              </w:rPr>
              <w:t>16,255,595</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4,621,375</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9,491,041</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15,398,793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11,814,293</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4,081,292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5,451,657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5,061,756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3,785,956</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6,656,678</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8,955,881</w:t>
            </w: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Due from owner</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25,718,974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2,100,953</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10,102,552</w:t>
            </w:r>
          </w:p>
        </w:tc>
        <w:tc>
          <w:tcPr>
            <w:tcW w:w="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7,061,004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8,000,429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576,929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5,273,670</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10,364,797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6,417,200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4,710,055</w:t>
            </w:r>
          </w:p>
        </w:tc>
        <w:tc>
          <w:tcPr>
            <w:tcW w:w="14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3,701,178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2,942,312</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0"/>
                <w:szCs w:val="10"/>
                <w:color w:val="auto"/>
              </w:rPr>
            </w:pP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 in</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partnerships</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r>
      <w:tr>
        <w:trPr>
          <w:trHeight w:val="136"/>
        </w:trPr>
        <w:tc>
          <w:tcPr>
            <w:tcW w:w="140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Other assets</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6"/>
        </w:trPr>
        <w:tc>
          <w:tcPr>
            <w:tcW w:w="14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Other Assets</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63,811,923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18,356,548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14,723,927</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16,552,045</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23,399,222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15,515,471</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4,658,221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10,725,327</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15,426,553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10,203,156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14,309,045</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9,455,881</w:t>
            </w:r>
          </w:p>
        </w:tc>
        <w:tc>
          <w:tcPr>
            <w:tcW w:w="80" w:type="dxa"/>
            <w:vAlign w:val="bottom"/>
            <w:shd w:val="clear" w:color="auto" w:fill="CCEEFF"/>
          </w:tcPr>
          <w:p>
            <w:pPr>
              <w:spacing w:after="0"/>
              <w:rPr>
                <w:sz w:val="11"/>
                <w:szCs w:val="11"/>
                <w:color w:val="auto"/>
              </w:rPr>
            </w:pP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9"/>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3"/>
              </w:rPr>
              <w:t>106,773,155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56,386,409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31,100,561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6"/>
              </w:rPr>
              <w:t>56,652,440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63,245,004</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39,138,483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26,200,654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25,759,119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27,542,373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6"/>
              </w:rPr>
              <w:t>24,241,306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24,502,850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33,901,883</w:t>
            </w:r>
          </w:p>
        </w:tc>
        <w:tc>
          <w:tcPr>
            <w:tcW w:w="80" w:type="dxa"/>
            <w:vAlign w:val="bottom"/>
            <w:shd w:val="clear" w:color="auto" w:fill="CCEEFF"/>
          </w:tcPr>
          <w:p>
            <w:pPr>
              <w:spacing w:after="0"/>
              <w:rPr>
                <w:sz w:val="12"/>
                <w:szCs w:val="12"/>
                <w:color w:val="auto"/>
              </w:rPr>
            </w:pPr>
          </w:p>
        </w:tc>
      </w:tr>
      <w:tr>
        <w:trPr>
          <w:trHeight w:val="20"/>
        </w:trPr>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88"/>
        </w:trPr>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98"/>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Floorplan notes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20,745,163</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9"/>
              </w:rPr>
              <w:t>26,393,510</w:t>
            </w:r>
          </w:p>
        </w:tc>
        <w:tc>
          <w:tcPr>
            <w:tcW w:w="1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9,903,593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6"/>
              </w:rPr>
              <w:t>27,570,456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30,608,504</w:t>
            </w:r>
          </w:p>
        </w:tc>
        <w:tc>
          <w:tcPr>
            <w:tcW w:w="16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13,158,315</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12,381,231</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8,418,745</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7,949,267</w:t>
            </w:r>
          </w:p>
        </w:tc>
        <w:tc>
          <w:tcPr>
            <w:tcW w:w="80" w:type="dxa"/>
            <w:vAlign w:val="bottom"/>
          </w:tcPr>
          <w:p>
            <w:pPr>
              <w:spacing w:after="0"/>
              <w:rPr>
                <w:sz w:val="10"/>
                <w:szCs w:val="10"/>
                <w:color w:val="auto"/>
              </w:rPr>
            </w:pPr>
          </w:p>
        </w:tc>
        <w:tc>
          <w:tcPr>
            <w:tcW w:w="16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6,710,715</w:t>
            </w:r>
          </w:p>
        </w:tc>
        <w:tc>
          <w:tcPr>
            <w:tcW w:w="14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5,684,664</w:t>
            </w:r>
          </w:p>
        </w:tc>
        <w:tc>
          <w:tcPr>
            <w:tcW w:w="14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18,635,944</w:t>
            </w:r>
          </w:p>
        </w:tc>
        <w:tc>
          <w:tcPr>
            <w:tcW w:w="80" w:type="dxa"/>
            <w:vAlign w:val="bottom"/>
          </w:tcPr>
          <w:p>
            <w:pPr>
              <w:spacing w:after="0"/>
              <w:rPr>
                <w:sz w:val="10"/>
                <w:szCs w:val="10"/>
                <w:color w:val="auto"/>
              </w:rPr>
            </w:pP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3,140,397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1,597,777</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380,988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1,911,383</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3,691,692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1,267,309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821,924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996,975</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1,054,689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816,328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1,340,576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1,250,366</w:t>
            </w:r>
          </w:p>
        </w:tc>
        <w:tc>
          <w:tcPr>
            <w:tcW w:w="80" w:type="dxa"/>
            <w:vAlign w:val="bottom"/>
            <w:shd w:val="clear" w:color="auto" w:fill="CCEEFF"/>
          </w:tcPr>
          <w:p>
            <w:pPr>
              <w:spacing w:after="0"/>
              <w:rPr>
                <w:sz w:val="12"/>
                <w:szCs w:val="12"/>
                <w:color w:val="auto"/>
              </w:rPr>
            </w:pP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fiancing lease liablity</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404,611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 payable and</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accrued expenses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785,277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3,366,972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2,497,272</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3,226,691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4,972,545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2,665,850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727,407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2,071,516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566,151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1,845,647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887,475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1,632,614</w:t>
            </w:r>
          </w:p>
        </w:tc>
        <w:tc>
          <w:tcPr>
            <w:tcW w:w="80" w:type="dxa"/>
            <w:vAlign w:val="bottom"/>
            <w:shd w:val="clear" w:color="auto" w:fill="CCEEFF"/>
          </w:tcPr>
          <w:p>
            <w:pPr>
              <w:spacing w:after="0"/>
              <w:rPr>
                <w:sz w:val="12"/>
                <w:szCs w:val="12"/>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Income taxes payable</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12,551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9,619</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176,680</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20,871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51,376</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18,307</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3,454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63,306</w:t>
            </w: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 payable</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r>
      <w:tr>
        <w:trPr>
          <w:trHeight w:val="198"/>
        </w:trPr>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36"/>
        </w:trPr>
        <w:tc>
          <w:tcPr>
            <w:tcW w:w="14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24,683,388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31,358,259</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12,791,472</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32,885,210</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39,293,612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17,142,850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14,335,173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11,505,543</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9,573,561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9,372,690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7,912,715</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21,582,230</w:t>
            </w:r>
          </w:p>
        </w:tc>
        <w:tc>
          <w:tcPr>
            <w:tcW w:w="80" w:type="dxa"/>
            <w:vAlign w:val="bottom"/>
            <w:shd w:val="clear" w:color="auto" w:fill="CCEEFF"/>
          </w:tcPr>
          <w:p>
            <w:pPr>
              <w:spacing w:after="0"/>
              <w:rPr>
                <w:sz w:val="11"/>
                <w:szCs w:val="11"/>
                <w:color w:val="auto"/>
              </w:rPr>
            </w:pP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Insurance loss fund</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Operating lease</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liabilities, net of current</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34,952,552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14,385,425</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4,240,387</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7,579,658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11,561,393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10,546,984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3,259,368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4,455,918</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4,007,067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2,969,628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5,316,102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7,705,515</w:t>
            </w:r>
          </w:p>
        </w:tc>
        <w:tc>
          <w:tcPr>
            <w:tcW w:w="80" w:type="dxa"/>
            <w:vAlign w:val="bottom"/>
            <w:shd w:val="clear" w:color="auto" w:fill="CCEEFF"/>
          </w:tcPr>
          <w:p>
            <w:pPr>
              <w:spacing w:after="0"/>
              <w:rPr>
                <w:sz w:val="12"/>
                <w:szCs w:val="12"/>
                <w:color w:val="auto"/>
              </w:rPr>
            </w:pP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Financing lease liability,</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net of current portion</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1,928,495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r>
      <w:tr>
        <w:trPr>
          <w:trHeight w:val="136"/>
        </w:trPr>
        <w:tc>
          <w:tcPr>
            <w:tcW w:w="140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Due to owner</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21,603,571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1,660,814</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3,003,714</w:t>
            </w:r>
          </w:p>
        </w:tc>
        <w:tc>
          <w:tcPr>
            <w:tcW w:w="80" w:type="dxa"/>
            <w:vAlign w:val="bottom"/>
            <w:shd w:val="clear" w:color="auto" w:fill="CCEEFF"/>
          </w:tcPr>
          <w:p>
            <w:pPr>
              <w:spacing w:after="0"/>
              <w:rPr>
                <w:sz w:val="11"/>
                <w:szCs w:val="11"/>
                <w:color w:val="auto"/>
              </w:rPr>
            </w:pP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06"/>
        </w:trPr>
        <w:tc>
          <w:tcPr>
            <w:tcW w:w="14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Long-Term</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54"/>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56,556,123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14,385,425</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4,240,387</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7,579,658</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11,561,393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12,207,798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5,187,863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4,455,918</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4,007,067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2,969,628</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5,316,102</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10,709,229</w:t>
            </w:r>
          </w:p>
        </w:tc>
        <w:tc>
          <w:tcPr>
            <w:tcW w:w="80" w:type="dxa"/>
            <w:vAlign w:val="bottom"/>
            <w:shd w:val="clear" w:color="auto" w:fill="CCEEFF"/>
          </w:tcPr>
          <w:p>
            <w:pPr>
              <w:spacing w:after="0"/>
              <w:rPr>
                <w:sz w:val="13"/>
                <w:szCs w:val="13"/>
                <w:color w:val="auto"/>
              </w:rPr>
            </w:pP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6"/>
        </w:trPr>
        <w:tc>
          <w:tcPr>
            <w:tcW w:w="14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81,239,511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45,743,684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17,031,859</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40,464,868</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50,855,005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29,350,648</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9"/>
              </w:rPr>
              <w:t>19,523,036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15,961,461</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13,580,628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12,342,318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13,228,817</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32,291,459</w:t>
            </w:r>
          </w:p>
        </w:tc>
        <w:tc>
          <w:tcPr>
            <w:tcW w:w="80" w:type="dxa"/>
            <w:vAlign w:val="bottom"/>
            <w:shd w:val="clear" w:color="auto" w:fill="CCEEFF"/>
          </w:tcPr>
          <w:p>
            <w:pPr>
              <w:spacing w:after="0"/>
              <w:rPr>
                <w:sz w:val="11"/>
                <w:szCs w:val="11"/>
                <w:color w:val="auto"/>
              </w:rPr>
            </w:pPr>
          </w:p>
        </w:tc>
      </w:tr>
      <w:tr>
        <w:trPr>
          <w:trHeight w:val="191"/>
        </w:trPr>
        <w:tc>
          <w:tcPr>
            <w:tcW w:w="1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24"/>
        </w:trPr>
        <w:tc>
          <w:tcPr>
            <w:tcW w:w="14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Common stock</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300,000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5,000</w:t>
            </w: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4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50,000</w:t>
            </w:r>
          </w:p>
        </w:tc>
      </w:tr>
      <w:tr>
        <w:trPr>
          <w:trHeight w:val="108"/>
        </w:trPr>
        <w:tc>
          <w:tcPr>
            <w:tcW w:w="14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Additional paid-in</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0"/>
        </w:trPr>
        <w:tc>
          <w:tcPr>
            <w:tcW w:w="1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capital</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2,745,000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895,000</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299,000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400,000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370,000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3,568,444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2,315,914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490,000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Retained earnings</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40"/>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22,488,644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9,742,725</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13,768,702</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6"/>
              </w:rPr>
              <w:t>15,687,572</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12,289,999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9,407,835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3,109,074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7,471,744</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13,451,745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6"/>
              </w:rPr>
              <w:t>10,798,988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10,774,033</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1,560,424</w:t>
            </w:r>
          </w:p>
        </w:tc>
        <w:tc>
          <w:tcPr>
            <w:tcW w:w="80" w:type="dxa"/>
            <w:vAlign w:val="bottom"/>
          </w:tcPr>
          <w:p>
            <w:pPr>
              <w:spacing w:after="0"/>
              <w:rPr>
                <w:sz w:val="12"/>
                <w:szCs w:val="12"/>
                <w:color w:val="auto"/>
              </w:rPr>
            </w:pPr>
          </w:p>
        </w:tc>
      </w:tr>
      <w:tr>
        <w:trPr>
          <w:trHeight w:val="124"/>
        </w:trPr>
        <w:tc>
          <w:tcPr>
            <w:tcW w:w="14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Member's deficit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r>
      <w:tr>
        <w:trPr>
          <w:trHeight w:val="108"/>
        </w:trPr>
        <w:tc>
          <w:tcPr>
            <w:tcW w:w="14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4"/>
        </w:trPr>
        <w:tc>
          <w:tcPr>
            <w:tcW w:w="14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comprehensive income</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52"/>
        </w:trPr>
        <w:tc>
          <w:tcPr>
            <w:tcW w:w="14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36"/>
        </w:trPr>
        <w:tc>
          <w:tcPr>
            <w:tcW w:w="140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Equity (Deficit)</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25,533,644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9"/>
              </w:rPr>
              <w:t>10,642,725</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14,068,702</w:t>
            </w:r>
          </w:p>
        </w:tc>
        <w:tc>
          <w:tcPr>
            <w:tcW w:w="80" w:type="dxa"/>
            <w:vAlign w:val="bottom"/>
          </w:tcPr>
          <w:p>
            <w:pPr>
              <w:spacing w:after="0"/>
              <w:rPr>
                <w:sz w:val="11"/>
                <w:szCs w:val="11"/>
                <w:color w:val="auto"/>
              </w:rPr>
            </w:pPr>
          </w:p>
        </w:tc>
        <w:tc>
          <w:tcPr>
            <w:tcW w:w="72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16,187,572</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12,389,999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9,787,835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6,677,618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9,797,658</w:t>
            </w: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13,961,745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11,898,988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11,274,033</w:t>
            </w:r>
          </w:p>
        </w:tc>
        <w:tc>
          <w:tcPr>
            <w:tcW w:w="14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1,610,424</w:t>
            </w:r>
          </w:p>
        </w:tc>
        <w:tc>
          <w:tcPr>
            <w:tcW w:w="80" w:type="dxa"/>
            <w:vAlign w:val="bottom"/>
          </w:tcPr>
          <w:p>
            <w:pPr>
              <w:spacing w:after="0"/>
              <w:rPr>
                <w:sz w:val="11"/>
                <w:szCs w:val="11"/>
                <w:color w:val="auto"/>
              </w:rPr>
            </w:pPr>
          </w:p>
        </w:tc>
      </w:tr>
      <w:tr>
        <w:trPr>
          <w:trHeight w:val="191"/>
        </w:trPr>
        <w:tc>
          <w:tcPr>
            <w:tcW w:w="1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06"/>
        </w:trPr>
        <w:tc>
          <w:tcPr>
            <w:tcW w:w="14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Liabilities and</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67"/>
        </w:trPr>
        <w:tc>
          <w:tcPr>
            <w:tcW w:w="14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3"/>
              </w:rPr>
              <w:t>106,773,155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56,386,409</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31,100,561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6"/>
              </w:rPr>
              <w:t>56,652,440</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63,245,004</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39,138,483</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26,200,654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25,759,119</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9"/>
              </w:rPr>
              <w:t>27,542,373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6"/>
              </w:rPr>
              <w:t>24,241,306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24,502,850</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33,901,883</w:t>
            </w:r>
          </w:p>
        </w:tc>
        <w:tc>
          <w:tcPr>
            <w:tcW w:w="80" w:type="dxa"/>
            <w:vAlign w:val="bottom"/>
          </w:tcPr>
          <w:p>
            <w:pPr>
              <w:spacing w:after="0"/>
              <w:rPr>
                <w:sz w:val="14"/>
                <w:szCs w:val="14"/>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III – COMBINING BALANCE SHEETS (CONTINUED)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1"/>
              </w:rPr>
              <w:t>Herb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Herb</w:t>
            </w:r>
          </w:p>
        </w:tc>
        <w:tc>
          <w:tcPr>
            <w:tcW w:w="8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Herb</w:t>
            </w:r>
          </w:p>
        </w:tc>
        <w:tc>
          <w:tcPr>
            <w:tcW w:w="6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Herb</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Herb Chambers</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800" w:type="dxa"/>
            <w:vAlign w:val="bottom"/>
            <w:gridSpan w:val="3"/>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78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2"/>
                <w:szCs w:val="12"/>
                <w:color w:val="auto"/>
              </w:rPr>
              <w:t>Chambers of</w:t>
            </w:r>
          </w:p>
        </w:tc>
        <w:tc>
          <w:tcPr>
            <w:tcW w:w="60" w:type="dxa"/>
            <w:vAlign w:val="bottom"/>
          </w:tcPr>
          <w:p>
            <w:pPr>
              <w:spacing w:after="0"/>
              <w:rPr>
                <w:sz w:val="11"/>
                <w:szCs w:val="11"/>
                <w:color w:val="auto"/>
              </w:rPr>
            </w:pPr>
          </w:p>
        </w:tc>
        <w:tc>
          <w:tcPr>
            <w:tcW w:w="6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color w:val="auto"/>
                <w:w w:val="95"/>
              </w:rPr>
              <w:t>Dinger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80" w:type="dxa"/>
            <w:vAlign w:val="bottom"/>
          </w:tcPr>
          <w:p>
            <w:pPr>
              <w:spacing w:after="0"/>
              <w:rPr>
                <w:sz w:val="11"/>
                <w:szCs w:val="11"/>
                <w:color w:val="auto"/>
              </w:rPr>
            </w:pPr>
          </w:p>
        </w:tc>
        <w:tc>
          <w:tcPr>
            <w:tcW w:w="72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rPr>
              <w:t>Andover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w w:val="97"/>
              </w:rPr>
              <w:t>22 Brighton</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6"/>
              </w:rPr>
              <w:t>Boston Post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6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120" w:type="dxa"/>
            <w:vAlign w:val="bottom"/>
          </w:tcPr>
          <w:p>
            <w:pPr>
              <w:spacing w:after="0"/>
              <w:rPr>
                <w:sz w:val="11"/>
                <w:szCs w:val="11"/>
                <w:color w:val="auto"/>
              </w:rPr>
            </w:pPr>
          </w:p>
        </w:tc>
        <w:tc>
          <w:tcPr>
            <w:tcW w:w="66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9"/>
              </w:rPr>
              <w:t>of</w:t>
            </w:r>
          </w:p>
        </w:tc>
      </w:tr>
      <w:tr>
        <w:trPr>
          <w:trHeight w:val="140"/>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4"/>
              </w:rPr>
              <w:t>I-95, Inc.</w:t>
            </w:r>
          </w:p>
        </w:tc>
        <w:tc>
          <w:tcPr>
            <w:tcW w:w="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Millbury, Inc.</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Auburn, Inc.</w:t>
            </w:r>
          </w:p>
        </w:tc>
        <w:tc>
          <w:tcPr>
            <w:tcW w:w="6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1168,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7"/>
              </w:rPr>
              <w:t>Ford, Inc.</w:t>
            </w: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Westborough, Inc.</w:t>
            </w: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Street, Inc.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Ave., Inc.</w:t>
            </w:r>
          </w:p>
        </w:tc>
        <w:tc>
          <w:tcPr>
            <w:tcW w:w="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Road, Inc.</w:t>
            </w:r>
          </w:p>
        </w:tc>
        <w:tc>
          <w:tcPr>
            <w:tcW w:w="6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w w:val="97"/>
              </w:rPr>
              <w:t>Wayland,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5"/>
              </w:rPr>
              <w:t>Natick, Inc.</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5"/>
              </w:rPr>
              <w:t>Sudbury, Inc.</w:t>
            </w:r>
          </w:p>
        </w:tc>
      </w:tr>
      <w:tr>
        <w:trPr>
          <w:trHeight w:val="116"/>
        </w:trPr>
        <w:tc>
          <w:tcPr>
            <w:tcW w:w="122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Assets</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Cash</w:t>
            </w:r>
          </w:p>
        </w:tc>
        <w:tc>
          <w:tcPr>
            <w:tcW w:w="1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602,143</w:t>
            </w:r>
          </w:p>
        </w:tc>
        <w:tc>
          <w:tcPr>
            <w:tcW w:w="16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1,098,421</w:t>
            </w:r>
          </w:p>
        </w:tc>
        <w:tc>
          <w:tcPr>
            <w:tcW w:w="160" w:type="dxa"/>
            <w:vAlign w:val="bottom"/>
          </w:tcPr>
          <w:p>
            <w:pPr>
              <w:spacing w:after="0"/>
              <w:rPr>
                <w:sz w:val="10"/>
                <w:szCs w:val="10"/>
                <w:color w:val="auto"/>
              </w:rPr>
            </w:pP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1,324,503</w:t>
            </w:r>
          </w:p>
        </w:tc>
        <w:tc>
          <w:tcPr>
            <w:tcW w:w="1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1,254,546</w:t>
            </w:r>
          </w:p>
        </w:tc>
        <w:tc>
          <w:tcPr>
            <w:tcW w:w="14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1,790,081</w:t>
            </w:r>
          </w:p>
        </w:tc>
        <w:tc>
          <w:tcPr>
            <w:tcW w:w="18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1,513,778</w:t>
            </w: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935,564</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11,969</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2,180,579</w:t>
            </w:r>
          </w:p>
        </w:tc>
        <w:tc>
          <w:tcPr>
            <w:tcW w:w="18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2,125,232</w:t>
            </w:r>
          </w:p>
        </w:tc>
        <w:tc>
          <w:tcPr>
            <w:tcW w:w="14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2,509,080</w:t>
            </w:r>
          </w:p>
        </w:tc>
        <w:tc>
          <w:tcPr>
            <w:tcW w:w="160" w:type="dxa"/>
            <w:vAlign w:val="bottom"/>
          </w:tcPr>
          <w:p>
            <w:pPr>
              <w:spacing w:after="0"/>
              <w:rPr>
                <w:sz w:val="10"/>
                <w:szCs w:val="10"/>
                <w:color w:val="auto"/>
              </w:rPr>
            </w:pPr>
          </w:p>
        </w:tc>
        <w:tc>
          <w:tcPr>
            <w:tcW w:w="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919,598</w:t>
            </w:r>
          </w:p>
        </w:tc>
        <w:tc>
          <w:tcPr>
            <w:tcW w:w="60" w:type="dxa"/>
            <w:vAlign w:val="bottom"/>
          </w:tcPr>
          <w:p>
            <w:pPr>
              <w:spacing w:after="0"/>
              <w:rPr>
                <w:sz w:val="10"/>
                <w:szCs w:val="10"/>
                <w:color w:val="auto"/>
              </w:rPr>
            </w:pPr>
          </w:p>
        </w:tc>
      </w:tr>
      <w:tr>
        <w:trPr>
          <w:trHeight w:val="124"/>
        </w:trPr>
        <w:tc>
          <w:tcPr>
            <w:tcW w:w="122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750,000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2,000,000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2,500,000</w:t>
            </w:r>
          </w:p>
        </w:tc>
        <w:tc>
          <w:tcPr>
            <w:tcW w:w="60" w:type="dxa"/>
            <w:vAlign w:val="bottom"/>
            <w:shd w:val="clear" w:color="auto" w:fill="CCEEFF"/>
          </w:tcPr>
          <w:p>
            <w:pPr>
              <w:spacing w:after="0"/>
              <w:rPr>
                <w:sz w:val="10"/>
                <w:szCs w:val="10"/>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 receivable,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1,080,244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1,303,602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2,079,235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955,869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608,361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1,404,666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2,318,322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(157)</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7,265,079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2,440,055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2,853,451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1,817,158</w:t>
            </w:r>
          </w:p>
        </w:tc>
        <w:tc>
          <w:tcPr>
            <w:tcW w:w="60" w:type="dxa"/>
            <w:vAlign w:val="bottom"/>
            <w:shd w:val="clear" w:color="auto" w:fill="CCEEFF"/>
          </w:tcPr>
          <w:p>
            <w:pPr>
              <w:spacing w:after="0"/>
              <w:rPr>
                <w:sz w:val="12"/>
                <w:szCs w:val="12"/>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Inventories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99"/>
              </w:rPr>
              <w:t>21,326,858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14,502,039</w:t>
            </w: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6"/>
              </w:rPr>
              <w:t>13,349,690</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2,660,767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9,317,571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11,679,696</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7,274,418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219,698</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20,200,279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15,989,428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19,922,394</w:t>
            </w: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10,596,134</w:t>
            </w: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Due from related</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parties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Prepaid taxes and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2"/>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67,923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474,744</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94,043</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74,048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129,937</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2,250</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40,235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2,167</w:t>
            </w:r>
          </w:p>
        </w:tc>
        <w:tc>
          <w:tcPr>
            <w:tcW w:w="60" w:type="dxa"/>
            <w:vAlign w:val="bottom"/>
          </w:tcPr>
          <w:p>
            <w:pPr>
              <w:spacing w:after="0"/>
              <w:rPr>
                <w:sz w:val="13"/>
                <w:szCs w:val="13"/>
                <w:color w:val="auto"/>
              </w:rPr>
            </w:pPr>
          </w:p>
        </w:tc>
      </w:tr>
      <w:tr>
        <w:trPr>
          <w:trHeight w:val="116"/>
        </w:trPr>
        <w:tc>
          <w:tcPr>
            <w:tcW w:w="1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36"/>
        </w:trPr>
        <w:tc>
          <w:tcPr>
            <w:tcW w:w="122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24,577,168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9"/>
              </w:rPr>
              <w:t>19,878,806</w:t>
            </w:r>
          </w:p>
        </w:tc>
        <w:tc>
          <w:tcPr>
            <w:tcW w:w="8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18,847,471</w:t>
            </w: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5,695,230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13,216,013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17,228,077</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12,528,304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233,760</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30,686,172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21,555,999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27,784,925</w:t>
            </w:r>
          </w:p>
        </w:tc>
        <w:tc>
          <w:tcPr>
            <w:tcW w:w="12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15,835,057</w:t>
            </w:r>
          </w:p>
        </w:tc>
        <w:tc>
          <w:tcPr>
            <w:tcW w:w="60" w:type="dxa"/>
            <w:vAlign w:val="bottom"/>
          </w:tcPr>
          <w:p>
            <w:pPr>
              <w:spacing w:after="0"/>
              <w:rPr>
                <w:sz w:val="11"/>
                <w:szCs w:val="11"/>
                <w:color w:val="auto"/>
              </w:rPr>
            </w:pPr>
          </w:p>
        </w:tc>
      </w:tr>
      <w:tr>
        <w:trPr>
          <w:trHeight w:val="116"/>
        </w:trPr>
        <w:tc>
          <w:tcPr>
            <w:tcW w:w="1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06"/>
        </w:trPr>
        <w:tc>
          <w:tcPr>
            <w:tcW w:w="122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Property and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4"/>
        </w:trPr>
        <w:tc>
          <w:tcPr>
            <w:tcW w:w="1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Equipment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194,268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194,340</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1,587,269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106,128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647,816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75,143</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569,058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1,649</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944,739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543,826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367,708</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519,419</w:t>
            </w:r>
          </w:p>
        </w:tc>
        <w:tc>
          <w:tcPr>
            <w:tcW w:w="60" w:type="dxa"/>
            <w:vAlign w:val="bottom"/>
          </w:tcPr>
          <w:p>
            <w:pPr>
              <w:spacing w:after="0"/>
              <w:rPr>
                <w:sz w:val="13"/>
                <w:szCs w:val="13"/>
                <w:color w:val="auto"/>
              </w:rPr>
            </w:pPr>
          </w:p>
        </w:tc>
      </w:tr>
      <w:tr>
        <w:trPr>
          <w:trHeight w:val="116"/>
        </w:trPr>
        <w:tc>
          <w:tcPr>
            <w:tcW w:w="1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24"/>
        </w:trPr>
        <w:tc>
          <w:tcPr>
            <w:tcW w:w="122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Other Assets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Right of use assets,</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4,613,634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2,067,929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10,241,956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4,875,628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7,236,979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4,584,859</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7,132,154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15,053,966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3,420,230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9,183,644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7,155,283</w:t>
            </w:r>
          </w:p>
        </w:tc>
        <w:tc>
          <w:tcPr>
            <w:tcW w:w="60" w:type="dxa"/>
            <w:vAlign w:val="bottom"/>
            <w:shd w:val="clear" w:color="auto" w:fill="CCEEFF"/>
          </w:tcPr>
          <w:p>
            <w:pPr>
              <w:spacing w:after="0"/>
              <w:rPr>
                <w:sz w:val="12"/>
                <w:szCs w:val="12"/>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Due from owner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4,976,927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6"/>
              </w:rPr>
              <w:t>10,079,478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7,641,578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13,131,002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656,580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980,043</w:t>
            </w: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24"/>
        </w:trPr>
        <w:tc>
          <w:tcPr>
            <w:tcW w:w="122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1,507,500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822,222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2,557,482</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3,001,001</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4,520,594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4,131,033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3,490,733</w:t>
            </w:r>
          </w:p>
        </w:tc>
        <w:tc>
          <w:tcPr>
            <w:tcW w:w="60" w:type="dxa"/>
            <w:vAlign w:val="bottom"/>
            <w:shd w:val="clear" w:color="auto" w:fill="CCEEFF"/>
          </w:tcPr>
          <w:p>
            <w:pPr>
              <w:spacing w:after="0"/>
              <w:rPr>
                <w:sz w:val="10"/>
                <w:szCs w:val="10"/>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 in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0"/>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partnerships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r>
      <w:tr>
        <w:trPr>
          <w:trHeight w:val="136"/>
        </w:trPr>
        <w:tc>
          <w:tcPr>
            <w:tcW w:w="122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Other assets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r>
      <w:tr>
        <w:trPr>
          <w:trHeight w:val="116"/>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36"/>
        </w:trPr>
        <w:tc>
          <w:tcPr>
            <w:tcW w:w="1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Other Assets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11,098,061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2,067,929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10,241,956</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15,777,328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14,878,557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7,142,341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23,264,157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19,574,560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4,076,810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14,294,720</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10,646,016</w:t>
            </w:r>
          </w:p>
        </w:tc>
        <w:tc>
          <w:tcPr>
            <w:tcW w:w="60" w:type="dxa"/>
            <w:vAlign w:val="bottom"/>
            <w:shd w:val="clear" w:color="auto" w:fill="CCEEFF"/>
          </w:tcPr>
          <w:p>
            <w:pPr>
              <w:spacing w:after="0"/>
              <w:rPr>
                <w:sz w:val="11"/>
                <w:szCs w:val="11"/>
                <w:color w:val="auto"/>
              </w:rPr>
            </w:pPr>
          </w:p>
        </w:tc>
      </w:tr>
      <w:tr>
        <w:trPr>
          <w:trHeight w:val="116"/>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35,869,497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22,141,075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30,676,696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6"/>
              </w:rPr>
              <w:t>21,578,686</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28,742,386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24,445,561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36,361,519</w:t>
            </w: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235,409</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51,205,471</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26,176,635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42,447,353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27,000,492</w:t>
            </w:r>
          </w:p>
        </w:tc>
        <w:tc>
          <w:tcPr>
            <w:tcW w:w="60" w:type="dxa"/>
            <w:vAlign w:val="bottom"/>
            <w:shd w:val="clear" w:color="auto" w:fill="CCEEFF"/>
          </w:tcPr>
          <w:p>
            <w:pPr>
              <w:spacing w:after="0"/>
              <w:rPr>
                <w:sz w:val="12"/>
                <w:szCs w:val="12"/>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13"/>
        </w:trPr>
        <w:tc>
          <w:tcPr>
            <w:tcW w:w="12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Liabilities and Equity</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Liabilities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Floorplan notes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0"/>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payable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9"/>
              </w:rPr>
              <w:t>23,994,467</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18,031,524</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6"/>
              </w:rPr>
              <w:t>11,461,893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2,082,991</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9,406,509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13,142,013</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7,886,929</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197,108</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18,310,937</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14,823,579</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16,372,223</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7,798,150</w:t>
            </w:r>
          </w:p>
        </w:tc>
        <w:tc>
          <w:tcPr>
            <w:tcW w:w="60" w:type="dxa"/>
            <w:vAlign w:val="bottom"/>
          </w:tcPr>
          <w:p>
            <w:pPr>
              <w:spacing w:after="0"/>
              <w:rPr>
                <w:sz w:val="12"/>
                <w:szCs w:val="12"/>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4"/>
        </w:trPr>
        <w:tc>
          <w:tcPr>
            <w:tcW w:w="122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operating lease</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liabilities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929,131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413,750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2,062,535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651,614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1,457,441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923,336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755,124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1,540,717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911,140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2,356,502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1,615,358</w:t>
            </w:r>
          </w:p>
        </w:tc>
        <w:tc>
          <w:tcPr>
            <w:tcW w:w="60" w:type="dxa"/>
            <w:vAlign w:val="bottom"/>
            <w:shd w:val="clear" w:color="auto" w:fill="CCEEFF"/>
          </w:tcPr>
          <w:p>
            <w:pPr>
              <w:spacing w:after="0"/>
              <w:rPr>
                <w:sz w:val="12"/>
                <w:szCs w:val="12"/>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 portion of</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0"/>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fiancing lease liablity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w w:val="99"/>
              </w:rPr>
              <w:t>Accounts payable and</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4"/>
        </w:trPr>
        <w:tc>
          <w:tcPr>
            <w:tcW w:w="122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other accrued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676,700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881,185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2,207,694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1,019,751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774,620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1,027,021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1,336,449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22,742</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2,903,062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6,241,402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3,835,060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1,821,009</w:t>
            </w:r>
          </w:p>
        </w:tc>
        <w:tc>
          <w:tcPr>
            <w:tcW w:w="60" w:type="dxa"/>
            <w:vAlign w:val="bottom"/>
            <w:shd w:val="clear" w:color="auto" w:fill="CCEEFF"/>
          </w:tcPr>
          <w:p>
            <w:pPr>
              <w:spacing w:after="0"/>
              <w:rPr>
                <w:sz w:val="12"/>
                <w:szCs w:val="12"/>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Income taxes payable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3,725</w:t>
            </w: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24,614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72,216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8,873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20,392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9,429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26,171</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24,492</w:t>
            </w:r>
          </w:p>
        </w:tc>
      </w:tr>
      <w:tr>
        <w:trPr>
          <w:trHeight w:val="124"/>
        </w:trPr>
        <w:tc>
          <w:tcPr>
            <w:tcW w:w="122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 payable</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r>
      <w:tr>
        <w:trPr>
          <w:trHeight w:val="124"/>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Current</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25,600,298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19,330,184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15,732,122</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3,778,970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11,710,786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15,092,370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9,987,375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219,850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22,775,108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21,985,550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22,589,956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11,259,009</w:t>
            </w:r>
          </w:p>
        </w:tc>
        <w:tc>
          <w:tcPr>
            <w:tcW w:w="60" w:type="dxa"/>
            <w:vAlign w:val="bottom"/>
            <w:shd w:val="clear" w:color="auto" w:fill="CCEEFF"/>
          </w:tcPr>
          <w:p>
            <w:pPr>
              <w:spacing w:after="0"/>
              <w:rPr>
                <w:sz w:val="13"/>
                <w:szCs w:val="13"/>
                <w:color w:val="auto"/>
              </w:rPr>
            </w:pPr>
          </w:p>
        </w:tc>
      </w:tr>
      <w:tr>
        <w:trPr>
          <w:trHeight w:val="116"/>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Long-Term Liabilities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Insurance loss fund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Operating lease</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24"/>
        </w:trPr>
        <w:tc>
          <w:tcPr>
            <w:tcW w:w="122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liabilities, net of</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current portion</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3,684,503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1,654,179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8,179,421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4,224,014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5,779,538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3,661,523</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6,377,030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13,513,249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2,509,090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6,827,142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5,539,925</w:t>
            </w:r>
          </w:p>
        </w:tc>
        <w:tc>
          <w:tcPr>
            <w:tcW w:w="60" w:type="dxa"/>
            <w:vAlign w:val="bottom"/>
            <w:shd w:val="clear" w:color="auto" w:fill="CCEEFF"/>
          </w:tcPr>
          <w:p>
            <w:pPr>
              <w:spacing w:after="0"/>
              <w:rPr>
                <w:sz w:val="12"/>
                <w:szCs w:val="12"/>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Financing lease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w w:val="98"/>
              </w:rPr>
              <w:t>liability, net of current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0"/>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r>
      <w:tr>
        <w:trPr>
          <w:trHeight w:val="136"/>
        </w:trPr>
        <w:tc>
          <w:tcPr>
            <w:tcW w:w="122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Due to owner</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176,558</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875,248</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1,844,651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67,850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4,467,566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4,486,245</w:t>
            </w:r>
          </w:p>
        </w:tc>
        <w:tc>
          <w:tcPr>
            <w:tcW w:w="60" w:type="dxa"/>
            <w:vAlign w:val="bottom"/>
            <w:shd w:val="clear" w:color="auto" w:fill="CCEEFF"/>
          </w:tcPr>
          <w:p>
            <w:pPr>
              <w:spacing w:after="0"/>
              <w:rPr>
                <w:sz w:val="11"/>
                <w:szCs w:val="11"/>
                <w:color w:val="auto"/>
              </w:rPr>
            </w:pPr>
          </w:p>
        </w:tc>
      </w:tr>
      <w:tr>
        <w:trPr>
          <w:trHeight w:val="116"/>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Long-Term</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3,684,503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1,830,737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9,054,669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4,224,014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5,779,538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5,506,174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6,377,030</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67,850</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17,980,815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2,509,090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6,827,142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10,026,170</w:t>
            </w:r>
          </w:p>
        </w:tc>
        <w:tc>
          <w:tcPr>
            <w:tcW w:w="60" w:type="dxa"/>
            <w:vAlign w:val="bottom"/>
            <w:shd w:val="clear" w:color="auto" w:fill="CCEEFF"/>
          </w:tcPr>
          <w:p>
            <w:pPr>
              <w:spacing w:after="0"/>
              <w:rPr>
                <w:sz w:val="13"/>
                <w:szCs w:val="13"/>
                <w:color w:val="auto"/>
              </w:rPr>
            </w:pPr>
          </w:p>
        </w:tc>
      </w:tr>
      <w:tr>
        <w:trPr>
          <w:trHeight w:val="116"/>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36"/>
        </w:trPr>
        <w:tc>
          <w:tcPr>
            <w:tcW w:w="1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9"/>
              </w:rPr>
              <w:t>29,284,801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9"/>
              </w:rPr>
              <w:t>21,160,921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24,786,791</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8,002,984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17,490,324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20,598,544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16,364,405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287,700</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40,755,923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24,494,640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29,417,098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21,285,179</w:t>
            </w:r>
          </w:p>
        </w:tc>
        <w:tc>
          <w:tcPr>
            <w:tcW w:w="60" w:type="dxa"/>
            <w:vAlign w:val="bottom"/>
            <w:shd w:val="clear" w:color="auto" w:fill="CCEEFF"/>
          </w:tcPr>
          <w:p>
            <w:pPr>
              <w:spacing w:after="0"/>
              <w:rPr>
                <w:sz w:val="11"/>
                <w:szCs w:val="11"/>
                <w:color w:val="auto"/>
              </w:rPr>
            </w:pPr>
          </w:p>
        </w:tc>
      </w:tr>
      <w:tr>
        <w:trPr>
          <w:trHeight w:val="116"/>
        </w:trPr>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Equity</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Common stock</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250,000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500,000</w:t>
            </w:r>
          </w:p>
        </w:tc>
        <w:tc>
          <w:tcPr>
            <w:tcW w:w="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326,000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500,000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284,000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20" w:type="dxa"/>
            <w:vAlign w:val="bottom"/>
          </w:tcPr>
          <w:p>
            <w:pPr>
              <w:spacing w:after="0"/>
              <w:rPr>
                <w:sz w:val="10"/>
                <w:szCs w:val="10"/>
                <w:color w:val="auto"/>
              </w:rPr>
            </w:pPr>
          </w:p>
        </w:tc>
        <w:tc>
          <w:tcPr>
            <w:tcW w:w="66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10,000</w:t>
            </w: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Additional paid-in</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capital</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155,821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50,000</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813,654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1,748,000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75,270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4,921,000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2,590,000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25,000</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490,000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490,000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690,000</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490,000</w:t>
            </w:r>
          </w:p>
        </w:tc>
        <w:tc>
          <w:tcPr>
            <w:tcW w:w="60" w:type="dxa"/>
            <w:vAlign w:val="bottom"/>
            <w:shd w:val="clear" w:color="auto" w:fill="CCEEFF"/>
          </w:tcPr>
          <w:p>
            <w:pPr>
              <w:spacing w:after="0"/>
              <w:rPr>
                <w:sz w:val="12"/>
                <w:szCs w:val="12"/>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Retained earnings</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40"/>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6,178,875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430,154</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4,750,251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6"/>
              </w:rPr>
              <w:t>11,327,702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6"/>
              </w:rPr>
              <w:t>10,892,792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(1,074,983)</w:t>
            </w: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17,397,114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(78,291)</w:t>
            </w: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9,949,548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1,181,995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12,330,255</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5,215,313</w:t>
            </w:r>
          </w:p>
        </w:tc>
        <w:tc>
          <w:tcPr>
            <w:tcW w:w="60" w:type="dxa"/>
            <w:vAlign w:val="bottom"/>
          </w:tcPr>
          <w:p>
            <w:pPr>
              <w:spacing w:after="0"/>
              <w:rPr>
                <w:sz w:val="12"/>
                <w:szCs w:val="12"/>
                <w:color w:val="auto"/>
              </w:rPr>
            </w:pPr>
          </w:p>
        </w:tc>
      </w:tr>
      <w:tr>
        <w:trPr>
          <w:trHeight w:val="124"/>
        </w:trPr>
        <w:tc>
          <w:tcPr>
            <w:tcW w:w="122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Member's deficit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2"/>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(loss)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16"/>
        </w:trPr>
        <w:tc>
          <w:tcPr>
            <w:tcW w:w="1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36"/>
        </w:trPr>
        <w:tc>
          <w:tcPr>
            <w:tcW w:w="122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Equity (Deficit)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6,584,696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980,154</w:t>
            </w:r>
          </w:p>
        </w:tc>
        <w:tc>
          <w:tcPr>
            <w:tcW w:w="80" w:type="dxa"/>
            <w:vAlign w:val="bottom"/>
          </w:tcPr>
          <w:p>
            <w:pPr>
              <w:spacing w:after="0"/>
              <w:rPr>
                <w:sz w:val="11"/>
                <w:szCs w:val="11"/>
                <w:color w:val="auto"/>
              </w:rPr>
            </w:pPr>
          </w:p>
        </w:tc>
        <w:tc>
          <w:tcPr>
            <w:tcW w:w="54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5,889,905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13,575,702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11,252,062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3,847,017</w:t>
            </w: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19,997,114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rPr>
              <w:t>(52,291)</w:t>
            </w: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10,449,548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1,681,995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13,030,255</w:t>
            </w:r>
          </w:p>
        </w:tc>
        <w:tc>
          <w:tcPr>
            <w:tcW w:w="120" w:type="dxa"/>
            <w:vAlign w:val="bottom"/>
          </w:tcPr>
          <w:p>
            <w:pPr>
              <w:spacing w:after="0"/>
              <w:rPr>
                <w:sz w:val="11"/>
                <w:szCs w:val="11"/>
                <w:color w:val="auto"/>
              </w:rPr>
            </w:pPr>
          </w:p>
        </w:tc>
        <w:tc>
          <w:tcPr>
            <w:tcW w:w="6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5,715,313</w:t>
            </w:r>
          </w:p>
        </w:tc>
        <w:tc>
          <w:tcPr>
            <w:tcW w:w="60" w:type="dxa"/>
            <w:vAlign w:val="bottom"/>
          </w:tcPr>
          <w:p>
            <w:pPr>
              <w:spacing w:after="0"/>
              <w:rPr>
                <w:sz w:val="11"/>
                <w:szCs w:val="11"/>
                <w:color w:val="auto"/>
              </w:rPr>
            </w:pPr>
          </w:p>
        </w:tc>
      </w:tr>
      <w:tr>
        <w:trPr>
          <w:trHeight w:val="116"/>
        </w:trPr>
        <w:tc>
          <w:tcPr>
            <w:tcW w:w="12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06"/>
        </w:trPr>
        <w:tc>
          <w:tcPr>
            <w:tcW w:w="122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Liabilities and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7"/>
        </w:trPr>
        <w:tc>
          <w:tcPr>
            <w:tcW w:w="1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9"/>
              </w:rPr>
              <w:t>35,869,497</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22,141,075</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6"/>
              </w:rPr>
              <w:t>30,676,696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6"/>
              </w:rPr>
              <w:t>21,578,686</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w w:val="96"/>
              </w:rPr>
              <w:t>28,742,386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24,445,561</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36,361,519</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235,409</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51,205,471</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26,176,635</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42,447,353</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27,000,492</w:t>
            </w:r>
          </w:p>
        </w:tc>
        <w:tc>
          <w:tcPr>
            <w:tcW w:w="6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III – COMBINING BALANCE SHEETS (CONTINUED)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Herb</w:t>
            </w:r>
          </w:p>
        </w:tc>
        <w:tc>
          <w:tcPr>
            <w:tcW w:w="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7"/>
              </w:rPr>
              <w:t>Herb Chambers</w:t>
            </w:r>
          </w:p>
        </w:tc>
        <w:tc>
          <w:tcPr>
            <w:tcW w:w="80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w w:val="97"/>
              </w:rPr>
              <w:t>Herb Chambers</w:t>
            </w: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4"/>
              </w:rPr>
              <w:t>Total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Jennings Road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6"/>
        </w:trPr>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60"/>
              <w:spacing w:after="0" w:line="137" w:lineRule="exact"/>
              <w:rPr>
                <w:sz w:val="20"/>
                <w:szCs w:val="20"/>
                <w:color w:val="auto"/>
              </w:rPr>
            </w:pPr>
            <w:r>
              <w:rPr>
                <w:rFonts w:ascii="Times New Roman" w:cs="Times New Roman" w:eastAsia="Times New Roman" w:hAnsi="Times New Roman"/>
                <w:sz w:val="12"/>
                <w:szCs w:val="12"/>
                <w:color w:val="auto"/>
              </w:rPr>
              <w:t>75 Otis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120" w:type="dxa"/>
            <w:vAlign w:val="bottom"/>
          </w:tcPr>
          <w:p>
            <w:pPr>
              <w:spacing w:after="0"/>
              <w:rPr>
                <w:sz w:val="11"/>
                <w:szCs w:val="11"/>
                <w:color w:val="auto"/>
              </w:rPr>
            </w:pPr>
          </w:p>
        </w:tc>
        <w:tc>
          <w:tcPr>
            <w:tcW w:w="64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3"/>
              </w:rPr>
              <w:t>Boston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222"/>
              <w:spacing w:after="0" w:line="137" w:lineRule="exact"/>
              <w:rPr>
                <w:sz w:val="20"/>
                <w:szCs w:val="20"/>
                <w:color w:val="auto"/>
              </w:rPr>
            </w:pPr>
            <w:r>
              <w:rPr>
                <w:rFonts w:ascii="Times New Roman" w:cs="Times New Roman" w:eastAsia="Times New Roman" w:hAnsi="Times New Roman"/>
                <w:sz w:val="12"/>
                <w:szCs w:val="12"/>
                <w:color w:val="auto"/>
              </w:rPr>
              <w:t>395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780" w:type="dxa"/>
            <w:vAlign w:val="bottom"/>
            <w:gridSpan w:val="3"/>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62 Cambridge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7"/>
              </w:rPr>
              <w:t>Retail</w:t>
            </w:r>
          </w:p>
        </w:tc>
        <w:tc>
          <w:tcPr>
            <w:tcW w:w="120" w:type="dxa"/>
            <w:vAlign w:val="bottom"/>
          </w:tcPr>
          <w:p>
            <w:pPr>
              <w:spacing w:after="0"/>
              <w:rPr>
                <w:sz w:val="11"/>
                <w:szCs w:val="11"/>
                <w:color w:val="auto"/>
              </w:rPr>
            </w:pPr>
          </w:p>
        </w:tc>
        <w:tc>
          <w:tcPr>
            <w:tcW w:w="660" w:type="dxa"/>
            <w:vAlign w:val="bottom"/>
            <w:gridSpan w:val="2"/>
          </w:tcPr>
          <w:p>
            <w:pPr>
              <w:jc w:val="right"/>
              <w:ind w:right="300"/>
              <w:spacing w:after="0" w:line="137" w:lineRule="exact"/>
              <w:rPr>
                <w:sz w:val="20"/>
                <w:szCs w:val="20"/>
                <w:color w:val="auto"/>
              </w:rPr>
            </w:pPr>
            <w:r>
              <w:rPr>
                <w:rFonts w:ascii="Times New Roman" w:cs="Times New Roman" w:eastAsia="Times New Roman" w:hAnsi="Times New Roman"/>
                <w:sz w:val="12"/>
                <w:szCs w:val="12"/>
                <w:color w:val="auto"/>
              </w:rPr>
              <w:t>HGC</w:t>
            </w:r>
          </w:p>
        </w:tc>
        <w:tc>
          <w:tcPr>
            <w:tcW w:w="40" w:type="dxa"/>
            <w:vAlign w:val="bottom"/>
          </w:tcPr>
          <w:p>
            <w:pPr>
              <w:spacing w:after="0"/>
              <w:rPr>
                <w:sz w:val="11"/>
                <w:szCs w:val="11"/>
                <w:color w:val="auto"/>
              </w:rPr>
            </w:pPr>
          </w:p>
        </w:tc>
        <w:tc>
          <w:tcPr>
            <w:tcW w:w="720" w:type="dxa"/>
            <w:vAlign w:val="bottom"/>
            <w:gridSpan w:val="3"/>
          </w:tcPr>
          <w:p>
            <w:pPr>
              <w:jc w:val="center"/>
              <w:ind w:right="60"/>
              <w:spacing w:after="0" w:line="137" w:lineRule="exact"/>
              <w:rPr>
                <w:sz w:val="20"/>
                <w:szCs w:val="20"/>
                <w:color w:val="auto"/>
              </w:rPr>
            </w:pPr>
            <w:r>
              <w:rPr>
                <w:rFonts w:ascii="Times New Roman" w:cs="Times New Roman" w:eastAsia="Times New Roman" w:hAnsi="Times New Roman"/>
                <w:sz w:val="12"/>
                <w:szCs w:val="12"/>
                <w:color w:val="auto"/>
                <w:w w:val="98"/>
              </w:rPr>
              <w:t>Management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0"/>
        </w:trPr>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7"/>
              </w:rPr>
              <w:t>Street, Inc.,</w:t>
            </w:r>
          </w:p>
        </w:tc>
        <w:tc>
          <w:tcPr>
            <w:tcW w:w="20" w:type="dxa"/>
            <w:vAlign w:val="bottom"/>
          </w:tcPr>
          <w:p>
            <w:pPr>
              <w:spacing w:after="0"/>
              <w:rPr>
                <w:sz w:val="12"/>
                <w:szCs w:val="12"/>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Burlington, Inc.</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5"/>
              </w:rPr>
              <w:t>1188, Inc.</w:t>
            </w: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Millbury II, Inc.</w:t>
            </w: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93"/>
              </w:rPr>
              <w:t>Turnpike, Inc.</w:t>
            </w:r>
          </w:p>
        </w:tc>
        <w:tc>
          <w:tcPr>
            <w:tcW w:w="4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Broadway, Inc.</w:t>
            </w:r>
          </w:p>
        </w:tc>
        <w:tc>
          <w:tcPr>
            <w:tcW w:w="2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Brookline, Inc.</w:t>
            </w:r>
          </w:p>
        </w:tc>
        <w:tc>
          <w:tcPr>
            <w:tcW w:w="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Street, Inc.</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Dealerships</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Holdings, LLC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6"/>
              </w:rPr>
              <w:t>Corp.</w:t>
            </w:r>
          </w:p>
        </w:tc>
        <w:tc>
          <w:tcPr>
            <w:tcW w:w="60" w:type="dxa"/>
            <w:vAlign w:val="bottom"/>
          </w:tcPr>
          <w:p>
            <w:pPr>
              <w:spacing w:after="0"/>
              <w:rPr>
                <w:sz w:val="12"/>
                <w:szCs w:val="1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Eliminations</w:t>
            </w:r>
          </w:p>
        </w:tc>
        <w:tc>
          <w:tcPr>
            <w:tcW w:w="60" w:type="dxa"/>
            <w:vAlign w:val="bottom"/>
          </w:tcPr>
          <w:p>
            <w:pPr>
              <w:spacing w:after="0"/>
              <w:rPr>
                <w:sz w:val="12"/>
                <w:szCs w:val="12"/>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Total</w:t>
            </w:r>
          </w:p>
        </w:tc>
      </w:tr>
      <w:tr>
        <w:trPr>
          <w:trHeight w:val="116"/>
        </w:trPr>
        <w:tc>
          <w:tcPr>
            <w:tcW w:w="9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Current Assets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Cash</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311,577</w:t>
            </w:r>
          </w:p>
        </w:tc>
        <w:tc>
          <w:tcPr>
            <w:tcW w:w="18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373,473</w:t>
            </w:r>
          </w:p>
        </w:tc>
        <w:tc>
          <w:tcPr>
            <w:tcW w:w="1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660,841</w:t>
            </w:r>
          </w:p>
        </w:tc>
        <w:tc>
          <w:tcPr>
            <w:tcW w:w="20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213,402</w:t>
            </w:r>
          </w:p>
        </w:tc>
        <w:tc>
          <w:tcPr>
            <w:tcW w:w="80" w:type="dxa"/>
            <w:vAlign w:val="bottom"/>
          </w:tcPr>
          <w:p>
            <w:pPr>
              <w:spacing w:after="0"/>
              <w:rPr>
                <w:sz w:val="10"/>
                <w:szCs w:val="10"/>
                <w:color w:val="auto"/>
              </w:rPr>
            </w:pPr>
          </w:p>
        </w:tc>
        <w:tc>
          <w:tcPr>
            <w:tcW w:w="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1,202,130</w:t>
            </w:r>
          </w:p>
        </w:tc>
        <w:tc>
          <w:tcPr>
            <w:tcW w:w="16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996,022</w:t>
            </w:r>
          </w:p>
        </w:tc>
        <w:tc>
          <w:tcPr>
            <w:tcW w:w="1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786,301</w:t>
            </w:r>
          </w:p>
        </w:tc>
        <w:tc>
          <w:tcPr>
            <w:tcW w:w="100" w:type="dxa"/>
            <w:vAlign w:val="bottom"/>
          </w:tcPr>
          <w:p>
            <w:pPr>
              <w:spacing w:after="0"/>
              <w:rPr>
                <w:sz w:val="10"/>
                <w:szCs w:val="10"/>
                <w:color w:val="auto"/>
              </w:rPr>
            </w:pPr>
          </w:p>
        </w:tc>
        <w:tc>
          <w:tcPr>
            <w:tcW w:w="8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2,254,093</w:t>
            </w:r>
          </w:p>
        </w:tc>
        <w:tc>
          <w:tcPr>
            <w:tcW w:w="1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53,467,829</w:t>
            </w:r>
          </w:p>
        </w:tc>
        <w:tc>
          <w:tcPr>
            <w:tcW w:w="12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17,426</w:t>
            </w:r>
          </w:p>
        </w:tc>
        <w:tc>
          <w:tcPr>
            <w:tcW w:w="14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31,488,415</w:t>
            </w:r>
          </w:p>
        </w:tc>
        <w:tc>
          <w:tcPr>
            <w:tcW w:w="12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84,973,670</w:t>
            </w: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Debentures</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1,500,000</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750,000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1,250,000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1,000,000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750,000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48,000,000</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(48,000,000)</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Investments</w:t>
            </w:r>
          </w:p>
        </w:tc>
        <w:tc>
          <w:tcPr>
            <w:tcW w:w="6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69,609,428</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69,609,428</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receivable, net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447,714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659,192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2,964,071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579,398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1,723,054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2,715,078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1,307,556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81,735,117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81,735,117</w:t>
            </w: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Inventories</w:t>
            </w:r>
          </w:p>
        </w:tc>
        <w:tc>
          <w:tcPr>
            <w:tcW w:w="6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8,350,512</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2,540,159</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w w:val="92"/>
              </w:rPr>
              <w:t>17,321,224</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5,875,250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14,226,828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5,978,483</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15,806,775</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7,599,296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413,437,261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7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413,437,261</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Due from</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related parties</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Prepaid taxes</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2"/>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and expenses</w:t>
            </w:r>
          </w:p>
        </w:tc>
        <w:tc>
          <w:tcPr>
            <w:tcW w:w="6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42,782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130,915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6,430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28,940</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1,401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19,527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32,855</w:t>
            </w: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1,299,620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177,553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1,477,173</w:t>
            </w:r>
          </w:p>
        </w:tc>
      </w:tr>
      <w:tr>
        <w:trPr>
          <w:trHeight w:val="116"/>
        </w:trPr>
        <w:tc>
          <w:tcPr>
            <w:tcW w:w="9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Current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4"/>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10,652,585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5,203,739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2"/>
              </w:rPr>
              <w:t>22,452,566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7,009,225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17,259,757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9,717,086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20,091,009</w:t>
            </w: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11,160,945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597,939,827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69,626,854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31,665,968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(48,000,000)</w:t>
            </w: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651,232,649</w:t>
            </w:r>
          </w:p>
        </w:tc>
      </w:tr>
      <w:tr>
        <w:trPr>
          <w:trHeight w:val="116"/>
        </w:trPr>
        <w:tc>
          <w:tcPr>
            <w:tcW w:w="9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Property</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4"/>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and Equipment</w:t>
            </w: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210,770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152,993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969,205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41,014</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90,476</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381,453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552,986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604,636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20,735,881</w:t>
            </w: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865,930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21,601,811</w:t>
            </w:r>
          </w:p>
        </w:tc>
      </w:tr>
      <w:tr>
        <w:trPr>
          <w:trHeight w:val="116"/>
        </w:trPr>
        <w:tc>
          <w:tcPr>
            <w:tcW w:w="9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9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Other Assets</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Right of use</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assets, net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4,359,452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1,203,765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2"/>
              </w:rPr>
              <w:t>23,740,862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1,177,981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6,680,468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3,568,132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12,576,725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7,353,913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265,894,826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248,602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266,143,428</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Due from</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owner</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117,792,171</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(53,531,269)</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64,260,902</w:t>
            </w: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Goodwill</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785,700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6,595,000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34,554,755</w:t>
            </w: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34,554,755</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 in</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partnerships</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1,086,223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1,086,223</w:t>
            </w:r>
          </w:p>
        </w:tc>
      </w:tr>
      <w:tr>
        <w:trPr>
          <w:trHeight w:val="136"/>
        </w:trPr>
        <w:tc>
          <w:tcPr>
            <w:tcW w:w="900" w:type="dxa"/>
            <w:vAlign w:val="bottom"/>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Other assets</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261,453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261,453</w:t>
            </w:r>
          </w:p>
        </w:tc>
      </w:tr>
      <w:tr>
        <w:trPr>
          <w:trHeight w:val="116"/>
        </w:trPr>
        <w:tc>
          <w:tcPr>
            <w:tcW w:w="9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4,359,452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1,203,765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2"/>
              </w:rPr>
              <w:t>23,740,862</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1,177,981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7,466,168</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3,568,132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19,171,725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7,353,913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418,241,752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1,596,278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(53,531,269)</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366,306,761</w:t>
            </w:r>
          </w:p>
        </w:tc>
      </w:tr>
      <w:tr>
        <w:trPr>
          <w:trHeight w:val="116"/>
        </w:trPr>
        <w:tc>
          <w:tcPr>
            <w:tcW w:w="9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15,222,807</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6,560,497</w:t>
            </w:r>
          </w:p>
        </w:tc>
        <w:tc>
          <w:tcPr>
            <w:tcW w:w="4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2"/>
              </w:rPr>
              <w:t>47,162,633</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8,228,220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24,816,401</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13,666,671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39,815,720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19,119,494</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1,036,917,460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69,626,854</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34,128,176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4"/>
              </w:rPr>
              <w:t>(101,531,269)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1,039,141,221</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113"/>
        </w:trPr>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Liabilities and</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4"/>
        </w:trPr>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Current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Floorplan</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notes payable</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8,107,796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2,534,019</w:t>
            </w:r>
          </w:p>
        </w:tc>
        <w:tc>
          <w:tcPr>
            <w:tcW w:w="40" w:type="dxa"/>
            <w:vAlign w:val="bottom"/>
          </w:tcPr>
          <w:p>
            <w:pPr>
              <w:spacing w:after="0"/>
              <w:rPr>
                <w:sz w:val="12"/>
                <w:szCs w:val="12"/>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2"/>
              </w:rPr>
              <w:t>16,716,348</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6,360,648</w:t>
            </w:r>
          </w:p>
        </w:tc>
        <w:tc>
          <w:tcPr>
            <w:tcW w:w="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13,310,767</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6,323,293</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13,948,951</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4,831,749</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403,802,001</w:t>
            </w:r>
          </w:p>
        </w:tc>
        <w:tc>
          <w:tcPr>
            <w:tcW w:w="1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403,802,001</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portion of</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operating lease</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liabilities</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877,942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242,424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2,740,809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127,043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760,618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718,579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1,235,199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793,103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39,382,769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51,636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39,434,405</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Current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portion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fiancing lease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liablity</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404,611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404,611</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Accounts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payable and</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other accrued</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expenses</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772,615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219,392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2,516,015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280,554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413,723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600,707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1,512,068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2,024,968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56,332,153</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1,282,196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57,614,349</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Income taxes</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payable</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3,894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66,045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616,015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646,561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1,262,576</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Debentures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payable</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48,000,000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(48,000,000)</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24"/>
        </w:trPr>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Current</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9,758,353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2,995,835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2"/>
              </w:rPr>
              <w:t>21,973,172</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6,768,245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14,489,002</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7,642,579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16,696,218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7,715,865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500,537,549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47,999,999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1,980,393</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(48,000,000)</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502,517,942</w:t>
            </w:r>
          </w:p>
        </w:tc>
      </w:tr>
      <w:tr>
        <w:trPr>
          <w:trHeight w:val="116"/>
        </w:trPr>
        <w:tc>
          <w:tcPr>
            <w:tcW w:w="9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Long-Term</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4"/>
        </w:trPr>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Insurance loss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fund</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3,665,575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3,665,575</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Operating</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lease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liabilities, net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of current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3,481,510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961,341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2"/>
              </w:rPr>
              <w:t>21,000,053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1,050,938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5,919,850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2,849,553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11,945,136</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6,560,810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226,698,802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196,966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226,895,768</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Financing</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lease liability,</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net of current</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portion</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1,928,495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1,928,495</w:t>
            </w:r>
          </w:p>
        </w:tc>
      </w:tr>
      <w:tr>
        <w:trPr>
          <w:trHeight w:val="136"/>
        </w:trPr>
        <w:tc>
          <w:tcPr>
            <w:tcW w:w="900" w:type="dxa"/>
            <w:vAlign w:val="bottom"/>
          </w:tcPr>
          <w:p>
            <w:pPr>
              <w:ind w:left="140"/>
              <w:spacing w:after="0" w:line="137" w:lineRule="exact"/>
              <w:rPr>
                <w:sz w:val="20"/>
                <w:szCs w:val="20"/>
                <w:color w:val="auto"/>
              </w:rPr>
            </w:pPr>
            <w:r>
              <w:rPr>
                <w:rFonts w:ascii="Times New Roman" w:cs="Times New Roman" w:eastAsia="Times New Roman" w:hAnsi="Times New Roman"/>
                <w:sz w:val="12"/>
                <w:szCs w:val="12"/>
                <w:color w:val="auto"/>
              </w:rPr>
              <w:t>Due to owner</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1,537,800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1,188,009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3,138,575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477,442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2,105,378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2,470,026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540,053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3,887,769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53,531,269</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(53,531,269)</w:t>
            </w: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r>
      <w:tr>
        <w:trPr>
          <w:trHeight w:val="116"/>
        </w:trPr>
        <w:tc>
          <w:tcPr>
            <w:tcW w:w="9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06"/>
        </w:trPr>
        <w:tc>
          <w:tcPr>
            <w:tcW w:w="9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8"/>
              </w:rPr>
              <w:t>Total Long-Term</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4"/>
        </w:trPr>
        <w:tc>
          <w:tcPr>
            <w:tcW w:w="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5,019,310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2,149,350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2"/>
              </w:rPr>
              <w:t>24,138,628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1,528,380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8,025,228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5,319,579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12,485,189</w:t>
            </w: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10,448,579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282,158,566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3,862,541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(53,531,269)</w:t>
            </w: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232,489,838</w:t>
            </w:r>
          </w:p>
        </w:tc>
      </w:tr>
      <w:tr>
        <w:trPr>
          <w:trHeight w:val="116"/>
        </w:trPr>
        <w:tc>
          <w:tcPr>
            <w:tcW w:w="9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6"/>
        </w:trPr>
        <w:tc>
          <w:tcPr>
            <w:tcW w:w="900" w:type="dxa"/>
            <w:vAlign w:val="bottom"/>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0" w:type="dxa"/>
            <w:vAlign w:val="bottom"/>
          </w:tcPr>
          <w:p>
            <w:pPr>
              <w:spacing w:after="0"/>
              <w:rPr>
                <w:sz w:val="11"/>
                <w:szCs w:val="11"/>
                <w:color w:val="auto"/>
              </w:rPr>
            </w:pPr>
          </w:p>
        </w:tc>
        <w:tc>
          <w:tcPr>
            <w:tcW w:w="72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14,777,663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5,145,185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w w:val="92"/>
              </w:rPr>
              <w:t>46,111,800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8,296,625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22,514,230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12,962,158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29,181,407</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18,164,444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782,696,115</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47,999,999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5,842,934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4"/>
              </w:rPr>
              <w:t>(101,531,269)</w:t>
            </w:r>
          </w:p>
        </w:tc>
        <w:tc>
          <w:tcPr>
            <w:tcW w:w="60" w:type="dxa"/>
            <w:vAlign w:val="bottom"/>
          </w:tcPr>
          <w:p>
            <w:pPr>
              <w:spacing w:after="0"/>
              <w:rPr>
                <w:sz w:val="11"/>
                <w:szCs w:val="11"/>
                <w:color w:val="auto"/>
              </w:rPr>
            </w:pPr>
          </w:p>
        </w:tc>
        <w:tc>
          <w:tcPr>
            <w:tcW w:w="720" w:type="dxa"/>
            <w:vAlign w:val="bottom"/>
            <w:gridSpan w:val="2"/>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735,007,780</w:t>
            </w:r>
          </w:p>
        </w:tc>
      </w:tr>
      <w:tr>
        <w:trPr>
          <w:trHeight w:val="116"/>
        </w:trPr>
        <w:tc>
          <w:tcPr>
            <w:tcW w:w="9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90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Common stock</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10,000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2,688,100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2,689,100</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Additional</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 capital</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490,000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490,000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90,000</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490,000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120,000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30,882,103</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543,956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31,426,059</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Retained</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earnings</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0"/>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(54,856)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1,365,312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550,833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(168,405)</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1,802,171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694,513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6,584,313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825,050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220,651,141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27,740,286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248,391,427</w:t>
            </w:r>
          </w:p>
        </w:tc>
      </w:tr>
      <w:tr>
        <w:trPr>
          <w:trHeight w:val="108"/>
        </w:trPr>
        <w:tc>
          <w:tcPr>
            <w:tcW w:w="9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Member's</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deficit</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21,318,729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21,318,729</w:t>
            </w:r>
          </w:p>
        </w:tc>
      </w:tr>
      <w:tr>
        <w:trPr>
          <w:trHeight w:val="108"/>
        </w:trPr>
        <w:tc>
          <w:tcPr>
            <w:tcW w:w="9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24"/>
        </w:trPr>
        <w:tc>
          <w:tcPr>
            <w:tcW w:w="9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comprehensive</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52"/>
        </w:trPr>
        <w:tc>
          <w:tcPr>
            <w:tcW w:w="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income (loss)</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308,126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308,126</w:t>
            </w:r>
          </w:p>
        </w:tc>
      </w:tr>
      <w:tr>
        <w:trPr>
          <w:trHeight w:val="116"/>
        </w:trPr>
        <w:tc>
          <w:tcPr>
            <w:tcW w:w="9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Equity</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445,144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1,415,312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1,050,833</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(68,405)</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2,302,171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704,513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10,634,313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955,050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254,221,344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21,626,855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28,285,242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304,133,441</w:t>
            </w:r>
          </w:p>
        </w:tc>
      </w:tr>
      <w:tr>
        <w:trPr>
          <w:trHeight w:val="116"/>
        </w:trPr>
        <w:tc>
          <w:tcPr>
            <w:tcW w:w="9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9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67"/>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and Equity</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15,222,807</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6,560,497</w:t>
            </w:r>
          </w:p>
        </w:tc>
        <w:tc>
          <w:tcPr>
            <w:tcW w:w="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2"/>
              </w:rPr>
              <w:t>47,162,633</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8,228,220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24,816,401</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13,666,671</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39,815,720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19,119,494</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2"/>
              </w:rPr>
              <w:t>1,036,917,460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69,626,854</w:t>
            </w: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34,128,176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4"/>
              </w:rPr>
              <w:t>(101,531,269)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5"/>
              </w:rPr>
              <w:t>1,039,141,221</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IV – COMBINING STATEMENTS OF OPERATIONS AND COMPREHENSIVE INCOME (LOSS)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Herb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Herb</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Herb Chambers</w:t>
            </w:r>
          </w:p>
        </w:tc>
        <w:tc>
          <w:tcPr>
            <w:tcW w:w="6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Herb</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9"/>
              </w:rPr>
              <w:t>Herb</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1"/>
              </w:rPr>
              <w:t>Herb</w:t>
            </w:r>
          </w:p>
        </w:tc>
        <w:tc>
          <w:tcPr>
            <w:tcW w:w="80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80" w:type="dxa"/>
            <w:vAlign w:val="bottom"/>
          </w:tcPr>
          <w:p>
            <w:pPr>
              <w:spacing w:after="0"/>
              <w:rPr>
                <w:sz w:val="11"/>
                <w:szCs w:val="11"/>
                <w:color w:val="auto"/>
              </w:rPr>
            </w:pPr>
          </w:p>
        </w:tc>
        <w:tc>
          <w:tcPr>
            <w:tcW w:w="70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380"/>
              <w:spacing w:after="0" w:line="137" w:lineRule="exact"/>
              <w:rPr>
                <w:sz w:val="20"/>
                <w:szCs w:val="20"/>
                <w:color w:val="auto"/>
              </w:rPr>
            </w:pPr>
            <w:r>
              <w:rPr>
                <w:rFonts w:ascii="Times New Roman" w:cs="Times New Roman" w:eastAsia="Times New Roman" w:hAnsi="Times New Roman"/>
                <w:sz w:val="12"/>
                <w:szCs w:val="12"/>
                <w:color w:val="auto"/>
              </w:rPr>
              <w:t>Silver</w:t>
            </w:r>
          </w:p>
        </w:tc>
        <w:tc>
          <w:tcPr>
            <w:tcW w:w="80" w:type="dxa"/>
            <w:vAlign w:val="bottom"/>
          </w:tcPr>
          <w:p>
            <w:pPr>
              <w:spacing w:after="0"/>
              <w:rPr>
                <w:sz w:val="11"/>
                <w:szCs w:val="11"/>
                <w:color w:val="auto"/>
              </w:rPr>
            </w:pPr>
          </w:p>
        </w:tc>
        <w:tc>
          <w:tcPr>
            <w:tcW w:w="6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2"/>
                <w:szCs w:val="12"/>
                <w:color w:val="auto"/>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w w:val="97"/>
              </w:rPr>
              <w:t>Cambridge</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60" w:type="dxa"/>
            <w:vAlign w:val="bottom"/>
          </w:tcPr>
          <w:p>
            <w:pPr>
              <w:spacing w:after="0"/>
              <w:rPr>
                <w:sz w:val="11"/>
                <w:szCs w:val="11"/>
                <w:color w:val="auto"/>
              </w:rPr>
            </w:pPr>
          </w:p>
        </w:tc>
        <w:tc>
          <w:tcPr>
            <w:tcW w:w="64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8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2"/>
                <w:szCs w:val="12"/>
                <w:color w:val="auto"/>
                <w:w w:val="94"/>
              </w:rPr>
              <w:t>Chambers</w:t>
            </w:r>
          </w:p>
        </w:tc>
        <w:tc>
          <w:tcPr>
            <w:tcW w:w="140" w:type="dxa"/>
            <w:vAlign w:val="bottom"/>
          </w:tcPr>
          <w:p>
            <w:pPr>
              <w:spacing w:after="0"/>
              <w:rPr>
                <w:sz w:val="11"/>
                <w:szCs w:val="11"/>
                <w:color w:val="auto"/>
              </w:rPr>
            </w:pPr>
          </w:p>
        </w:tc>
        <w:tc>
          <w:tcPr>
            <w:tcW w:w="660" w:type="dxa"/>
            <w:vAlign w:val="bottom"/>
            <w:gridSpan w:val="3"/>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9"/>
              </w:rPr>
              <w:t>of</w:t>
            </w:r>
          </w:p>
        </w:tc>
      </w:tr>
      <w:tr>
        <w:trPr>
          <w:trHeight w:val="140"/>
        </w:trPr>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auto"/>
                <w:w w:val="96"/>
              </w:rPr>
              <w:t>Route 1, Inc.</w:t>
            </w:r>
          </w:p>
        </w:tc>
        <w:tc>
          <w:tcPr>
            <w:tcW w:w="80" w:type="dxa"/>
            <w:vAlign w:val="bottom"/>
          </w:tcPr>
          <w:p>
            <w:pPr>
              <w:spacing w:after="0"/>
              <w:rPr>
                <w:sz w:val="12"/>
                <w:szCs w:val="12"/>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I-93, Inc.</w:t>
            </w: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Comm Ave.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Star, Inc.</w:t>
            </w:r>
          </w:p>
        </w:tc>
        <w:tc>
          <w:tcPr>
            <w:tcW w:w="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1172,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w w:val="99"/>
              </w:rPr>
              <w:t>Street, Inc.</w:t>
            </w:r>
          </w:p>
        </w:tc>
        <w:tc>
          <w:tcPr>
            <w:tcW w:w="7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Cadillac, Inc.</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5"/>
              </w:rPr>
              <w:t>1186, Inc.</w:t>
            </w:r>
          </w:p>
        </w:tc>
        <w:tc>
          <w:tcPr>
            <w:tcW w:w="6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4"/>
              </w:rPr>
              <w:t>128,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8"/>
              </w:rPr>
              <w:t>44, Inc.</w:t>
            </w:r>
          </w:p>
        </w:tc>
        <w:tc>
          <w:tcPr>
            <w:tcW w:w="80" w:type="dxa"/>
            <w:vAlign w:val="bottom"/>
          </w:tcPr>
          <w:p>
            <w:pPr>
              <w:spacing w:after="0"/>
              <w:rPr>
                <w:sz w:val="12"/>
                <w:szCs w:val="12"/>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auto"/>
                <w:w w:val="96"/>
              </w:rPr>
              <w:t>Route 9, Inc.</w:t>
            </w:r>
          </w:p>
        </w:tc>
        <w:tc>
          <w:tcPr>
            <w:tcW w:w="80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color w:val="auto"/>
                <w:w w:val="97"/>
              </w:rPr>
              <w:t>Norwood, Inc.</w:t>
            </w:r>
          </w:p>
        </w:tc>
      </w:tr>
      <w:tr>
        <w:trPr>
          <w:trHeight w:val="116"/>
        </w:trPr>
        <w:tc>
          <w:tcPr>
            <w:tcW w:w="122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Sales</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273,483,250</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178,147,197</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77,775,905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3"/>
              </w:rPr>
              <w:t>191,631,092</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w w:val="89"/>
              </w:rPr>
              <w:t>236,240,132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125,530,181</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63,481,609</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81,340,054</w:t>
            </w: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80,388,790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93,857,453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75,252,387</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79,209,451</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98"/>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6"/>
        </w:trPr>
        <w:tc>
          <w:tcPr>
            <w:tcW w:w="1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Cost of Sales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6"/>
              </w:rPr>
              <w:t>224,163,957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144,896,809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66,316,198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3"/>
              </w:rPr>
              <w:t>161,273,760</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3"/>
              </w:rPr>
              <w:t>190,942,636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100,817,945</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51,897,981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63,717,175</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61,097,366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72,350,978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58,255,943</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64,971,739</w:t>
            </w:r>
          </w:p>
        </w:tc>
        <w:tc>
          <w:tcPr>
            <w:tcW w:w="60" w:type="dxa"/>
            <w:vAlign w:val="bottom"/>
            <w:shd w:val="clear" w:color="auto" w:fill="CCEEFF"/>
          </w:tcPr>
          <w:p>
            <w:pPr>
              <w:spacing w:after="0"/>
              <w:rPr>
                <w:sz w:val="11"/>
                <w:szCs w:val="11"/>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49,319,293</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33,250,388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11,459,707</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30,357,332</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45,297,496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24,712,236</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11,583,628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w w:val="96"/>
              </w:rPr>
              <w:t>17,622,879</w:t>
            </w: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19,291,424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6"/>
              </w:rPr>
              <w:t>21,506,475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16,996,444</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14,237,712</w:t>
            </w:r>
          </w:p>
        </w:tc>
        <w:tc>
          <w:tcPr>
            <w:tcW w:w="60" w:type="dxa"/>
            <w:vAlign w:val="bottom"/>
            <w:shd w:val="clear" w:color="auto" w:fill="CCEEFF"/>
          </w:tcPr>
          <w:p>
            <w:pPr>
              <w:spacing w:after="0"/>
              <w:rPr>
                <w:sz w:val="10"/>
                <w:szCs w:val="10"/>
                <w:color w:val="auto"/>
              </w:rPr>
            </w:pPr>
          </w:p>
        </w:tc>
      </w:tr>
      <w:tr>
        <w:trPr>
          <w:trHeight w:val="198"/>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6"/>
        </w:trPr>
        <w:tc>
          <w:tcPr>
            <w:tcW w:w="1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47,278,720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33,680,938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10,410,559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31,352,199</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44,097,174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rPr>
              <w:t>23,741,613</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10,937,907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2"/>
                <w:szCs w:val="12"/>
                <w:color w:val="auto"/>
                <w:w w:val="96"/>
              </w:rPr>
              <w:t>16,682,152</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9"/>
              </w:rPr>
              <w:t>18,040,062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w w:val="96"/>
              </w:rPr>
              <w:t>20,531,310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16,027,814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14,211,931</w:t>
            </w:r>
          </w:p>
        </w:tc>
        <w:tc>
          <w:tcPr>
            <w:tcW w:w="60" w:type="dxa"/>
            <w:vAlign w:val="bottom"/>
            <w:shd w:val="clear" w:color="auto" w:fill="CCEEFF"/>
          </w:tcPr>
          <w:p>
            <w:pPr>
              <w:spacing w:after="0"/>
              <w:rPr>
                <w:sz w:val="11"/>
                <w:szCs w:val="11"/>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Income (Loss) from</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2,040,573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(430,550)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1,049,148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(994,867)</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1,200,322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970,623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645,721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940,727</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1,251,362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975,165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968,630</w:t>
            </w:r>
          </w:p>
        </w:tc>
        <w:tc>
          <w:tcPr>
            <w:tcW w:w="14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25,781</w:t>
            </w: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Income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2"/>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 income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Gain on sale of</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0"/>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franchise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r>
      <w:tr>
        <w:trPr>
          <w:trHeight w:val="124"/>
        </w:trPr>
        <w:tc>
          <w:tcPr>
            <w:tcW w:w="122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Settlement expense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0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r>
      <w:tr>
        <w:trPr>
          <w:trHeight w:val="108"/>
        </w:trPr>
        <w:tc>
          <w:tcPr>
            <w:tcW w:w="1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Other income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2"/>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(expense), net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354,875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1,428,916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292,655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2,523,766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140,893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168,795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182,588</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135,428</w:t>
            </w:r>
          </w:p>
        </w:tc>
        <w:tc>
          <w:tcPr>
            <w:tcW w:w="60" w:type="dxa"/>
            <w:vAlign w:val="bottom"/>
            <w:shd w:val="clear" w:color="auto" w:fill="CCEEFF"/>
          </w:tcPr>
          <w:p>
            <w:pPr>
              <w:spacing w:after="0"/>
              <w:rPr>
                <w:sz w:val="13"/>
                <w:szCs w:val="13"/>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 Income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354,875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1,428,916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292,655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2,523,766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140,893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168,795</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182,588</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135,428</w:t>
            </w:r>
          </w:p>
        </w:tc>
        <w:tc>
          <w:tcPr>
            <w:tcW w:w="60" w:type="dxa"/>
            <w:vAlign w:val="bottom"/>
            <w:shd w:val="clear" w:color="auto" w:fill="CCEEFF"/>
          </w:tcPr>
          <w:p>
            <w:pPr>
              <w:spacing w:after="0"/>
              <w:rPr>
                <w:sz w:val="13"/>
                <w:szCs w:val="13"/>
                <w:color w:val="auto"/>
              </w:rPr>
            </w:pPr>
          </w:p>
        </w:tc>
      </w:tr>
      <w:tr>
        <w:trPr>
          <w:trHeight w:val="191"/>
        </w:trPr>
        <w:tc>
          <w:tcPr>
            <w:tcW w:w="1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4"/>
        </w:trPr>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2,395,448</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998,366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1,341,803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1,528,899</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1,200,322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970,623</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645,721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24" w:lineRule="exact"/>
              <w:rPr>
                <w:sz w:val="20"/>
                <w:szCs w:val="20"/>
                <w:color w:val="auto"/>
              </w:rPr>
            </w:pPr>
            <w:r>
              <w:rPr>
                <w:rFonts w:ascii="Times New Roman" w:cs="Times New Roman" w:eastAsia="Times New Roman" w:hAnsi="Times New Roman"/>
                <w:sz w:val="12"/>
                <w:szCs w:val="12"/>
                <w:color w:val="auto"/>
              </w:rPr>
              <w:t>940,727</w:t>
            </w: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1,392,255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1,143,960</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1,151,218</w:t>
            </w:r>
          </w:p>
        </w:tc>
        <w:tc>
          <w:tcPr>
            <w:tcW w:w="1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161,209</w:t>
            </w:r>
          </w:p>
        </w:tc>
        <w:tc>
          <w:tcPr>
            <w:tcW w:w="60" w:type="dxa"/>
            <w:vAlign w:val="bottom"/>
            <w:shd w:val="clear" w:color="auto" w:fill="CCEEFF"/>
          </w:tcPr>
          <w:p>
            <w:pPr>
              <w:spacing w:after="0"/>
              <w:rPr>
                <w:sz w:val="10"/>
                <w:szCs w:val="10"/>
                <w:color w:val="auto"/>
              </w:rPr>
            </w:pPr>
          </w:p>
        </w:tc>
      </w:tr>
      <w:tr>
        <w:trPr>
          <w:trHeight w:val="198"/>
        </w:trPr>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06"/>
        </w:trPr>
        <w:tc>
          <w:tcPr>
            <w:tcW w:w="12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Comprehensive</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54"/>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08"/>
        </w:trPr>
        <w:tc>
          <w:tcPr>
            <w:tcW w:w="122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Unrealized holding</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2"/>
        </w:trPr>
        <w:tc>
          <w:tcPr>
            <w:tcW w:w="12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91"/>
        </w:trPr>
        <w:tc>
          <w:tcPr>
            <w:tcW w:w="1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06"/>
        </w:trPr>
        <w:tc>
          <w:tcPr>
            <w:tcW w:w="122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9"/>
              </w:rPr>
              <w:t>Comprehensive Income</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67"/>
        </w:trPr>
        <w:tc>
          <w:tcPr>
            <w:tcW w:w="1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2,395,448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998,366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1,341,803</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1,528,899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1,200,322</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970,623</w:t>
            </w:r>
          </w:p>
        </w:tc>
        <w:tc>
          <w:tcPr>
            <w:tcW w:w="60" w:type="dxa"/>
            <w:vAlign w:val="bottom"/>
          </w:tcPr>
          <w:p>
            <w:pPr>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645,721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940,727</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1,392,255</w:t>
            </w:r>
          </w:p>
        </w:tc>
        <w:tc>
          <w:tcPr>
            <w:tcW w:w="8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1,143,960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1,151,218</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161,209</w:t>
            </w:r>
          </w:p>
        </w:tc>
        <w:tc>
          <w:tcPr>
            <w:tcW w:w="60" w:type="dxa"/>
            <w:vAlign w:val="bottom"/>
          </w:tcPr>
          <w:p>
            <w:pPr>
              <w:spacing w:after="0"/>
              <w:rPr>
                <w:sz w:val="14"/>
                <w:szCs w:val="14"/>
                <w:color w:val="auto"/>
              </w:rPr>
            </w:pPr>
          </w:p>
        </w:tc>
      </w:tr>
      <w:tr>
        <w:trPr>
          <w:trHeight w:val="20"/>
        </w:trPr>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IV – COMBINING STATEMENTS OF OPERATIONS AND COMPREHENSIVE INCOME (LOSS) (CONTINUED)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Herb</w:t>
            </w:r>
          </w:p>
        </w:tc>
        <w:tc>
          <w:tcPr>
            <w:tcW w:w="8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Herb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Herb</w:t>
            </w: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Herb Chambers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88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Herb Chambers</w:t>
            </w:r>
          </w:p>
        </w:tc>
        <w:tc>
          <w:tcPr>
            <w:tcW w:w="7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Herb Chambers</w:t>
            </w:r>
          </w:p>
        </w:tc>
      </w:tr>
      <w:tr>
        <w:trPr>
          <w:trHeight w:val="136"/>
        </w:trPr>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60" w:type="dxa"/>
            <w:vAlign w:val="bottom"/>
          </w:tcPr>
          <w:p>
            <w:pPr>
              <w:spacing w:after="0"/>
              <w:rPr>
                <w:sz w:val="11"/>
                <w:szCs w:val="11"/>
                <w:color w:val="auto"/>
              </w:rPr>
            </w:pPr>
          </w:p>
        </w:tc>
        <w:tc>
          <w:tcPr>
            <w:tcW w:w="800" w:type="dxa"/>
            <w:vAlign w:val="bottom"/>
            <w:gridSpan w:val="3"/>
          </w:tcPr>
          <w:p>
            <w:pPr>
              <w:ind w:left="40"/>
              <w:spacing w:after="0" w:line="137" w:lineRule="exact"/>
              <w:rPr>
                <w:sz w:val="20"/>
                <w:szCs w:val="20"/>
                <w:color w:val="auto"/>
              </w:rPr>
            </w:pPr>
            <w:r>
              <w:rPr>
                <w:rFonts w:ascii="Times New Roman" w:cs="Times New Roman" w:eastAsia="Times New Roman" w:hAnsi="Times New Roman"/>
                <w:sz w:val="12"/>
                <w:szCs w:val="12"/>
                <w:color w:val="auto"/>
              </w:rPr>
              <w:t>Chambers of</w:t>
            </w:r>
          </w:p>
        </w:tc>
        <w:tc>
          <w:tcPr>
            <w:tcW w:w="840" w:type="dxa"/>
            <w:vAlign w:val="bottom"/>
            <w:gridSpan w:val="3"/>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60" w:type="dxa"/>
            <w:vAlign w:val="bottom"/>
          </w:tcPr>
          <w:p>
            <w:pPr>
              <w:spacing w:after="0"/>
              <w:rPr>
                <w:sz w:val="11"/>
                <w:szCs w:val="11"/>
                <w:color w:val="auto"/>
              </w:rPr>
            </w:pPr>
          </w:p>
        </w:tc>
        <w:tc>
          <w:tcPr>
            <w:tcW w:w="6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2"/>
                <w:szCs w:val="12"/>
                <w:color w:val="auto"/>
                <w:w w:val="98"/>
              </w:rPr>
              <w:t>Chambers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color w:val="auto"/>
                <w:w w:val="95"/>
              </w:rPr>
              <w:t>Dinger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0"/>
              <w:spacing w:after="0" w:line="137" w:lineRule="exact"/>
              <w:rPr>
                <w:sz w:val="20"/>
                <w:szCs w:val="20"/>
                <w:color w:val="auto"/>
              </w:rPr>
            </w:pPr>
            <w:r>
              <w:rPr>
                <w:rFonts w:ascii="Times New Roman" w:cs="Times New Roman" w:eastAsia="Times New Roman" w:hAnsi="Times New Roman"/>
                <w:sz w:val="12"/>
                <w:szCs w:val="12"/>
                <w:color w:val="auto"/>
                <w:w w:val="97"/>
              </w:rPr>
              <w:t>Chambers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2"/>
                <w:szCs w:val="12"/>
                <w:color w:val="auto"/>
                <w:w w:val="95"/>
              </w:rPr>
              <w:t>Andover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40"/>
              <w:spacing w:after="0" w:line="137" w:lineRule="exact"/>
              <w:rPr>
                <w:sz w:val="20"/>
                <w:szCs w:val="20"/>
                <w:color w:val="auto"/>
              </w:rPr>
            </w:pPr>
            <w:r>
              <w:rPr>
                <w:rFonts w:ascii="Times New Roman" w:cs="Times New Roman" w:eastAsia="Times New Roman" w:hAnsi="Times New Roman"/>
                <w:sz w:val="12"/>
                <w:szCs w:val="12"/>
                <w:color w:val="auto"/>
                <w:w w:val="93"/>
              </w:rPr>
              <w:t>22 Brighton</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w w:val="93"/>
              </w:rPr>
              <w:t>Boston Post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46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120" w:type="dxa"/>
            <w:vAlign w:val="bottom"/>
          </w:tcPr>
          <w:p>
            <w:pPr>
              <w:spacing w:after="0"/>
              <w:rPr>
                <w:sz w:val="11"/>
                <w:szCs w:val="11"/>
                <w:color w:val="auto"/>
              </w:rPr>
            </w:pPr>
          </w:p>
        </w:tc>
        <w:tc>
          <w:tcPr>
            <w:tcW w:w="660" w:type="dxa"/>
            <w:vAlign w:val="bottom"/>
            <w:gridSpan w:val="3"/>
          </w:tcPr>
          <w:p>
            <w:pPr>
              <w:jc w:val="center"/>
              <w:ind w:right="200"/>
              <w:spacing w:after="0" w:line="137" w:lineRule="exact"/>
              <w:rPr>
                <w:sz w:val="20"/>
                <w:szCs w:val="20"/>
                <w:color w:val="auto"/>
              </w:rPr>
            </w:pPr>
            <w:r>
              <w:rPr>
                <w:rFonts w:ascii="Times New Roman" w:cs="Times New Roman" w:eastAsia="Times New Roman" w:hAnsi="Times New Roman"/>
                <w:sz w:val="12"/>
                <w:szCs w:val="12"/>
                <w:color w:val="auto"/>
                <w:w w:val="99"/>
              </w:rPr>
              <w:t>of</w:t>
            </w:r>
          </w:p>
        </w:tc>
      </w:tr>
      <w:tr>
        <w:trPr>
          <w:trHeight w:val="140"/>
        </w:trPr>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9"/>
              </w:rPr>
              <w:t>I-95, Inc.</w:t>
            </w:r>
          </w:p>
        </w:tc>
        <w:tc>
          <w:tcPr>
            <w:tcW w:w="6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Millbury, Inc.</w:t>
            </w: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color w:val="auto"/>
                <w:w w:val="98"/>
              </w:rPr>
              <w:t>Auburn, Inc.</w:t>
            </w:r>
          </w:p>
        </w:tc>
        <w:tc>
          <w:tcPr>
            <w:tcW w:w="6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color w:val="auto"/>
                <w:w w:val="95"/>
              </w:rPr>
              <w:t>1168,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7"/>
              </w:rPr>
              <w:t>Ford, Inc.</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auto"/>
              </w:rPr>
              <w:t>Westborough, Inc.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5"/>
              </w:rPr>
              <w:t>Street,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Ave., Inc.</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Road, Inc.</w:t>
            </w:r>
          </w:p>
        </w:tc>
        <w:tc>
          <w:tcPr>
            <w:tcW w:w="60" w:type="dxa"/>
            <w:vAlign w:val="bottom"/>
          </w:tcPr>
          <w:p>
            <w:pPr>
              <w:spacing w:after="0"/>
              <w:rPr>
                <w:sz w:val="12"/>
                <w:szCs w:val="12"/>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w w:val="97"/>
              </w:rPr>
              <w:t>Wayland,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w w:val="95"/>
              </w:rPr>
              <w:t>Natick, Inc.</w:t>
            </w:r>
          </w:p>
        </w:tc>
        <w:tc>
          <w:tcPr>
            <w:tcW w:w="7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color w:val="auto"/>
                <w:w w:val="95"/>
              </w:rPr>
              <w:t>Sudbury, Inc.</w:t>
            </w:r>
          </w:p>
        </w:tc>
      </w:tr>
      <w:tr>
        <w:trPr>
          <w:trHeight w:val="116"/>
        </w:trPr>
        <w:tc>
          <w:tcPr>
            <w:tcW w:w="116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Sales</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70,538,358</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9"/>
              </w:rPr>
              <w:t>61,412,172</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181,962,486</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53,748,711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6"/>
              </w:rPr>
              <w:t>72,427,366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60,706,933</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59,797,048</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849,992</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205,547,381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81,209,104</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122,986,225</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84,279,262</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11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Cost of Sales</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59,161,658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w w:val="99"/>
              </w:rPr>
              <w:t>52,347,971</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w w:val="96"/>
              </w:rPr>
              <w:t>147,640,789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41,715,175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56,747,029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50,312,985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45,228,754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608,551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170,157,806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70,302,569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95,471,664</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65,048,625</w:t>
            </w:r>
          </w:p>
        </w:tc>
        <w:tc>
          <w:tcPr>
            <w:tcW w:w="40" w:type="dxa"/>
            <w:vAlign w:val="bottom"/>
            <w:shd w:val="clear" w:color="auto" w:fill="CCEEFF"/>
          </w:tcPr>
          <w:p>
            <w:pPr>
              <w:spacing w:after="0"/>
              <w:rPr>
                <w:sz w:val="11"/>
                <w:szCs w:val="11"/>
                <w:color w:val="auto"/>
              </w:rPr>
            </w:pPr>
          </w:p>
        </w:tc>
      </w:tr>
      <w:tr>
        <w:trPr>
          <w:trHeight w:val="116"/>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11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6"/>
              </w:rPr>
              <w:t>11,376,700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9,064,201</w:t>
            </w:r>
          </w:p>
        </w:tc>
        <w:tc>
          <w:tcPr>
            <w:tcW w:w="8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34,321,697</w:t>
            </w: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6"/>
              </w:rPr>
              <w:t>12,033,536</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w w:val="96"/>
              </w:rPr>
              <w:t>15,680,337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10,393,948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14,568,294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241,441</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35,389,575</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10,906,535</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27,514,561</w:t>
            </w: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19,230,637</w:t>
            </w:r>
          </w:p>
        </w:tc>
        <w:tc>
          <w:tcPr>
            <w:tcW w:w="40" w:type="dxa"/>
            <w:vAlign w:val="bottom"/>
            <w:shd w:val="clear" w:color="auto" w:fill="CCEEFF"/>
          </w:tcPr>
          <w:p>
            <w:pPr>
              <w:spacing w:after="0"/>
              <w:rPr>
                <w:sz w:val="10"/>
                <w:szCs w:val="10"/>
                <w:color w:val="auto"/>
              </w:rPr>
            </w:pPr>
          </w:p>
        </w:tc>
      </w:tr>
      <w:tr>
        <w:trPr>
          <w:trHeight w:val="124"/>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6"/>
        </w:trPr>
        <w:tc>
          <w:tcPr>
            <w:tcW w:w="11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10,860,426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9,123,561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34,515,622</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6"/>
              </w:rPr>
              <w:t>10,911,883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6"/>
              </w:rPr>
              <w:t>14,906,105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10,271,181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12,657,970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303,391</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34,790,042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10,576,675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color w:val="auto"/>
              </w:rPr>
              <w:t>27,102,211</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rPr>
              <w:t>18,664,658</w:t>
            </w:r>
          </w:p>
        </w:tc>
        <w:tc>
          <w:tcPr>
            <w:tcW w:w="40" w:type="dxa"/>
            <w:vAlign w:val="bottom"/>
            <w:shd w:val="clear" w:color="auto" w:fill="CCEEFF"/>
          </w:tcPr>
          <w:p>
            <w:pPr>
              <w:spacing w:after="0"/>
              <w:rPr>
                <w:sz w:val="11"/>
                <w:szCs w:val="11"/>
                <w:color w:val="auto"/>
              </w:rPr>
            </w:pPr>
          </w:p>
        </w:tc>
      </w:tr>
      <w:tr>
        <w:trPr>
          <w:trHeight w:val="116"/>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Income (Loss) from</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516,274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(59,360)</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(193,925)</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1,121,653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774,232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122,767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1,910,324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(61,950)</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599,533</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329,860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412,350</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565,979</w:t>
            </w:r>
          </w:p>
        </w:tc>
        <w:tc>
          <w:tcPr>
            <w:tcW w:w="40" w:type="dxa"/>
            <w:vAlign w:val="bottom"/>
            <w:shd w:val="clear" w:color="auto" w:fill="CCEEFF"/>
          </w:tcPr>
          <w:p>
            <w:pPr>
              <w:spacing w:after="0"/>
              <w:rPr>
                <w:sz w:val="13"/>
                <w:szCs w:val="13"/>
                <w:color w:val="auto"/>
              </w:rPr>
            </w:pPr>
          </w:p>
        </w:tc>
      </w:tr>
      <w:tr>
        <w:trPr>
          <w:trHeight w:val="116"/>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Income</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2"/>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4"/>
        </w:trPr>
        <w:tc>
          <w:tcPr>
            <w:tcW w:w="116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Investment income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r>
      <w:tr>
        <w:trPr>
          <w:trHeight w:val="108"/>
        </w:trPr>
        <w:tc>
          <w:tcPr>
            <w:tcW w:w="11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Gain on sale of</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0"/>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franchise</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r>
      <w:tr>
        <w:trPr>
          <w:trHeight w:val="124"/>
        </w:trPr>
        <w:tc>
          <w:tcPr>
            <w:tcW w:w="1160" w:type="dxa"/>
            <w:vAlign w:val="bottom"/>
          </w:tcPr>
          <w:p>
            <w:pPr>
              <w:ind w:left="140"/>
              <w:spacing w:after="0" w:line="124" w:lineRule="exact"/>
              <w:rPr>
                <w:sz w:val="20"/>
                <w:szCs w:val="20"/>
                <w:color w:val="auto"/>
              </w:rPr>
            </w:pPr>
            <w:r>
              <w:rPr>
                <w:rFonts w:ascii="Times New Roman" w:cs="Times New Roman" w:eastAsia="Times New Roman" w:hAnsi="Times New Roman"/>
                <w:sz w:val="12"/>
                <w:szCs w:val="12"/>
                <w:color w:val="auto"/>
              </w:rPr>
              <w:t>Settlement expense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6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6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2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r>
      <w:tr>
        <w:trPr>
          <w:trHeight w:val="108"/>
        </w:trPr>
        <w:tc>
          <w:tcPr>
            <w:tcW w:w="116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Other income</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2"/>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(expense), net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114,594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169,440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773,753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184,004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233,424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246,442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121,184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47,058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399,834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(150,000)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841,336</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r>
      <w:tr>
        <w:trPr>
          <w:trHeight w:val="116"/>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 Income</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114,594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169,440</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773,753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184,004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233,424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246,442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121,184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47,058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399,834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(150,000)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841,336</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r>
      <w:tr>
        <w:trPr>
          <w:trHeight w:val="116"/>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4"/>
        </w:trPr>
        <w:tc>
          <w:tcPr>
            <w:tcW w:w="11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630,868</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line="124" w:lineRule="exact"/>
              <w:rPr>
                <w:sz w:val="20"/>
                <w:szCs w:val="20"/>
                <w:color w:val="auto"/>
              </w:rPr>
            </w:pPr>
            <w:r>
              <w:rPr>
                <w:rFonts w:ascii="Times New Roman" w:cs="Times New Roman" w:eastAsia="Times New Roman" w:hAnsi="Times New Roman"/>
                <w:sz w:val="12"/>
                <w:szCs w:val="12"/>
                <w:color w:val="auto"/>
              </w:rPr>
              <w:t>110,080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579,828</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1,305,657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1,007,656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369,209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2,031,508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(14,892)</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999,367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179,860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1,253,686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565,979</w:t>
            </w:r>
          </w:p>
        </w:tc>
        <w:tc>
          <w:tcPr>
            <w:tcW w:w="40" w:type="dxa"/>
            <w:vAlign w:val="bottom"/>
            <w:shd w:val="clear" w:color="auto" w:fill="CCEEFF"/>
          </w:tcPr>
          <w:p>
            <w:pPr>
              <w:spacing w:after="0"/>
              <w:rPr>
                <w:sz w:val="10"/>
                <w:szCs w:val="10"/>
                <w:color w:val="auto"/>
              </w:rPr>
            </w:pPr>
          </w:p>
        </w:tc>
      </w:tr>
      <w:tr>
        <w:trPr>
          <w:trHeight w:val="124"/>
        </w:trPr>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6"/>
        </w:trPr>
        <w:tc>
          <w:tcPr>
            <w:tcW w:w="116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Comprehensive</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5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08"/>
        </w:trPr>
        <w:tc>
          <w:tcPr>
            <w:tcW w:w="116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Unrealized holding</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2"/>
        </w:trPr>
        <w:tc>
          <w:tcPr>
            <w:tcW w:w="1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r>
      <w:tr>
        <w:trPr>
          <w:trHeight w:val="116"/>
        </w:trPr>
        <w:tc>
          <w:tcPr>
            <w:tcW w:w="1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06"/>
        </w:trPr>
        <w:tc>
          <w:tcPr>
            <w:tcW w:w="116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67"/>
        </w:trPr>
        <w:tc>
          <w:tcPr>
            <w:tcW w:w="1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630,868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110,080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579,828</w:t>
            </w:r>
          </w:p>
        </w:tc>
        <w:tc>
          <w:tcPr>
            <w:tcW w:w="1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1,305,657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1,007,656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369,209</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2,031,508</w:t>
            </w:r>
          </w:p>
        </w:tc>
        <w:tc>
          <w:tcPr>
            <w:tcW w:w="8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(14,892)</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999,367</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179,860</w:t>
            </w:r>
          </w:p>
        </w:tc>
        <w:tc>
          <w:tcPr>
            <w:tcW w:w="100" w:type="dxa"/>
            <w:vAlign w:val="bottom"/>
          </w:tcPr>
          <w:p>
            <w:pPr>
              <w:spacing w:after="0"/>
              <w:rPr>
                <w:sz w:val="14"/>
                <w:szCs w:val="14"/>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1,253,686</w:t>
            </w:r>
          </w:p>
        </w:tc>
        <w:tc>
          <w:tcPr>
            <w:tcW w:w="1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565,979</w:t>
            </w:r>
          </w:p>
        </w:tc>
        <w:tc>
          <w:tcPr>
            <w:tcW w:w="4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IV – COMBINING STATEMENTS OF OPERATIONS AND COMPREHENSIVE INCOME (LOSS) (CONTINUED)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Herb</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Herb Chambers</w:t>
            </w:r>
          </w:p>
        </w:tc>
        <w:tc>
          <w:tcPr>
            <w:tcW w:w="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Herb Chambers</w:t>
            </w:r>
          </w:p>
        </w:tc>
        <w:tc>
          <w:tcPr>
            <w:tcW w:w="6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4"/>
              </w:rPr>
              <w:t>Total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2"/>
                <w:szCs w:val="12"/>
                <w:color w:val="auto"/>
                <w:w w:val="96"/>
              </w:rPr>
              <w:t>Jennings Road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6"/>
        </w:trPr>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rPr>
              <w:t>75 Otis</w:t>
            </w:r>
          </w:p>
        </w:tc>
        <w:tc>
          <w:tcPr>
            <w:tcW w:w="140" w:type="dxa"/>
            <w:vAlign w:val="bottom"/>
          </w:tcPr>
          <w:p>
            <w:pPr>
              <w:spacing w:after="0"/>
              <w:rPr>
                <w:sz w:val="11"/>
                <w:szCs w:val="11"/>
                <w:color w:val="auto"/>
              </w:rPr>
            </w:pPr>
          </w:p>
        </w:tc>
        <w:tc>
          <w:tcPr>
            <w:tcW w:w="6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w w:val="90"/>
              </w:rPr>
              <w:t>Chambers</w:t>
            </w:r>
          </w:p>
        </w:tc>
        <w:tc>
          <w:tcPr>
            <w:tcW w:w="140" w:type="dxa"/>
            <w:vAlign w:val="bottom"/>
          </w:tcPr>
          <w:p>
            <w:pPr>
              <w:spacing w:after="0"/>
              <w:rPr>
                <w:sz w:val="11"/>
                <w:szCs w:val="11"/>
                <w:color w:val="auto"/>
              </w:rPr>
            </w:pPr>
          </w:p>
        </w:tc>
        <w:tc>
          <w:tcPr>
            <w:tcW w:w="680" w:type="dxa"/>
            <w:vAlign w:val="bottom"/>
            <w:gridSpan w:val="2"/>
          </w:tcPr>
          <w:p>
            <w:pPr>
              <w:jc w:val="right"/>
              <w:ind w:right="40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280"/>
              <w:spacing w:after="0" w:line="137" w:lineRule="exact"/>
              <w:rPr>
                <w:sz w:val="20"/>
                <w:szCs w:val="20"/>
                <w:color w:val="auto"/>
              </w:rPr>
            </w:pPr>
            <w:r>
              <w:rPr>
                <w:rFonts w:ascii="Times New Roman" w:cs="Times New Roman" w:eastAsia="Times New Roman" w:hAnsi="Times New Roman"/>
                <w:sz w:val="12"/>
                <w:szCs w:val="12"/>
                <w:color w:val="auto"/>
              </w:rPr>
              <w:t>Boston</w:t>
            </w:r>
          </w:p>
        </w:tc>
        <w:tc>
          <w:tcPr>
            <w:tcW w:w="140" w:type="dxa"/>
            <w:vAlign w:val="bottom"/>
          </w:tcPr>
          <w:p>
            <w:pPr>
              <w:spacing w:after="0"/>
              <w:rPr>
                <w:sz w:val="11"/>
                <w:szCs w:val="11"/>
                <w:color w:val="auto"/>
              </w:rPr>
            </w:pPr>
          </w:p>
        </w:tc>
        <w:tc>
          <w:tcPr>
            <w:tcW w:w="580" w:type="dxa"/>
            <w:vAlign w:val="bottom"/>
          </w:tcPr>
          <w:p>
            <w:pPr>
              <w:jc w:val="right"/>
              <w:ind w:right="202"/>
              <w:spacing w:after="0" w:line="137" w:lineRule="exact"/>
              <w:rPr>
                <w:sz w:val="20"/>
                <w:szCs w:val="20"/>
                <w:color w:val="auto"/>
              </w:rPr>
            </w:pPr>
            <w:r>
              <w:rPr>
                <w:rFonts w:ascii="Times New Roman" w:cs="Times New Roman" w:eastAsia="Times New Roman" w:hAnsi="Times New Roman"/>
                <w:sz w:val="12"/>
                <w:szCs w:val="12"/>
                <w:color w:val="auto"/>
              </w:rPr>
              <w:t>395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380"/>
              <w:spacing w:after="0" w:line="137" w:lineRule="exact"/>
              <w:rPr>
                <w:sz w:val="20"/>
                <w:szCs w:val="20"/>
                <w:color w:val="auto"/>
              </w:rPr>
            </w:pPr>
            <w:r>
              <w:rPr>
                <w:rFonts w:ascii="Times New Roman" w:cs="Times New Roman" w:eastAsia="Times New Roman" w:hAnsi="Times New Roman"/>
                <w:sz w:val="12"/>
                <w:szCs w:val="12"/>
                <w:color w:val="auto"/>
              </w:rPr>
              <w:t>of</w:t>
            </w:r>
          </w:p>
        </w:tc>
        <w:tc>
          <w:tcPr>
            <w:tcW w:w="820" w:type="dxa"/>
            <w:vAlign w:val="bottom"/>
            <w:gridSpan w:val="3"/>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w w:val="99"/>
              </w:rPr>
              <w:t>62 Cambridge</w:t>
            </w:r>
          </w:p>
        </w:tc>
        <w:tc>
          <w:tcPr>
            <w:tcW w:w="60" w:type="dxa"/>
            <w:vAlign w:val="bottom"/>
          </w:tcPr>
          <w:p>
            <w:pPr>
              <w:spacing w:after="0"/>
              <w:rPr>
                <w:sz w:val="11"/>
                <w:szCs w:val="11"/>
                <w:color w:val="auto"/>
              </w:rPr>
            </w:pPr>
          </w:p>
        </w:tc>
        <w:tc>
          <w:tcPr>
            <w:tcW w:w="7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2"/>
                <w:szCs w:val="12"/>
                <w:color w:val="auto"/>
                <w:w w:val="97"/>
              </w:rPr>
              <w:t>Retail</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7" w:lineRule="exact"/>
              <w:rPr>
                <w:sz w:val="20"/>
                <w:szCs w:val="20"/>
                <w:color w:val="auto"/>
              </w:rPr>
            </w:pPr>
            <w:r>
              <w:rPr>
                <w:rFonts w:ascii="Times New Roman" w:cs="Times New Roman" w:eastAsia="Times New Roman" w:hAnsi="Times New Roman"/>
                <w:sz w:val="12"/>
                <w:szCs w:val="12"/>
                <w:color w:val="auto"/>
              </w:rPr>
              <w:t>HGC</w:t>
            </w:r>
          </w:p>
        </w:tc>
        <w:tc>
          <w:tcPr>
            <w:tcW w:w="80" w:type="dxa"/>
            <w:vAlign w:val="bottom"/>
          </w:tcPr>
          <w:p>
            <w:pPr>
              <w:spacing w:after="0"/>
              <w:rPr>
                <w:sz w:val="11"/>
                <w:szCs w:val="11"/>
                <w:color w:val="auto"/>
              </w:rPr>
            </w:pPr>
          </w:p>
        </w:tc>
        <w:tc>
          <w:tcPr>
            <w:tcW w:w="7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2"/>
                <w:szCs w:val="12"/>
                <w:color w:val="auto"/>
                <w:w w:val="95"/>
              </w:rPr>
              <w:t>Management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3"/>
              </w:rPr>
              <w:t>Street, Inc.,</w:t>
            </w:r>
          </w:p>
        </w:tc>
        <w:tc>
          <w:tcPr>
            <w:tcW w:w="780" w:type="dxa"/>
            <w:vAlign w:val="bottom"/>
            <w:gridSpan w:val="3"/>
          </w:tcPr>
          <w:p>
            <w:pPr>
              <w:spacing w:after="0"/>
              <w:rPr>
                <w:sz w:val="20"/>
                <w:szCs w:val="20"/>
                <w:color w:val="auto"/>
              </w:rPr>
            </w:pPr>
            <w:r>
              <w:rPr>
                <w:rFonts w:ascii="Times New Roman" w:cs="Times New Roman" w:eastAsia="Times New Roman" w:hAnsi="Times New Roman"/>
                <w:sz w:val="12"/>
                <w:szCs w:val="12"/>
                <w:color w:val="auto"/>
                <w:w w:val="99"/>
              </w:rPr>
              <w:t>Burlington, Inc.</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w w:val="90"/>
              </w:rPr>
              <w:t>1188, Inc.</w:t>
            </w:r>
          </w:p>
        </w:tc>
        <w:tc>
          <w:tcPr>
            <w:tcW w:w="8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Millbury II, Inc.</w:t>
            </w:r>
          </w:p>
        </w:tc>
        <w:tc>
          <w:tcPr>
            <w:tcW w:w="2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Turnpike, Inc.</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Broadway, Inc.</w:t>
            </w:r>
          </w:p>
        </w:tc>
        <w:tc>
          <w:tcPr>
            <w:tcW w:w="2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Brookline, Inc.</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Street, Inc.</w:t>
            </w:r>
          </w:p>
        </w:tc>
        <w:tc>
          <w:tcPr>
            <w:tcW w:w="6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5"/>
              </w:rPr>
              <w:t>Dealerships</w:t>
            </w: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auto"/>
              </w:rPr>
              <w:t>Holdings, LLC</w:t>
            </w:r>
          </w:p>
        </w:tc>
        <w:tc>
          <w:tcPr>
            <w:tcW w:w="80" w:type="dxa"/>
            <w:vAlign w:val="bottom"/>
          </w:tcPr>
          <w:p>
            <w:pPr>
              <w:spacing w:after="0"/>
              <w:rPr>
                <w:sz w:val="12"/>
                <w:szCs w:val="12"/>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color w:val="auto"/>
                <w:w w:val="96"/>
              </w:rPr>
              <w:t>Corp.</w:t>
            </w:r>
          </w:p>
        </w:tc>
        <w:tc>
          <w:tcPr>
            <w:tcW w:w="60" w:type="dxa"/>
            <w:vAlign w:val="bottom"/>
          </w:tcPr>
          <w:p>
            <w:pPr>
              <w:spacing w:after="0"/>
              <w:rPr>
                <w:sz w:val="12"/>
                <w:szCs w:val="12"/>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Eliminations</w:t>
            </w:r>
          </w:p>
        </w:tc>
        <w:tc>
          <w:tcPr>
            <w:tcW w:w="60" w:type="dxa"/>
            <w:vAlign w:val="bottom"/>
          </w:tcPr>
          <w:p>
            <w:pPr>
              <w:spacing w:after="0"/>
              <w:rPr>
                <w:sz w:val="12"/>
                <w:szCs w:val="12"/>
                <w:color w:val="auto"/>
              </w:rPr>
            </w:pP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Total</w:t>
            </w:r>
          </w:p>
        </w:tc>
      </w:tr>
      <w:tr>
        <w:trPr>
          <w:trHeight w:val="116"/>
        </w:trPr>
        <w:tc>
          <w:tcPr>
            <w:tcW w:w="8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Sales</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41,851,542</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35,328,195</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2"/>
              </w:rPr>
              <w:t>91,657,311</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10,419,734</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71,956,447</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45,551,928</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93,209,337</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85,105,958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5"/>
              </w:rPr>
              <w:t>3,086,882,991</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154,691,000</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88"/>
              </w:rPr>
              <w:t>(154,691,000)</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w w:val="95"/>
              </w:rPr>
              <w:t>3,086,882,991</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6"/>
        </w:trPr>
        <w:tc>
          <w:tcPr>
            <w:tcW w:w="8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Cost of Sales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34,674,219</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27,966,490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w w:val="92"/>
              </w:rPr>
              <w:t>73,874,277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9,099,557</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59,801,923</w:t>
            </w:r>
          </w:p>
        </w:tc>
        <w:tc>
          <w:tcPr>
            <w:tcW w:w="1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rPr>
              <w:t>37,318,558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2"/>
                <w:szCs w:val="12"/>
                <w:color w:val="auto"/>
              </w:rPr>
              <w:t>75,711,143</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71,431,587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7" w:lineRule="exact"/>
              <w:rPr>
                <w:sz w:val="20"/>
                <w:szCs w:val="20"/>
                <w:color w:val="auto"/>
              </w:rPr>
            </w:pPr>
            <w:r>
              <w:rPr>
                <w:rFonts w:ascii="Times New Roman" w:cs="Times New Roman" w:eastAsia="Times New Roman" w:hAnsi="Times New Roman"/>
                <w:sz w:val="12"/>
                <w:szCs w:val="12"/>
                <w:color w:val="auto"/>
                <w:w w:val="95"/>
              </w:rPr>
              <w:t>2,505,323,817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color w:val="auto"/>
                <w:w w:val="95"/>
              </w:rPr>
              <w:t>2,505,323,817</w:t>
            </w:r>
          </w:p>
        </w:tc>
        <w:tc>
          <w:tcPr>
            <w:tcW w:w="20" w:type="dxa"/>
            <w:vAlign w:val="bottom"/>
            <w:shd w:val="clear" w:color="auto" w:fill="CCEEFF"/>
          </w:tcPr>
          <w:p>
            <w:pPr>
              <w:spacing w:after="0"/>
              <w:rPr>
                <w:sz w:val="11"/>
                <w:szCs w:val="11"/>
                <w:color w:val="auto"/>
              </w:rPr>
            </w:pPr>
          </w:p>
        </w:tc>
      </w:tr>
      <w:tr>
        <w:trPr>
          <w:trHeight w:val="116"/>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7,177,323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7,361,705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2"/>
              </w:rPr>
              <w:t>17,783,034</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1,320,177</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12,154,524</w:t>
            </w:r>
          </w:p>
        </w:tc>
        <w:tc>
          <w:tcPr>
            <w:tcW w:w="1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8,233,370</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17,498,194</w:t>
            </w: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13,674,371</w:t>
            </w: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581,559,174</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154,691,000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4"/>
              </w:rPr>
              <w:t>(154,691,000)</w:t>
            </w:r>
          </w:p>
        </w:tc>
        <w:tc>
          <w:tcPr>
            <w:tcW w:w="6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581,559,174</w:t>
            </w:r>
          </w:p>
        </w:tc>
        <w:tc>
          <w:tcPr>
            <w:tcW w:w="20" w:type="dxa"/>
            <w:vAlign w:val="bottom"/>
            <w:shd w:val="clear" w:color="auto" w:fill="CCEEFF"/>
          </w:tcPr>
          <w:p>
            <w:pPr>
              <w:spacing w:after="0"/>
              <w:rPr>
                <w:sz w:val="10"/>
                <w:szCs w:val="10"/>
                <w:color w:val="auto"/>
              </w:rPr>
            </w:pPr>
          </w:p>
        </w:tc>
      </w:tr>
      <w:tr>
        <w:trPr>
          <w:trHeight w:val="124"/>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Operating</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7,576,163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7,306,292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2"/>
              </w:rPr>
              <w:t>17,504,203</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1,479,489</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12,199,940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8,235,954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16,465,400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13,574,223</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566,017,768</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2,062,421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126,203,094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4"/>
              </w:rPr>
              <w:t>(156,751,000)</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537,532,283</w:t>
            </w:r>
          </w:p>
        </w:tc>
        <w:tc>
          <w:tcPr>
            <w:tcW w:w="20" w:type="dxa"/>
            <w:vAlign w:val="bottom"/>
            <w:shd w:val="clear" w:color="auto" w:fill="CCEEFF"/>
          </w:tcPr>
          <w:p>
            <w:pPr>
              <w:spacing w:after="0"/>
              <w:rPr>
                <w:sz w:val="13"/>
                <w:szCs w:val="13"/>
                <w:color w:val="auto"/>
              </w:rPr>
            </w:pPr>
          </w:p>
        </w:tc>
      </w:tr>
      <w:tr>
        <w:trPr>
          <w:trHeight w:val="116"/>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from</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(398,840)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55,413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278,831</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(159,312)</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(45,416)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(2,584)</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1,032,794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100,148</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15,541,406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(2,062,421)</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28,487,906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2,060,000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44,026,891</w:t>
            </w:r>
          </w:p>
        </w:tc>
        <w:tc>
          <w:tcPr>
            <w:tcW w:w="20" w:type="dxa"/>
            <w:vAlign w:val="bottom"/>
            <w:shd w:val="clear" w:color="auto" w:fill="CCEEFF"/>
          </w:tcPr>
          <w:p>
            <w:pPr>
              <w:spacing w:after="0"/>
              <w:rPr>
                <w:sz w:val="13"/>
                <w:szCs w:val="13"/>
                <w:color w:val="auto"/>
              </w:rPr>
            </w:pPr>
          </w:p>
        </w:tc>
      </w:tr>
      <w:tr>
        <w:trPr>
          <w:trHeight w:val="116"/>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42"/>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08"/>
        </w:trPr>
        <w:tc>
          <w:tcPr>
            <w:tcW w:w="8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Investment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0"/>
        </w:trPr>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5,029,779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5,029,779</w:t>
            </w:r>
          </w:p>
        </w:tc>
        <w:tc>
          <w:tcPr>
            <w:tcW w:w="20" w:type="dxa"/>
            <w:vAlign w:val="bottom"/>
          </w:tcPr>
          <w:p>
            <w:pPr>
              <w:spacing w:after="0"/>
              <w:rPr>
                <w:sz w:val="12"/>
                <w:szCs w:val="12"/>
                <w:color w:val="auto"/>
              </w:rPr>
            </w:pPr>
          </w:p>
        </w:tc>
      </w:tr>
      <w:tr>
        <w:trPr>
          <w:trHeight w:val="108"/>
        </w:trPr>
        <w:tc>
          <w:tcPr>
            <w:tcW w:w="8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Gain on sale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40"/>
        </w:trPr>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of franchise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r>
      <w:tr>
        <w:trPr>
          <w:trHeight w:val="108"/>
        </w:trPr>
        <w:tc>
          <w:tcPr>
            <w:tcW w:w="8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Settlement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0"/>
        </w:trPr>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08"/>
        </w:trPr>
        <w:tc>
          <w:tcPr>
            <w:tcW w:w="8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w w:val="97"/>
              </w:rPr>
              <w:t>Other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ind w:left="140"/>
              <w:spacing w:after="0" w:line="124" w:lineRule="exact"/>
              <w:rPr>
                <w:sz w:val="20"/>
                <w:szCs w:val="20"/>
                <w:color w:val="auto"/>
              </w:rPr>
            </w:pPr>
            <w:r>
              <w:rPr>
                <w:rFonts w:ascii="Times New Roman" w:cs="Times New Roman" w:eastAsia="Times New Roman" w:hAnsi="Times New Roman"/>
                <w:sz w:val="12"/>
                <w:szCs w:val="12"/>
                <w:color w:val="auto"/>
              </w:rPr>
              <w:t>(expense),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2"/>
        </w:trPr>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net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75,556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93,353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(183,950)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47,061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276,275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104,039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8,621,319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11,546,244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(2,060,000)</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18,107,562</w:t>
            </w:r>
          </w:p>
        </w:tc>
        <w:tc>
          <w:tcPr>
            <w:tcW w:w="20" w:type="dxa"/>
            <w:vAlign w:val="bottom"/>
            <w:shd w:val="clear" w:color="auto" w:fill="CCEEFF"/>
          </w:tcPr>
          <w:p>
            <w:pPr>
              <w:spacing w:after="0"/>
              <w:rPr>
                <w:sz w:val="13"/>
                <w:szCs w:val="13"/>
                <w:color w:val="auto"/>
              </w:rPr>
            </w:pPr>
          </w:p>
        </w:tc>
      </w:tr>
      <w:tr>
        <w:trPr>
          <w:trHeight w:val="116"/>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Other</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Income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75,556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93,353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(183,950)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47,061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276,275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104,039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8,621,319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5,029,779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11,546,244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(2,060,000)</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23,137,341</w:t>
            </w:r>
          </w:p>
        </w:tc>
        <w:tc>
          <w:tcPr>
            <w:tcW w:w="20" w:type="dxa"/>
            <w:vAlign w:val="bottom"/>
            <w:shd w:val="clear" w:color="auto" w:fill="CCEEFF"/>
          </w:tcPr>
          <w:p>
            <w:pPr>
              <w:spacing w:after="0"/>
              <w:rPr>
                <w:sz w:val="13"/>
                <w:szCs w:val="13"/>
                <w:color w:val="auto"/>
              </w:rPr>
            </w:pPr>
          </w:p>
        </w:tc>
      </w:tr>
      <w:tr>
        <w:trPr>
          <w:trHeight w:val="116"/>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42"/>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(Loss)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(323,284)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148,766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94,881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(112,251)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230,859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101,455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1,032,794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100,148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24,162,725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2,967,358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40,034,150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67,164,232</w:t>
            </w:r>
          </w:p>
        </w:tc>
        <w:tc>
          <w:tcPr>
            <w:tcW w:w="20" w:type="dxa"/>
            <w:vAlign w:val="bottom"/>
            <w:shd w:val="clear" w:color="auto" w:fill="CCEEFF"/>
          </w:tcPr>
          <w:p>
            <w:pPr>
              <w:spacing w:after="0"/>
              <w:rPr>
                <w:sz w:val="12"/>
                <w:szCs w:val="12"/>
                <w:color w:val="auto"/>
              </w:rPr>
            </w:pPr>
          </w:p>
        </w:tc>
      </w:tr>
      <w:tr>
        <w:trPr>
          <w:trHeight w:val="124"/>
        </w:trPr>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6"/>
        </w:trPr>
        <w:tc>
          <w:tcPr>
            <w:tcW w:w="8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Other</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r>
      <w:tr>
        <w:trPr>
          <w:trHeight w:val="124"/>
        </w:trPr>
        <w:tc>
          <w:tcPr>
            <w:tcW w:w="8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r>
      <w:tr>
        <w:trPr>
          <w:trHeight w:val="154"/>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08"/>
        </w:trPr>
        <w:tc>
          <w:tcPr>
            <w:tcW w:w="80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Unrealized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2"/>
        </w:trPr>
        <w:tc>
          <w:tcPr>
            <w:tcW w:w="8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holding loss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540,140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540,140</w:t>
            </w:r>
          </w:p>
        </w:tc>
        <w:tc>
          <w:tcPr>
            <w:tcW w:w="20" w:type="dxa"/>
            <w:vAlign w:val="bottom"/>
          </w:tcPr>
          <w:p>
            <w:pPr>
              <w:spacing w:after="0"/>
              <w:rPr>
                <w:sz w:val="13"/>
                <w:szCs w:val="13"/>
                <w:color w:val="auto"/>
              </w:rPr>
            </w:pPr>
          </w:p>
        </w:tc>
      </w:tr>
      <w:tr>
        <w:trPr>
          <w:trHeight w:val="116"/>
        </w:trPr>
        <w:tc>
          <w:tcPr>
            <w:tcW w:w="8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06"/>
        </w:trPr>
        <w:tc>
          <w:tcPr>
            <w:tcW w:w="8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7"/>
        </w:trPr>
        <w:tc>
          <w:tcPr>
            <w:tcW w:w="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(323,284)</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148,766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94,881</w:t>
            </w: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(112,251)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230,859</w:t>
            </w:r>
          </w:p>
        </w:tc>
        <w:tc>
          <w:tcPr>
            <w:tcW w:w="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101,455</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1,032,794</w:t>
            </w:r>
          </w:p>
        </w:tc>
        <w:tc>
          <w:tcPr>
            <w:tcW w:w="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100,148</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24,162,725</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3,507,498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40,034,150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67,704,372</w:t>
            </w:r>
          </w:p>
        </w:tc>
        <w:tc>
          <w:tcPr>
            <w:tcW w:w="2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See independent auditors’ report.</w:t>
      </w:r>
    </w:p>
    <w:p>
      <w:pPr>
        <w:spacing w:after="0" w:line="200" w:lineRule="exact"/>
        <w:rPr>
          <w:sz w:val="20"/>
          <w:szCs w:val="20"/>
          <w:color w:val="auto"/>
        </w:rPr>
      </w:pPr>
    </w:p>
    <w:p>
      <w:pPr>
        <w:spacing w:after="0" w:line="203"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UNAUDITED COMBINED FINANCIAL</w:t>
      </w:r>
    </w:p>
    <w:p>
      <w:pPr>
        <w:spacing w:after="0" w:line="4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STATEMENTS</w:t>
      </w:r>
    </w:p>
    <w:p>
      <w:pPr>
        <w:spacing w:after="0" w:line="18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p>
      <w:pPr>
        <w:spacing w:after="0" w:line="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253365</wp:posOffset>
            </wp:positionV>
            <wp:extent cx="714375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0120"/>
          </w:cols>
          <w:pgMar w:left="1440" w:top="3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Unaudited Financial Statements</w:t>
            </w:r>
          </w:p>
        </w:tc>
        <w:tc>
          <w:tcPr>
            <w:tcW w:w="3480" w:type="dxa"/>
            <w:vAlign w:val="bottom"/>
          </w:tcPr>
          <w:p>
            <w:pPr>
              <w:spacing w:after="0"/>
              <w:rPr>
                <w:sz w:val="19"/>
                <w:szCs w:val="19"/>
                <w:color w:val="auto"/>
              </w:rPr>
            </w:pPr>
          </w:p>
        </w:tc>
      </w:tr>
      <w:tr>
        <w:trPr>
          <w:trHeight w:val="380"/>
        </w:trPr>
        <w:tc>
          <w:tcPr>
            <w:tcW w:w="7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Combined Balance Sheet</w:t>
            </w:r>
          </w:p>
        </w:tc>
        <w:tc>
          <w:tcPr>
            <w:tcW w:w="3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198"/>
        </w:trPr>
        <w:tc>
          <w:tcPr>
            <w:tcW w:w="7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Combined Statement of Operations and Comprehensive Income</w:t>
            </w:r>
          </w:p>
        </w:tc>
        <w:tc>
          <w:tcPr>
            <w:tcW w:w="3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198"/>
        </w:trPr>
        <w:tc>
          <w:tcPr>
            <w:tcW w:w="7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Combined Statement of Changes in Equity</w:t>
            </w:r>
          </w:p>
        </w:tc>
        <w:tc>
          <w:tcPr>
            <w:tcW w:w="3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5"/>
        </w:trPr>
        <w:tc>
          <w:tcPr>
            <w:tcW w:w="77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Combined Statement of Cash Flows</w:t>
            </w:r>
          </w:p>
        </w:tc>
        <w:tc>
          <w:tcPr>
            <w:tcW w:w="3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396"/>
        </w:trPr>
        <w:tc>
          <w:tcPr>
            <w:tcW w:w="7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w:t>
            </w:r>
          </w:p>
        </w:tc>
      </w:tr>
      <w:tr>
        <w:trPr>
          <w:trHeight w:val="408"/>
        </w:trPr>
        <w:tc>
          <w:tcPr>
            <w:tcW w:w="77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COMBINED BALANCE SHEET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93,385,094</w:t>
            </w:r>
          </w:p>
        </w:tc>
        <w:tc>
          <w:tcPr>
            <w:tcW w:w="100" w:type="dxa"/>
            <w:vAlign w:val="bottom"/>
          </w:tcPr>
          <w:p>
            <w:pPr>
              <w:spacing w:after="0"/>
              <w:rPr>
                <w:sz w:val="17"/>
                <w:szCs w:val="17"/>
                <w:color w:val="auto"/>
              </w:rPr>
            </w:pPr>
          </w:p>
        </w:tc>
      </w:tr>
      <w:tr>
        <w:trPr>
          <w:trHeight w:val="198"/>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74,658,848</w:t>
            </w: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receivable, net of allowance for credit losses of $888,584</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80,576,122</w:t>
            </w:r>
          </w:p>
        </w:tc>
        <w:tc>
          <w:tcPr>
            <w:tcW w:w="100" w:type="dxa"/>
            <w:vAlign w:val="bottom"/>
          </w:tcPr>
          <w:p>
            <w:pPr>
              <w:spacing w:after="0"/>
              <w:rPr>
                <w:sz w:val="17"/>
                <w:szCs w:val="17"/>
                <w:color w:val="auto"/>
              </w:rPr>
            </w:pPr>
          </w:p>
        </w:tc>
      </w:tr>
      <w:tr>
        <w:trPr>
          <w:trHeight w:val="198"/>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458,369,365</w:t>
            </w: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from related parties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649,387</w:t>
            </w:r>
          </w:p>
        </w:tc>
        <w:tc>
          <w:tcPr>
            <w:tcW w:w="100" w:type="dxa"/>
            <w:vAlign w:val="bottom"/>
          </w:tcPr>
          <w:p>
            <w:pPr>
              <w:spacing w:after="0"/>
              <w:rPr>
                <w:sz w:val="17"/>
                <w:szCs w:val="17"/>
                <w:color w:val="auto"/>
              </w:rPr>
            </w:pPr>
          </w:p>
        </w:tc>
      </w:tr>
      <w:tr>
        <w:trPr>
          <w:trHeight w:val="211"/>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taxes and expenses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1,488,618</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709,127,434</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Property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21,098,183</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 of use assets, net</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211,907,619</w:t>
            </w:r>
          </w:p>
        </w:tc>
        <w:tc>
          <w:tcPr>
            <w:tcW w:w="100" w:type="dxa"/>
            <w:vAlign w:val="bottom"/>
          </w:tcPr>
          <w:p>
            <w:pPr>
              <w:spacing w:after="0"/>
              <w:rPr>
                <w:sz w:val="17"/>
                <w:szCs w:val="17"/>
                <w:color w:val="auto"/>
              </w:rPr>
            </w:pPr>
          </w:p>
        </w:tc>
      </w:tr>
      <w:tr>
        <w:trPr>
          <w:trHeight w:val="198"/>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Due from owner</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105,320,982</w:t>
            </w: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31,612,738</w:t>
            </w:r>
          </w:p>
        </w:tc>
        <w:tc>
          <w:tcPr>
            <w:tcW w:w="100" w:type="dxa"/>
            <w:vAlign w:val="bottom"/>
          </w:tcPr>
          <w:p>
            <w:pPr>
              <w:spacing w:after="0"/>
              <w:rPr>
                <w:sz w:val="17"/>
                <w:szCs w:val="17"/>
                <w:color w:val="auto"/>
              </w:rPr>
            </w:pPr>
          </w:p>
        </w:tc>
      </w:tr>
      <w:tr>
        <w:trPr>
          <w:trHeight w:val="198"/>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in partnerships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1,151,175</w:t>
            </w:r>
          </w:p>
        </w:tc>
        <w:tc>
          <w:tcPr>
            <w:tcW w:w="100" w:type="dxa"/>
            <w:vAlign w:val="bottom"/>
            <w:shd w:val="clear" w:color="auto" w:fill="CCEEFF"/>
          </w:tcPr>
          <w:p>
            <w:pPr>
              <w:spacing w:after="0"/>
              <w:rPr>
                <w:sz w:val="17"/>
                <w:szCs w:val="17"/>
                <w:color w:val="auto"/>
              </w:rPr>
            </w:pPr>
          </w:p>
        </w:tc>
      </w:tr>
      <w:tr>
        <w:trPr>
          <w:trHeight w:val="211"/>
        </w:trPr>
        <w:tc>
          <w:tcPr>
            <w:tcW w:w="9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261,453</w:t>
            </w:r>
          </w:p>
        </w:tc>
        <w:tc>
          <w:tcPr>
            <w:tcW w:w="100" w:type="dxa"/>
            <w:vAlign w:val="bottom"/>
            <w:tcBorders>
              <w:bottom w:val="single" w:sz="8" w:color="CCEEFF"/>
            </w:tcBorders>
          </w:tcPr>
          <w:p>
            <w:pPr>
              <w:spacing w:after="0"/>
              <w:rPr>
                <w:sz w:val="18"/>
                <w:szCs w:val="18"/>
                <w:color w:val="auto"/>
              </w:rPr>
            </w:pPr>
          </w:p>
        </w:tc>
      </w:tr>
      <w:tr>
        <w:trPr>
          <w:trHeight w:val="191"/>
        </w:trPr>
        <w:tc>
          <w:tcPr>
            <w:tcW w:w="9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9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Total Other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350,253,967</w:t>
            </w:r>
          </w:p>
        </w:tc>
        <w:tc>
          <w:tcPr>
            <w:tcW w:w="100" w:type="dxa"/>
            <w:vAlign w:val="bottom"/>
            <w:tcBorders>
              <w:bottom w:val="single" w:sz="8" w:color="CCEEFF"/>
            </w:tcBorders>
          </w:tcPr>
          <w:p>
            <w:pPr>
              <w:spacing w:after="0"/>
              <w:rPr>
                <w:sz w:val="18"/>
                <w:szCs w:val="18"/>
                <w:color w:val="auto"/>
              </w:rPr>
            </w:pPr>
          </w:p>
        </w:tc>
      </w:tr>
      <w:tr>
        <w:trPr>
          <w:trHeight w:val="191"/>
        </w:trPr>
        <w:tc>
          <w:tcPr>
            <w:tcW w:w="9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9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1,080,479,584</w:t>
            </w:r>
          </w:p>
        </w:tc>
        <w:tc>
          <w:tcPr>
            <w:tcW w:w="100" w:type="dxa"/>
            <w:vAlign w:val="bottom"/>
          </w:tcPr>
          <w:p>
            <w:pPr>
              <w:spacing w:after="0"/>
              <w:rPr>
                <w:sz w:val="19"/>
                <w:szCs w:val="19"/>
                <w:color w:val="auto"/>
              </w:rPr>
            </w:pPr>
          </w:p>
        </w:tc>
      </w:tr>
      <w:tr>
        <w:trPr>
          <w:trHeight w:val="20"/>
        </w:trPr>
        <w:tc>
          <w:tcPr>
            <w:tcW w:w="9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See accompanying notes to the combined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9"/>
        </w:trPr>
        <w:tc>
          <w:tcPr>
            <w:tcW w:w="3420" w:type="dxa"/>
            <w:vAlign w:val="bottom"/>
          </w:tcPr>
          <w:p>
            <w:pPr>
              <w:spacing w:after="0"/>
              <w:rPr>
                <w:sz w:val="19"/>
                <w:szCs w:val="19"/>
                <w:color w:val="auto"/>
              </w:rPr>
            </w:pPr>
          </w:p>
        </w:tc>
        <w:tc>
          <w:tcPr>
            <w:tcW w:w="6680" w:type="dxa"/>
            <w:vAlign w:val="bottom"/>
            <w:gridSpan w:val="2"/>
          </w:tcPr>
          <w:p>
            <w:pPr>
              <w:jc w:val="center"/>
              <w:ind w:right="2280"/>
              <w:spacing w:after="0"/>
              <w:rPr>
                <w:sz w:val="20"/>
                <w:szCs w:val="20"/>
                <w:color w:val="auto"/>
              </w:rPr>
            </w:pPr>
            <w:r>
              <w:rPr>
                <w:rFonts w:ascii="Times New Roman" w:cs="Times New Roman" w:eastAsia="Times New Roman" w:hAnsi="Times New Roman"/>
                <w:sz w:val="17"/>
                <w:szCs w:val="17"/>
                <w:b w:val="1"/>
                <w:bCs w:val="1"/>
                <w:color w:val="auto"/>
                <w:w w:val="96"/>
              </w:rPr>
              <w:t>THE HERB CHAMBERS COMPANIES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3420" w:type="dxa"/>
            <w:vAlign w:val="bottom"/>
          </w:tcPr>
          <w:p>
            <w:pPr>
              <w:spacing w:after="0"/>
              <w:rPr>
                <w:sz w:val="24"/>
                <w:szCs w:val="24"/>
                <w:color w:val="auto"/>
              </w:rPr>
            </w:pPr>
          </w:p>
        </w:tc>
        <w:tc>
          <w:tcPr>
            <w:tcW w:w="6680" w:type="dxa"/>
            <w:vAlign w:val="bottom"/>
            <w:gridSpan w:val="2"/>
          </w:tcPr>
          <w:p>
            <w:pPr>
              <w:jc w:val="center"/>
              <w:ind w:right="2280"/>
              <w:spacing w:after="0"/>
              <w:rPr>
                <w:sz w:val="20"/>
                <w:szCs w:val="20"/>
                <w:color w:val="auto"/>
              </w:rPr>
            </w:pPr>
            <w:r>
              <w:rPr>
                <w:rFonts w:ascii="Times New Roman" w:cs="Times New Roman" w:eastAsia="Times New Roman" w:hAnsi="Times New Roman"/>
                <w:sz w:val="17"/>
                <w:szCs w:val="17"/>
                <w:b w:val="1"/>
                <w:bCs w:val="1"/>
                <w:color w:val="auto"/>
                <w:w w:val="96"/>
              </w:rPr>
              <w:t>UNAUDITED COMBINED BALANCE SHEET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6"/>
        </w:trPr>
        <w:tc>
          <w:tcPr>
            <w:tcW w:w="34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jc w:val="center"/>
              <w:ind w:right="2260"/>
              <w:spacing w:after="0"/>
              <w:rPr>
                <w:sz w:val="20"/>
                <w:szCs w:val="20"/>
                <w:color w:val="auto"/>
              </w:rPr>
            </w:pPr>
            <w:r>
              <w:rPr>
                <w:rFonts w:ascii="Times New Roman" w:cs="Times New Roman" w:eastAsia="Times New Roman" w:hAnsi="Times New Roman"/>
                <w:sz w:val="17"/>
                <w:szCs w:val="17"/>
                <w:b w:val="1"/>
                <w:bCs w:val="1"/>
                <w:color w:val="auto"/>
                <w:w w:val="96"/>
              </w:rPr>
              <w:t>MARCH 31, 2025</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4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Floorplan notes payable</w:t>
            </w:r>
          </w:p>
        </w:tc>
        <w:tc>
          <w:tcPr>
            <w:tcW w:w="6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456,356,735</w:t>
            </w:r>
          </w:p>
        </w:tc>
      </w:tr>
      <w:tr>
        <w:trPr>
          <w:trHeight w:val="198"/>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42,239,300</w:t>
            </w:r>
          </w:p>
        </w:tc>
      </w:tr>
      <w:tr>
        <w:trPr>
          <w:trHeight w:val="198"/>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finance lease liability</w:t>
            </w: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439,105</w:t>
            </w:r>
          </w:p>
        </w:tc>
      </w:tr>
      <w:tr>
        <w:trPr>
          <w:trHeight w:val="21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6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63,347,507</w:t>
            </w:r>
          </w:p>
        </w:tc>
      </w:tr>
      <w:tr>
        <w:trPr>
          <w:trHeight w:val="191"/>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6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562,382,647</w:t>
            </w:r>
          </w:p>
        </w:tc>
      </w:tr>
      <w:tr>
        <w:trPr>
          <w:trHeight w:val="191"/>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Insurance loss fund</w:t>
            </w: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4,008,636</w:t>
            </w:r>
          </w:p>
        </w:tc>
      </w:tr>
      <w:tr>
        <w:trPr>
          <w:trHeight w:val="198"/>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9"/>
              </w:rPr>
              <w:t>Operating lease liabilities, net of current portion</w:t>
            </w: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169,493,875</w:t>
            </w:r>
          </w:p>
        </w:tc>
      </w:tr>
      <w:tr>
        <w:trPr>
          <w:trHeight w:val="211"/>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 liability, net of current portion</w:t>
            </w:r>
          </w:p>
        </w:tc>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1,383,329</w:t>
            </w:r>
          </w:p>
        </w:tc>
      </w:tr>
      <w:tr>
        <w:trPr>
          <w:trHeight w:val="191"/>
        </w:trPr>
        <w:tc>
          <w:tcPr>
            <w:tcW w:w="3420" w:type="dxa"/>
            <w:vAlign w:val="bottom"/>
            <w:tcBorders>
              <w:top w:val="single" w:sz="8" w:color="CCEEFF"/>
            </w:tcBorders>
            <w:shd w:val="clear" w:color="auto" w:fill="CCEEFF"/>
          </w:tcPr>
          <w:p>
            <w:pPr>
              <w:spacing w:after="0"/>
              <w:rPr>
                <w:sz w:val="16"/>
                <w:szCs w:val="16"/>
                <w:color w:val="auto"/>
              </w:rPr>
            </w:pPr>
          </w:p>
        </w:tc>
        <w:tc>
          <w:tcPr>
            <w:tcW w:w="65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3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Long-Term Liabilities</w:t>
            </w:r>
          </w:p>
        </w:tc>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174,885,840</w:t>
            </w:r>
          </w:p>
        </w:tc>
      </w:tr>
      <w:tr>
        <w:trPr>
          <w:trHeight w:val="191"/>
        </w:trPr>
        <w:tc>
          <w:tcPr>
            <w:tcW w:w="3420" w:type="dxa"/>
            <w:vAlign w:val="bottom"/>
            <w:tcBorders>
              <w:top w:val="single" w:sz="8" w:color="CCEEFF"/>
            </w:tcBorders>
            <w:shd w:val="clear" w:color="auto" w:fill="CCEEFF"/>
          </w:tcPr>
          <w:p>
            <w:pPr>
              <w:spacing w:after="0"/>
              <w:rPr>
                <w:sz w:val="16"/>
                <w:szCs w:val="16"/>
                <w:color w:val="auto"/>
              </w:rPr>
            </w:pPr>
          </w:p>
        </w:tc>
        <w:tc>
          <w:tcPr>
            <w:tcW w:w="65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3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737,268,487</w:t>
            </w:r>
          </w:p>
        </w:tc>
      </w:tr>
      <w:tr>
        <w:trPr>
          <w:trHeight w:val="191"/>
        </w:trPr>
        <w:tc>
          <w:tcPr>
            <w:tcW w:w="3420" w:type="dxa"/>
            <w:vAlign w:val="bottom"/>
            <w:tcBorders>
              <w:top w:val="single" w:sz="8" w:color="CCEEFF"/>
            </w:tcBorders>
            <w:shd w:val="clear" w:color="auto" w:fill="CCEEFF"/>
          </w:tcPr>
          <w:p>
            <w:pPr>
              <w:spacing w:after="0"/>
              <w:rPr>
                <w:sz w:val="16"/>
                <w:szCs w:val="16"/>
                <w:color w:val="auto"/>
              </w:rPr>
            </w:pPr>
          </w:p>
        </w:tc>
        <w:tc>
          <w:tcPr>
            <w:tcW w:w="65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3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2,689,100</w:t>
            </w:r>
          </w:p>
        </w:tc>
      </w:tr>
      <w:tr>
        <w:trPr>
          <w:trHeight w:val="198"/>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31,426,059</w:t>
            </w:r>
          </w:p>
        </w:tc>
      </w:tr>
      <w:tr>
        <w:trPr>
          <w:trHeight w:val="198"/>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6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287,425,689</w:t>
            </w:r>
          </w:p>
        </w:tc>
      </w:tr>
      <w:tr>
        <w:trPr>
          <w:trHeight w:val="198"/>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Member's equity</w:t>
            </w: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21,373,614</w:t>
            </w:r>
          </w:p>
        </w:tc>
      </w:tr>
      <w:tr>
        <w:trPr>
          <w:trHeight w:val="21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comprehensive income</w:t>
            </w:r>
          </w:p>
        </w:tc>
        <w:tc>
          <w:tcPr>
            <w:tcW w:w="6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296,635</w:t>
            </w:r>
          </w:p>
        </w:tc>
      </w:tr>
      <w:tr>
        <w:trPr>
          <w:trHeight w:val="191"/>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6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343,211,097</w:t>
            </w:r>
          </w:p>
        </w:tc>
      </w:tr>
      <w:tr>
        <w:trPr>
          <w:trHeight w:val="191"/>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6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1,080,479,584</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74"/>
        </w:trPr>
        <w:tc>
          <w:tcPr>
            <w:tcW w:w="3420" w:type="dxa"/>
            <w:vAlign w:val="bottom"/>
          </w:tcPr>
          <w:p>
            <w:pPr>
              <w:spacing w:after="0"/>
              <w:rPr>
                <w:sz w:val="24"/>
                <w:szCs w:val="24"/>
                <w:color w:val="auto"/>
              </w:rPr>
            </w:pPr>
          </w:p>
        </w:tc>
        <w:tc>
          <w:tcPr>
            <w:tcW w:w="6680" w:type="dxa"/>
            <w:vAlign w:val="bottom"/>
            <w:gridSpan w:val="2"/>
          </w:tcPr>
          <w:p>
            <w:pPr>
              <w:jc w:val="center"/>
              <w:ind w:right="2280"/>
              <w:spacing w:after="0"/>
              <w:rPr>
                <w:sz w:val="20"/>
                <w:szCs w:val="20"/>
                <w:color w:val="auto"/>
              </w:rPr>
            </w:pPr>
            <w:r>
              <w:rPr>
                <w:rFonts w:ascii="Times New Roman" w:cs="Times New Roman" w:eastAsia="Times New Roman" w:hAnsi="Times New Roman"/>
                <w:sz w:val="17"/>
                <w:szCs w:val="17"/>
                <w:b w:val="1"/>
                <w:bCs w:val="1"/>
                <w:i w:val="1"/>
                <w:iCs w:val="1"/>
                <w:color w:val="auto"/>
                <w:w w:val="96"/>
              </w:rPr>
              <w:t>See accompanying notes to the combined financial statements.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9"/>
        </w:trPr>
        <w:tc>
          <w:tcPr>
            <w:tcW w:w="9920" w:type="dxa"/>
            <w:vAlign w:val="bottom"/>
          </w:tcPr>
          <w:p>
            <w:pPr>
              <w:jc w:val="center"/>
              <w:ind w:left="1237"/>
              <w:spacing w:after="0"/>
              <w:rPr>
                <w:sz w:val="20"/>
                <w:szCs w:val="20"/>
                <w:color w:val="auto"/>
              </w:rPr>
            </w:pPr>
            <w:r>
              <w:rPr>
                <w:rFonts w:ascii="Times New Roman" w:cs="Times New Roman" w:eastAsia="Times New Roman" w:hAnsi="Times New Roman"/>
                <w:sz w:val="17"/>
                <w:szCs w:val="17"/>
                <w:b w:val="1"/>
                <w:bCs w:val="1"/>
                <w:color w:val="auto"/>
                <w:w w:val="96"/>
              </w:rPr>
              <w:t>THE HERB CHAMBERS COMPANIES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9920" w:type="dxa"/>
            <w:vAlign w:val="bottom"/>
          </w:tcPr>
          <w:p>
            <w:pPr>
              <w:jc w:val="center"/>
              <w:ind w:left="1237"/>
              <w:spacing w:after="0"/>
              <w:rPr>
                <w:sz w:val="20"/>
                <w:szCs w:val="20"/>
                <w:color w:val="auto"/>
              </w:rPr>
            </w:pPr>
            <w:r>
              <w:rPr>
                <w:rFonts w:ascii="Times New Roman" w:cs="Times New Roman" w:eastAsia="Times New Roman" w:hAnsi="Times New Roman"/>
                <w:sz w:val="17"/>
                <w:szCs w:val="17"/>
                <w:b w:val="1"/>
                <w:bCs w:val="1"/>
                <w:color w:val="auto"/>
                <w:w w:val="96"/>
              </w:rPr>
              <w:t>UNAUDITED COMBINED STATEMENT OF OPERATIONS AND COMPREHENSIVE INCOME</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6"/>
        </w:trPr>
        <w:tc>
          <w:tcPr>
            <w:tcW w:w="9920" w:type="dxa"/>
            <w:vAlign w:val="bottom"/>
            <w:tcBorders>
              <w:bottom w:val="single" w:sz="8" w:color="auto"/>
            </w:tcBorders>
          </w:tcPr>
          <w:p>
            <w:pPr>
              <w:jc w:val="center"/>
              <w:ind w:left="1257"/>
              <w:spacing w:after="0"/>
              <w:rPr>
                <w:sz w:val="20"/>
                <w:szCs w:val="20"/>
                <w:color w:val="auto"/>
              </w:rPr>
            </w:pPr>
            <w:r>
              <w:rPr>
                <w:rFonts w:ascii="Times New Roman" w:cs="Times New Roman" w:eastAsia="Times New Roman" w:hAnsi="Times New Roman"/>
                <w:sz w:val="17"/>
                <w:szCs w:val="17"/>
                <w:b w:val="1"/>
                <w:bCs w:val="1"/>
                <w:color w:val="auto"/>
                <w:w w:val="97"/>
              </w:rPr>
              <w:t>FOR THE THREE MONTHS ENDED MARCH 31, 2025</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Sales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786,375,637</w:t>
            </w: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Sales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657,118,468</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129,257,169</w:t>
            </w: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126,084,148</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3,173,021</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net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income, net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137,594</w:t>
            </w:r>
          </w:p>
        </w:tc>
        <w:tc>
          <w:tcPr>
            <w:tcW w:w="100" w:type="dxa"/>
            <w:vAlign w:val="bottom"/>
          </w:tcPr>
          <w:p>
            <w:pPr>
              <w:spacing w:after="0"/>
              <w:rPr>
                <w:sz w:val="17"/>
                <w:szCs w:val="17"/>
                <w:color w:val="auto"/>
              </w:rPr>
            </w:pPr>
          </w:p>
        </w:tc>
      </w:tr>
      <w:tr>
        <w:trPr>
          <w:trHeight w:val="211"/>
        </w:trPr>
        <w:tc>
          <w:tcPr>
            <w:tcW w:w="9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3,931,628</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Other Income</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4,069,222</w:t>
            </w:r>
          </w:p>
        </w:tc>
        <w:tc>
          <w:tcPr>
            <w:tcW w:w="100" w:type="dxa"/>
            <w:vAlign w:val="bottom"/>
            <w:shd w:val="clear" w:color="auto" w:fill="CCEEFF"/>
          </w:tcPr>
          <w:p>
            <w:pPr>
              <w:spacing w:after="0"/>
              <w:rPr>
                <w:sz w:val="18"/>
                <w:szCs w:val="18"/>
                <w:color w:val="auto"/>
              </w:rPr>
            </w:pPr>
          </w:p>
        </w:tc>
      </w:tr>
      <w:tr>
        <w:trPr>
          <w:trHeight w:val="191"/>
        </w:trPr>
        <w:tc>
          <w:tcPr>
            <w:tcW w:w="9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7,242,243</w:t>
            </w:r>
          </w:p>
        </w:tc>
        <w:tc>
          <w:tcPr>
            <w:tcW w:w="100" w:type="dxa"/>
            <w:vAlign w:val="bottom"/>
            <w:shd w:val="clear" w:color="auto" w:fill="CCEEFF"/>
          </w:tcPr>
          <w:p>
            <w:pPr>
              <w:spacing w:after="0"/>
              <w:rPr>
                <w:sz w:val="17"/>
                <w:szCs w:val="17"/>
                <w:color w:val="auto"/>
              </w:rPr>
            </w:pPr>
          </w:p>
        </w:tc>
      </w:tr>
      <w:tr>
        <w:trPr>
          <w:trHeight w:val="198"/>
        </w:trPr>
        <w:tc>
          <w:tcPr>
            <w:tcW w:w="9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99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holding loss</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(34,906)</w:t>
            </w:r>
          </w:p>
        </w:tc>
      </w:tr>
      <w:tr>
        <w:trPr>
          <w:trHeight w:val="191"/>
        </w:trPr>
        <w:tc>
          <w:tcPr>
            <w:tcW w:w="99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3"/>
        </w:trPr>
        <w:tc>
          <w:tcPr>
            <w:tcW w:w="9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7,207,337</w:t>
            </w:r>
          </w:p>
        </w:tc>
        <w:tc>
          <w:tcPr>
            <w:tcW w:w="100" w:type="dxa"/>
            <w:vAlign w:val="bottom"/>
          </w:tcPr>
          <w:p>
            <w:pPr>
              <w:spacing w:after="0"/>
              <w:rPr>
                <w:sz w:val="19"/>
                <w:szCs w:val="19"/>
                <w:color w:val="auto"/>
              </w:rPr>
            </w:pP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See accompanying notes to the combined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COMBINED STATEMENT OF CHANGES IN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20" w:type="dxa"/>
            <w:vAlign w:val="bottom"/>
            <w:tcBorders>
              <w:bottom w:val="single" w:sz="8" w:color="auto"/>
            </w:tcBorders>
          </w:tcPr>
          <w:p>
            <w:pPr>
              <w:spacing w:after="0"/>
              <w:rPr>
                <w:sz w:val="19"/>
                <w:szCs w:val="19"/>
                <w:color w:val="auto"/>
              </w:rPr>
            </w:pPr>
          </w:p>
        </w:tc>
        <w:tc>
          <w:tcPr>
            <w:tcW w:w="6780" w:type="dxa"/>
            <w:vAlign w:val="bottom"/>
            <w:tcBorders>
              <w:bottom w:val="single" w:sz="8" w:color="auto"/>
            </w:tcBorders>
            <w:gridSpan w:val="2"/>
          </w:tcPr>
          <w:p>
            <w:pPr>
              <w:jc w:val="right"/>
              <w:ind w:right="254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91"/>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beginning of period</w:t>
            </w:r>
          </w:p>
        </w:tc>
        <w:tc>
          <w:tcPr>
            <w:tcW w:w="6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2,689,100</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8"/>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end of period</w:t>
            </w:r>
          </w:p>
        </w:tc>
        <w:tc>
          <w:tcPr>
            <w:tcW w:w="6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2,689,100</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8"/>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Additional Paid-in Capital</w:t>
            </w:r>
            <w:r>
              <w:rPr>
                <w:rFonts w:ascii="Times New Roman" w:cs="Times New Roman" w:eastAsia="Times New Roman" w:hAnsi="Times New Roman"/>
                <w:sz w:val="17"/>
                <w:szCs w:val="17"/>
                <w:color w:val="auto"/>
              </w:rPr>
              <w:t>, beginning of period</w:t>
            </w:r>
          </w:p>
        </w:tc>
        <w:tc>
          <w:tcPr>
            <w:tcW w:w="6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31,426,059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88"/>
        </w:trPr>
        <w:tc>
          <w:tcPr>
            <w:tcW w:w="34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Additional Paid-in Capital</w:t>
            </w:r>
            <w:r>
              <w:rPr>
                <w:rFonts w:ascii="Times New Roman" w:cs="Times New Roman" w:eastAsia="Times New Roman" w:hAnsi="Times New Roman"/>
                <w:sz w:val="17"/>
                <w:szCs w:val="17"/>
                <w:color w:val="auto"/>
              </w:rPr>
              <w:t>, end of period</w:t>
            </w:r>
          </w:p>
        </w:tc>
        <w:tc>
          <w:tcPr>
            <w:tcW w:w="6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31,426,059</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838"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Retained Earnings</w:t>
      </w:r>
      <w:r>
        <w:rPr>
          <w:rFonts w:ascii="Times New Roman" w:cs="Times New Roman" w:eastAsia="Times New Roman" w:hAnsi="Times New Roman"/>
          <w:sz w:val="17"/>
          <w:szCs w:val="17"/>
          <w:color w:val="auto"/>
        </w:rPr>
        <w: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257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43750" cy="133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750" cy="1339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Distributions to stockholder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Retained Earnings</w:t>
      </w:r>
      <w:r>
        <w:rPr>
          <w:rFonts w:ascii="Times New Roman" w:cs="Times New Roman" w:eastAsia="Times New Roman" w:hAnsi="Times New Roman"/>
          <w:sz w:val="17"/>
          <w:szCs w:val="17"/>
          <w:color w:val="auto"/>
        </w:rPr>
        <w: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49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750" cy="14922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Member's Equity</w:t>
      </w:r>
      <w:r>
        <w:rPr>
          <w:rFonts w:ascii="Times New Roman" w:cs="Times New Roman" w:eastAsia="Times New Roman" w:hAnsi="Times New Roman"/>
          <w:sz w:val="17"/>
          <w:szCs w:val="17"/>
          <w:color w:val="auto"/>
        </w:rPr>
        <w: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257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43750" cy="133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750" cy="1339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Distributions to member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Member's Equity</w:t>
      </w:r>
      <w:r>
        <w:rPr>
          <w:rFonts w:ascii="Times New Roman" w:cs="Times New Roman" w:eastAsia="Times New Roman" w:hAnsi="Times New Roman"/>
          <w:sz w:val="17"/>
          <w:szCs w:val="17"/>
          <w:color w:val="auto"/>
        </w:rPr>
        <w: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49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3750" cy="14922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w:t>
      </w:r>
      <w:r>
        <w:rPr>
          <w:rFonts w:ascii="Times New Roman" w:cs="Times New Roman" w:eastAsia="Times New Roman" w:hAnsi="Times New Roman"/>
          <w:sz w:val="17"/>
          <w:szCs w:val="17"/>
          <w:color w:val="auto"/>
        </w:rPr>
        <w: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257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Unrealized holding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43750" cy="133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3750" cy="13398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w:t>
      </w:r>
      <w:r>
        <w:rPr>
          <w:rFonts w:ascii="Times New Roman" w:cs="Times New Roman" w:eastAsia="Times New Roman" w:hAnsi="Times New Roman"/>
          <w:sz w:val="17"/>
          <w:szCs w:val="17"/>
          <w:color w:val="auto"/>
        </w:rPr>
        <w: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43750" cy="141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3750" cy="14160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Equity</w:t>
      </w:r>
      <w:r>
        <w:rPr>
          <w:rFonts w:ascii="Times New Roman" w:cs="Times New Roman" w:eastAsia="Times New Roman" w:hAnsi="Times New Roman"/>
          <w:sz w:val="17"/>
          <w:szCs w:val="17"/>
          <w:color w:val="auto"/>
        </w:rPr>
        <w: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257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3750" cy="125730"/>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Unrealized holding loss</w:t>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Distributions to stockholder and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43750" cy="133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3750" cy="13398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Net income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Equity</w:t>
      </w:r>
      <w:r>
        <w:rPr>
          <w:rFonts w:ascii="Times New Roman" w:cs="Times New Roman" w:eastAsia="Times New Roman" w:hAnsi="Times New Roman"/>
          <w:sz w:val="17"/>
          <w:szCs w:val="17"/>
          <w:color w:val="auto"/>
        </w:rPr>
        <w: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49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3750" cy="149225"/>
                    </a:xfrm>
                    <a:prstGeom prst="rect">
                      <a:avLst/>
                    </a:prstGeom>
                    <a:noFill/>
                  </pic:spPr>
                </pic:pic>
              </a:graphicData>
            </a:graphic>
          </wp:anchor>
        </w:drawing>
      </w:r>
    </w:p>
    <w:p>
      <w:pPr>
        <w:spacing w:after="0" w:line="243" w:lineRule="exact"/>
        <w:rPr>
          <w:sz w:val="20"/>
          <w:szCs w:val="20"/>
          <w:color w:val="auto"/>
        </w:rPr>
      </w:pPr>
    </w:p>
    <w:p>
      <w:pPr>
        <w:jc w:val="right"/>
        <w:ind w:right="1451"/>
        <w:spacing w:after="0"/>
        <w:rPr>
          <w:sz w:val="20"/>
          <w:szCs w:val="20"/>
          <w:color w:val="auto"/>
        </w:rPr>
      </w:pPr>
      <w:r>
        <w:rPr>
          <w:rFonts w:ascii="Times New Roman" w:cs="Times New Roman" w:eastAsia="Times New Roman" w:hAnsi="Times New Roman"/>
          <w:sz w:val="17"/>
          <w:szCs w:val="17"/>
          <w:b w:val="1"/>
          <w:bCs w:val="1"/>
          <w:i w:val="1"/>
          <w:iCs w:val="1"/>
          <w:color w:val="auto"/>
        </w:rPr>
        <w:t>See accompanying notes to the combined financial statements.</w:t>
      </w:r>
    </w:p>
    <w:p>
      <w:pPr>
        <w:spacing w:after="0" w:line="20" w:lineRule="exact"/>
        <w:rPr>
          <w:sz w:val="20"/>
          <w:szCs w:val="20"/>
          <w:color w:val="auto"/>
        </w:rPr>
      </w:pPr>
      <w:r>
        <w:rPr>
          <w:sz w:val="20"/>
          <w:szCs w:val="20"/>
          <w:color w:val="auto"/>
        </w:rPr>
        <w:br w:type="column"/>
      </w:r>
    </w:p>
    <w:p>
      <w:pPr>
        <w:ind w:left="409" w:hanging="409"/>
        <w:spacing w:after="0"/>
        <w:tabs>
          <w:tab w:leader="none" w:pos="40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282,356,061</w:t>
      </w:r>
    </w:p>
    <w:p>
      <w:pPr>
        <w:spacing w:after="0" w:line="19" w:lineRule="exact"/>
        <w:rPr>
          <w:rFonts w:ascii="Times New Roman" w:cs="Times New Roman" w:eastAsia="Times New Roman" w:hAnsi="Times New Roman"/>
          <w:sz w:val="17"/>
          <w:szCs w:val="17"/>
          <w:color w:val="auto"/>
        </w:rPr>
      </w:pPr>
    </w:p>
    <w:p>
      <w:pPr>
        <w:ind w:left="56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7,604,649</w:t>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(2,535,021)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7914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214" w:lineRule="exact"/>
        <w:rPr>
          <w:sz w:val="20"/>
          <w:szCs w:val="20"/>
          <w:color w:val="auto"/>
        </w:rPr>
      </w:pPr>
    </w:p>
    <w:p>
      <w:pPr>
        <w:ind w:left="409" w:hanging="409"/>
        <w:spacing w:after="0"/>
        <w:tabs>
          <w:tab w:leader="none" w:pos="40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287,425,689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7914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231" w:lineRule="exact"/>
        <w:rPr>
          <w:sz w:val="20"/>
          <w:szCs w:val="20"/>
          <w:color w:val="auto"/>
        </w:rPr>
      </w:pPr>
    </w:p>
    <w:p>
      <w:pPr>
        <w:ind w:left="489" w:hanging="489"/>
        <w:spacing w:after="0"/>
        <w:tabs>
          <w:tab w:leader="none" w:pos="48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24,236,020</w:t>
      </w:r>
    </w:p>
    <w:p>
      <w:pPr>
        <w:spacing w:after="0" w:line="19" w:lineRule="exact"/>
        <w:rPr>
          <w:rFonts w:ascii="Times New Roman" w:cs="Times New Roman" w:eastAsia="Times New Roman" w:hAnsi="Times New Roman"/>
          <w:sz w:val="17"/>
          <w:szCs w:val="17"/>
          <w:color w:val="auto"/>
        </w:rPr>
      </w:pPr>
    </w:p>
    <w:p>
      <w:pPr>
        <w:ind w:left="62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(362,406)</w:t>
      </w:r>
    </w:p>
    <w:p>
      <w:pPr>
        <w:spacing w:after="0" w:line="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7914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214" w:lineRule="exact"/>
        <w:rPr>
          <w:sz w:val="20"/>
          <w:szCs w:val="20"/>
          <w:color w:val="auto"/>
        </w:rPr>
      </w:pPr>
    </w:p>
    <w:p>
      <w:pPr>
        <w:ind w:left="489" w:hanging="489"/>
        <w:spacing w:after="0"/>
        <w:tabs>
          <w:tab w:leader="none" w:pos="48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21,373,614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7914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231" w:lineRule="exact"/>
        <w:rPr>
          <w:sz w:val="20"/>
          <w:szCs w:val="20"/>
          <w:color w:val="auto"/>
        </w:rPr>
      </w:pPr>
    </w:p>
    <w:p>
      <w:pPr>
        <w:ind w:left="689" w:hanging="689"/>
        <w:spacing w:after="0"/>
        <w:tabs>
          <w:tab w:leader="none" w:pos="68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331,541</w:t>
      </w:r>
    </w:p>
    <w:p>
      <w:pPr>
        <w:spacing w:after="0" w:line="19" w:lineRule="exact"/>
        <w:rPr>
          <w:rFonts w:ascii="Times New Roman" w:cs="Times New Roman" w:eastAsia="Times New Roman" w:hAnsi="Times New Roman"/>
          <w:sz w:val="17"/>
          <w:szCs w:val="17"/>
          <w:color w:val="auto"/>
        </w:rPr>
      </w:pPr>
    </w:p>
    <w:p>
      <w:pPr>
        <w:ind w:left="70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(34,906)</w:t>
      </w:r>
    </w:p>
    <w:p>
      <w:pPr>
        <w:spacing w:after="0" w:line="257" w:lineRule="exact"/>
        <w:rPr>
          <w:sz w:val="20"/>
          <w:szCs w:val="20"/>
          <w:color w:val="auto"/>
        </w:rPr>
      </w:pPr>
    </w:p>
    <w:p>
      <w:pPr>
        <w:ind w:left="689" w:hanging="689"/>
        <w:spacing w:after="0"/>
        <w:tabs>
          <w:tab w:leader="none" w:pos="68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296,635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7914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218" w:lineRule="exact"/>
        <w:rPr>
          <w:sz w:val="20"/>
          <w:szCs w:val="20"/>
          <w:color w:val="auto"/>
        </w:rPr>
      </w:pPr>
    </w:p>
    <w:p>
      <w:pPr>
        <w:ind w:left="409" w:hanging="409"/>
        <w:spacing w:after="0"/>
        <w:tabs>
          <w:tab w:leader="none" w:pos="40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341,038,781</w:t>
      </w:r>
    </w:p>
    <w:p>
      <w:pPr>
        <w:spacing w:after="0" w:line="2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(34,906)</w:t>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(5,035,021)</w:t>
      </w:r>
    </w:p>
    <w:p>
      <w:pPr>
        <w:spacing w:after="0" w:line="3" w:lineRule="exact"/>
        <w:rPr>
          <w:sz w:val="20"/>
          <w:szCs w:val="20"/>
          <w:color w:val="auto"/>
        </w:rPr>
      </w:pPr>
    </w:p>
    <w:p>
      <w:pPr>
        <w:ind w:left="569"/>
        <w:spacing w:after="0"/>
        <w:rPr>
          <w:sz w:val="20"/>
          <w:szCs w:val="20"/>
          <w:color w:val="auto"/>
        </w:rPr>
      </w:pPr>
      <w:r>
        <w:rPr>
          <w:rFonts w:ascii="Times New Roman" w:cs="Times New Roman" w:eastAsia="Times New Roman" w:hAnsi="Times New Roman"/>
          <w:sz w:val="17"/>
          <w:szCs w:val="17"/>
          <w:color w:val="auto"/>
        </w:rPr>
        <w:t>7,242,243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7914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214" w:lineRule="exact"/>
        <w:rPr>
          <w:sz w:val="20"/>
          <w:szCs w:val="20"/>
          <w:color w:val="auto"/>
        </w:rPr>
      </w:pPr>
    </w:p>
    <w:p>
      <w:pPr>
        <w:ind w:left="409" w:hanging="409"/>
        <w:spacing w:after="0"/>
        <w:tabs>
          <w:tab w:leader="none" w:pos="40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343,211,097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7914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9191" w:space="720"/>
            <w:col w:w="1329"/>
          </w:cols>
          <w:pgMar w:left="320" w:top="838" w:right="339" w:bottom="1440" w:gutter="0" w:footer="0" w:header="0"/>
          <w:type w:val="continuous"/>
        </w:sectPr>
      </w:pPr>
    </w:p>
    <w:p>
      <w:pPr>
        <w:spacing w:after="0" w:line="2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37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19"/>
        </w:trPr>
        <w:tc>
          <w:tcPr>
            <w:tcW w:w="8880" w:type="dxa"/>
            <w:vAlign w:val="bottom"/>
          </w:tcPr>
          <w:p>
            <w:pPr>
              <w:jc w:val="center"/>
              <w:ind w:left="2277"/>
              <w:spacing w:after="0"/>
              <w:rPr>
                <w:sz w:val="20"/>
                <w:szCs w:val="20"/>
                <w:color w:val="auto"/>
              </w:rPr>
            </w:pPr>
            <w:r>
              <w:rPr>
                <w:rFonts w:ascii="Times New Roman" w:cs="Times New Roman" w:eastAsia="Times New Roman" w:hAnsi="Times New Roman"/>
                <w:sz w:val="17"/>
                <w:szCs w:val="17"/>
                <w:b w:val="1"/>
                <w:bCs w:val="1"/>
                <w:color w:val="auto"/>
                <w:w w:val="96"/>
              </w:rPr>
              <w:t>THE HERB CHAMBERS COMPANIES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8880" w:type="dxa"/>
            <w:vAlign w:val="bottom"/>
          </w:tcPr>
          <w:p>
            <w:pPr>
              <w:jc w:val="center"/>
              <w:ind w:left="2277"/>
              <w:spacing w:after="0"/>
              <w:rPr>
                <w:sz w:val="20"/>
                <w:szCs w:val="20"/>
                <w:color w:val="auto"/>
              </w:rPr>
            </w:pPr>
            <w:r>
              <w:rPr>
                <w:rFonts w:ascii="Times New Roman" w:cs="Times New Roman" w:eastAsia="Times New Roman" w:hAnsi="Times New Roman"/>
                <w:sz w:val="17"/>
                <w:szCs w:val="17"/>
                <w:b w:val="1"/>
                <w:bCs w:val="1"/>
                <w:color w:val="auto"/>
                <w:w w:val="96"/>
              </w:rPr>
              <w:t>UNAUDITED COMBINED STATEMENT OF CASH FLOWS</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6"/>
        </w:trPr>
        <w:tc>
          <w:tcPr>
            <w:tcW w:w="8880" w:type="dxa"/>
            <w:vAlign w:val="bottom"/>
            <w:tcBorders>
              <w:bottom w:val="single" w:sz="8" w:color="auto"/>
            </w:tcBorders>
          </w:tcPr>
          <w:p>
            <w:pPr>
              <w:jc w:val="center"/>
              <w:ind w:left="2297"/>
              <w:spacing w:after="0"/>
              <w:rPr>
                <w:sz w:val="20"/>
                <w:szCs w:val="20"/>
                <w:color w:val="auto"/>
              </w:rPr>
            </w:pPr>
            <w:r>
              <w:rPr>
                <w:rFonts w:ascii="Times New Roman" w:cs="Times New Roman" w:eastAsia="Times New Roman" w:hAnsi="Times New Roman"/>
                <w:sz w:val="17"/>
                <w:szCs w:val="17"/>
                <w:b w:val="1"/>
                <w:bCs w:val="1"/>
                <w:color w:val="auto"/>
                <w:w w:val="97"/>
              </w:rPr>
              <w:t>FOR THE THREE MONTHS ENDED MARCH 31, 2025</w:t>
            </w: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8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8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7,242,243</w:t>
            </w:r>
          </w:p>
        </w:tc>
      </w:tr>
      <w:tr>
        <w:trPr>
          <w:trHeight w:val="198"/>
        </w:trPr>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8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1,914,318</w:t>
            </w:r>
          </w:p>
        </w:tc>
      </w:tr>
      <w:tr>
        <w:trPr>
          <w:trHeight w:val="198"/>
        </w:trPr>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Amortization of right of use assets</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9,771,113</w:t>
            </w:r>
          </w:p>
        </w:tc>
      </w:tr>
      <w:tr>
        <w:trPr>
          <w:trHeight w:val="198"/>
        </w:trPr>
        <w:tc>
          <w:tcPr>
            <w:tcW w:w="8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24,079</w:t>
            </w:r>
          </w:p>
        </w:tc>
      </w:tr>
      <w:tr>
        <w:trPr>
          <w:trHeight w:val="198"/>
        </w:trPr>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Investment income, net</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(137,594)</w:t>
            </w:r>
          </w:p>
        </w:tc>
      </w:tr>
      <w:tr>
        <w:trPr>
          <w:trHeight w:val="198"/>
        </w:trPr>
        <w:tc>
          <w:tcPr>
            <w:tcW w:w="8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receivable</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(7,685,886)</w:t>
            </w:r>
          </w:p>
        </w:tc>
      </w:tr>
      <w:tr>
        <w:trPr>
          <w:trHeight w:val="198"/>
        </w:trPr>
        <w:tc>
          <w:tcPr>
            <w:tcW w:w="8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Inventories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13,746,596</w:t>
            </w:r>
          </w:p>
        </w:tc>
      </w:tr>
      <w:tr>
        <w:trPr>
          <w:trHeight w:val="198"/>
        </w:trPr>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Due from related parties</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(250,508)</w:t>
            </w:r>
          </w:p>
        </w:tc>
      </w:tr>
      <w:tr>
        <w:trPr>
          <w:trHeight w:val="198"/>
        </w:trPr>
        <w:tc>
          <w:tcPr>
            <w:tcW w:w="8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Prepaid taxes and expenses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563,620</w:t>
            </w:r>
          </w:p>
        </w:tc>
      </w:tr>
      <w:tr>
        <w:trPr>
          <w:trHeight w:val="198"/>
        </w:trPr>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859,250</w:t>
            </w:r>
          </w:p>
        </w:tc>
      </w:tr>
      <w:tr>
        <w:trPr>
          <w:trHeight w:val="198"/>
        </w:trPr>
        <w:tc>
          <w:tcPr>
            <w:tcW w:w="8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taxes payable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(545,117)</w:t>
            </w:r>
          </w:p>
        </w:tc>
      </w:tr>
      <w:tr>
        <w:trPr>
          <w:trHeight w:val="198"/>
        </w:trPr>
        <w:tc>
          <w:tcPr>
            <w:tcW w:w="8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Repayments on operating lease liabilities</w:t>
            </w: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(9,846,436)</w:t>
            </w:r>
          </w:p>
        </w:tc>
      </w:tr>
      <w:tr>
        <w:trPr>
          <w:trHeight w:val="211"/>
        </w:trPr>
        <w:tc>
          <w:tcPr>
            <w:tcW w:w="8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Insurance loss fund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227,936</w:t>
            </w:r>
          </w:p>
        </w:tc>
      </w:tr>
      <w:tr>
        <w:trPr>
          <w:trHeight w:val="191"/>
        </w:trPr>
        <w:tc>
          <w:tcPr>
            <w:tcW w:w="88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1"/>
        </w:trPr>
        <w:tc>
          <w:tcPr>
            <w:tcW w:w="8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15,883,614</w:t>
            </w:r>
          </w:p>
        </w:tc>
      </w:tr>
      <w:tr>
        <w:trPr>
          <w:trHeight w:val="191"/>
        </w:trPr>
        <w:tc>
          <w:tcPr>
            <w:tcW w:w="88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8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8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(981,270)</w:t>
            </w:r>
          </w:p>
        </w:tc>
      </w:tr>
      <w:tr>
        <w:trPr>
          <w:trHeight w:val="191"/>
        </w:trPr>
        <w:tc>
          <w:tcPr>
            <w:tcW w:w="8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(981,270)</w:t>
            </w:r>
          </w:p>
        </w:tc>
      </w:tr>
      <w:tr>
        <w:trPr>
          <w:trHeight w:val="20"/>
        </w:trPr>
        <w:tc>
          <w:tcPr>
            <w:tcW w:w="8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See accompanying notes to the combined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COMBINED STATEMENT OF CASH FLOWS (CONTINUED)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advances on floorplan notes payable</w:t>
            </w:r>
          </w:p>
        </w:tc>
        <w:tc>
          <w:tcPr>
            <w:tcW w:w="3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3,255,253</w:t>
            </w: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repayments on due to/from owner</w:t>
            </w:r>
          </w:p>
        </w:tc>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(384,039)</w:t>
            </w:r>
          </w:p>
        </w:tc>
        <w:tc>
          <w:tcPr>
            <w:tcW w:w="0" w:type="dxa"/>
            <w:vAlign w:val="bottom"/>
          </w:tcPr>
          <w:p>
            <w:pPr>
              <w:spacing w:after="0"/>
              <w:rPr>
                <w:sz w:val="1"/>
                <w:szCs w:val="1"/>
                <w:color w:val="auto"/>
              </w:rPr>
            </w:pPr>
          </w:p>
        </w:tc>
      </w:tr>
      <w:tr>
        <w:trPr>
          <w:trHeight w:val="198"/>
        </w:trPr>
        <w:tc>
          <w:tcPr>
            <w:tcW w:w="6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Repayments on finance lease liability</w:t>
            </w: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(106,062)</w:t>
            </w: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Distributions paid to stockholder and member</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(5,035,022)</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(2,269,870)</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Net Increase in Cash</w:t>
            </w:r>
          </w:p>
        </w:tc>
        <w:tc>
          <w:tcPr>
            <w:tcW w:w="3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12,632,474</w:t>
            </w:r>
          </w:p>
        </w:tc>
        <w:tc>
          <w:tcPr>
            <w:tcW w:w="0" w:type="dxa"/>
            <w:vAlign w:val="bottom"/>
          </w:tcPr>
          <w:p>
            <w:pPr>
              <w:spacing w:after="0"/>
              <w:rPr>
                <w:sz w:val="1"/>
                <w:szCs w:val="1"/>
                <w:color w:val="auto"/>
              </w:rPr>
            </w:pPr>
          </w:p>
        </w:tc>
      </w:tr>
      <w:tr>
        <w:trPr>
          <w:trHeight w:val="198"/>
        </w:trPr>
        <w:tc>
          <w:tcPr>
            <w:tcW w:w="65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Beginning of period</w:t>
            </w:r>
          </w:p>
        </w:tc>
        <w:tc>
          <w:tcPr>
            <w:tcW w:w="3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80,752,620</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w:t>
            </w:r>
            <w:r>
              <w:rPr>
                <w:rFonts w:ascii="Times New Roman" w:cs="Times New Roman" w:eastAsia="Times New Roman" w:hAnsi="Times New Roman"/>
                <w:sz w:val="17"/>
                <w:szCs w:val="17"/>
                <w:color w:val="auto"/>
              </w:rPr>
              <w:t>, End of period</w:t>
            </w:r>
          </w:p>
        </w:tc>
        <w:tc>
          <w:tcPr>
            <w:tcW w:w="3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93,385,094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Supplementary Disclosures (Note 12)</w:t>
            </w:r>
          </w:p>
        </w:tc>
        <w:tc>
          <w:tcPr>
            <w:tcW w:w="3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6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See accompanying notes to the combined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w:t>
      </w:r>
      <w:r>
        <w:rPr>
          <w:rFonts w:ascii="Times New Roman" w:cs="Times New Roman" w:eastAsia="Times New Roman" w:hAnsi="Times New Roman"/>
          <w:sz w:val="11"/>
          <w:szCs w:val="11"/>
          <w:b w:val="1"/>
          <w:bCs w:val="1"/>
          <w:i w:val="1"/>
          <w:iCs w:val="1"/>
          <w:color w:val="auto"/>
        </w:rPr>
        <w:t>usiness</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perations and</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rinciples of</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ombination</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Herb Chambers Companies’ (the Group) combined operations consist of sales of new and used vehicles, finance, warranty and insurance products, service, collision repairs, and parts in the New England area. The Group’s trade receivables are due primarily from retail customers. In addition, the majority of the vehicle and contract receivables are due from manufacturers’ financing subsidiaries and financial institutions relating to sales of new and used vehicles with the balance due from various wholesale customers. The Group purchases vehicles, parts and supplies from the manufacturers and participates in incentive programs. These transactions result in both a receivable from and payable to the manufacturers.</w:t>
      </w:r>
    </w:p>
    <w:p>
      <w:pPr>
        <w:spacing w:after="0" w:line="17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includes Jennings Road Management Corp. (JRM), established to provide management, insurance, and other related services to the Herb Chambers automobile dealerships and other entities owned by Herbert G. Chambers. The Group also includes HGC Holdings, LLC, established to hold investments and provide liquidity financing to the Herb Chambers dealerships.</w:t>
      </w:r>
    </w:p>
    <w:p>
      <w:pPr>
        <w:spacing w:after="0" w:line="170" w:lineRule="exact"/>
        <w:rPr>
          <w:sz w:val="20"/>
          <w:szCs w:val="20"/>
          <w:color w:val="auto"/>
        </w:rPr>
      </w:pPr>
    </w:p>
    <w:p>
      <w:pPr>
        <w:jc w:val="both"/>
        <w:ind w:left="300"/>
        <w:spacing w:after="0" w:line="335" w:lineRule="auto"/>
        <w:rPr>
          <w:sz w:val="20"/>
          <w:szCs w:val="20"/>
          <w:color w:val="auto"/>
        </w:rPr>
      </w:pPr>
      <w:r>
        <w:rPr>
          <w:rFonts w:ascii="Times New Roman" w:cs="Times New Roman" w:eastAsia="Times New Roman" w:hAnsi="Times New Roman"/>
          <w:sz w:val="15"/>
          <w:szCs w:val="15"/>
          <w:color w:val="auto"/>
        </w:rPr>
        <w:t>The combined financial statements of the Group are prepared in conformity with accounting principles generally accepted in the U.S. (GAAP) and all the intercompany balances and transactions have been eliminated in the combined statements. These entities are owned by Herbert G. Chambers. These entities include:</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Entity</w:t>
            </w:r>
          </w:p>
        </w:tc>
        <w:tc>
          <w:tcPr>
            <w:tcW w:w="220" w:type="dxa"/>
            <w:vAlign w:val="bottom"/>
          </w:tcPr>
          <w:p>
            <w:pPr>
              <w:spacing w:after="0"/>
              <w:rPr>
                <w:sz w:val="18"/>
                <w:szCs w:val="18"/>
                <w:color w:val="auto"/>
              </w:rPr>
            </w:pPr>
          </w:p>
        </w:tc>
        <w:tc>
          <w:tcPr>
            <w:tcW w:w="534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Authorized Dealer</w:t>
            </w:r>
          </w:p>
        </w:tc>
      </w:tr>
      <w:tr>
        <w:trPr>
          <w:trHeight w:val="174"/>
        </w:trPr>
        <w:tc>
          <w:tcPr>
            <w:tcW w:w="20" w:type="dxa"/>
            <w:vAlign w:val="bottom"/>
          </w:tcPr>
          <w:p>
            <w:pPr>
              <w:spacing w:after="0"/>
              <w:rPr>
                <w:sz w:val="15"/>
                <w:szCs w:val="15"/>
                <w:color w:val="auto"/>
              </w:rPr>
            </w:pPr>
          </w:p>
        </w:tc>
        <w:tc>
          <w:tcPr>
            <w:tcW w:w="532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Herb Chambers Route 1, Inc.</w:t>
            </w:r>
          </w:p>
        </w:tc>
        <w:tc>
          <w:tcPr>
            <w:tcW w:w="220" w:type="dxa"/>
            <w:vAlign w:val="bottom"/>
          </w:tcPr>
          <w:p>
            <w:pPr>
              <w:spacing w:after="0"/>
              <w:rPr>
                <w:sz w:val="15"/>
                <w:szCs w:val="15"/>
                <w:color w:val="auto"/>
              </w:rPr>
            </w:pPr>
          </w:p>
        </w:tc>
        <w:tc>
          <w:tcPr>
            <w:tcW w:w="534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Lexus</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I-93,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Mercedes-Benz, AMG and Commercial Vans</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Commonwealth Avenue,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Porsche</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Silver Star,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Mercedes-Benz, AMG and Commercial Vans</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1172,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BMW and Mini</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Cambridge Street,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Audi</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Cadillac,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Cadillac, Maserati and Alfa Romeo</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1186,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Honda</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128,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Honda</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44,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Honda</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Route 9,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Honda (sold franchise December 2024)</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Brookline,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Audi</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I-95,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Chrysler, Jeep, Dodge, Ram and Fiat</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Millbury,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Chrysler, Jeep, Dodge, Ram and Fiat</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Auburn,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Toyota, Hyundai and Genesis</w:t>
            </w:r>
          </w:p>
        </w:tc>
      </w:tr>
      <w:tr>
        <w:trPr>
          <w:trHeight w:val="215"/>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1168,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Toyota</w:t>
            </w: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w:t>
      </w:r>
      <w:r>
        <w:rPr>
          <w:rFonts w:ascii="Times New Roman" w:cs="Times New Roman" w:eastAsia="Times New Roman" w:hAnsi="Times New Roman"/>
          <w:sz w:val="11"/>
          <w:szCs w:val="11"/>
          <w:b w:val="1"/>
          <w:bCs w:val="1"/>
          <w:i w:val="1"/>
          <w:iCs w:val="1"/>
          <w:color w:val="auto"/>
        </w:rPr>
        <w:t>usiness</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perations and</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rinciples of</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ombination</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Entity</w:t>
            </w:r>
          </w:p>
        </w:tc>
        <w:tc>
          <w:tcPr>
            <w:tcW w:w="220" w:type="dxa"/>
            <w:vAlign w:val="bottom"/>
          </w:tcPr>
          <w:p>
            <w:pPr>
              <w:spacing w:after="0"/>
              <w:rPr>
                <w:sz w:val="18"/>
                <w:szCs w:val="18"/>
                <w:color w:val="auto"/>
              </w:rPr>
            </w:pPr>
          </w:p>
        </w:tc>
        <w:tc>
          <w:tcPr>
            <w:tcW w:w="534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Authorized Dealer</w:t>
            </w:r>
          </w:p>
        </w:tc>
      </w:tr>
      <w:tr>
        <w:trPr>
          <w:trHeight w:val="174"/>
        </w:trPr>
        <w:tc>
          <w:tcPr>
            <w:tcW w:w="20" w:type="dxa"/>
            <w:vAlign w:val="bottom"/>
          </w:tcPr>
          <w:p>
            <w:pPr>
              <w:spacing w:after="0"/>
              <w:rPr>
                <w:sz w:val="15"/>
                <w:szCs w:val="15"/>
                <w:color w:val="auto"/>
              </w:rPr>
            </w:pPr>
          </w:p>
        </w:tc>
        <w:tc>
          <w:tcPr>
            <w:tcW w:w="532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Dave Dinger Ford, Inc.</w:t>
            </w:r>
          </w:p>
        </w:tc>
        <w:tc>
          <w:tcPr>
            <w:tcW w:w="220" w:type="dxa"/>
            <w:vAlign w:val="bottom"/>
          </w:tcPr>
          <w:p>
            <w:pPr>
              <w:spacing w:after="0"/>
              <w:rPr>
                <w:sz w:val="15"/>
                <w:szCs w:val="15"/>
                <w:color w:val="auto"/>
              </w:rPr>
            </w:pPr>
          </w:p>
        </w:tc>
        <w:tc>
          <w:tcPr>
            <w:tcW w:w="5340" w:type="dxa"/>
            <w:vAlign w:val="bottom"/>
            <w:tcBorders>
              <w:top w:val="single" w:sz="8" w:color="auto"/>
            </w:tcBorders>
          </w:tcPr>
          <w:p>
            <w:pPr>
              <w:spacing w:after="0" w:line="174" w:lineRule="exact"/>
              <w:rPr>
                <w:sz w:val="20"/>
                <w:szCs w:val="20"/>
                <w:color w:val="auto"/>
              </w:rPr>
            </w:pPr>
            <w:r>
              <w:rPr>
                <w:rFonts w:ascii="Times New Roman" w:cs="Times New Roman" w:eastAsia="Times New Roman" w:hAnsi="Times New Roman"/>
                <w:sz w:val="17"/>
                <w:szCs w:val="17"/>
                <w:color w:val="auto"/>
              </w:rPr>
              <w:t>Ford</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Westborough,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Ford</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Andover Street,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Chevrolet</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Boston Post Road,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BMW</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Wayland,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Bentley, Rolls Royce, Lamborghini, Alfa Romeo and Maserati</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Natick,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Mercedes-Benz, Commercial Vans and AMG</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Sudbury,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Land Rover</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75 Otis Street,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Infiniti</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Burlington,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Kia</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22 Brighton Ave,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Vespa &amp; Genuine Scooters</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1188,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Land Rover and Jaguar</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Millbury II,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Alfa Romeo and Maserati</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395 Broadway,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Cadillac</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Boston Turnpike,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Volvo</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of Norwood,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Lincoln</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Herb Chambers 62 Cambridge, Inc.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Porsche</w:t>
            </w:r>
          </w:p>
        </w:tc>
      </w:tr>
      <w:tr>
        <w:trPr>
          <w:trHeight w:val="198"/>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Jennings Road Management Corp.</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Corporate management, insurance and other related services</w:t>
            </w:r>
          </w:p>
        </w:tc>
      </w:tr>
      <w:tr>
        <w:trPr>
          <w:trHeight w:val="215"/>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HGC Holdings, LLC</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Liquidity financing and investing</w:t>
            </w: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evenue</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ecognition</w:t>
      </w:r>
    </w:p>
    <w:p>
      <w:pPr>
        <w:spacing w:after="0" w:line="205" w:lineRule="exact"/>
        <w:rPr>
          <w:sz w:val="20"/>
          <w:szCs w:val="20"/>
          <w:color w:val="auto"/>
        </w:rPr>
      </w:pPr>
    </w:p>
    <w:p>
      <w:pPr>
        <w:ind w:left="300"/>
        <w:spacing w:after="0" w:line="267" w:lineRule="auto"/>
        <w:rPr>
          <w:sz w:val="20"/>
          <w:szCs w:val="20"/>
          <w:color w:val="auto"/>
        </w:rPr>
      </w:pPr>
      <w:r>
        <w:rPr>
          <w:rFonts w:ascii="Times New Roman" w:cs="Times New Roman" w:eastAsia="Times New Roman" w:hAnsi="Times New Roman"/>
          <w:sz w:val="17"/>
          <w:szCs w:val="17"/>
          <w:color w:val="auto"/>
        </w:rPr>
        <w:t>The Group recognizes revenue in accordance with Accounting Standards Codification (ASC) Topic 606, “Revenue from Contracts with Customers”, which provides a five-step model for recognizing revenue with customers as follows:</w:t>
      </w:r>
    </w:p>
    <w:p>
      <w:pPr>
        <w:spacing w:after="0" w:line="160" w:lineRule="exact"/>
        <w:rPr>
          <w:sz w:val="20"/>
          <w:szCs w:val="20"/>
          <w:color w:val="auto"/>
        </w:rPr>
      </w:pPr>
    </w:p>
    <w:p>
      <w:pPr>
        <w:ind w:left="900" w:hanging="306"/>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 with a customer</w:t>
      </w:r>
    </w:p>
    <w:p>
      <w:pPr>
        <w:spacing w:after="0" w:line="19"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contract(s)</w:t>
      </w:r>
    </w:p>
    <w:p>
      <w:pPr>
        <w:spacing w:after="0" w:line="2"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2"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in the contract</w:t>
      </w:r>
    </w:p>
    <w:p>
      <w:pPr>
        <w:spacing w:after="0" w:line="2" w:lineRule="exact"/>
        <w:rPr>
          <w:rFonts w:ascii="Times New Roman" w:cs="Times New Roman" w:eastAsia="Times New Roman" w:hAnsi="Times New Roman"/>
          <w:sz w:val="17"/>
          <w:szCs w:val="17"/>
          <w:color w:val="auto"/>
        </w:rPr>
      </w:pPr>
    </w:p>
    <w:p>
      <w:pPr>
        <w:ind w:left="900" w:hanging="306"/>
        <w:spacing w:after="0"/>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performance obligations are satisfied</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the following table of sales, cost of sales and gross profit are disaggregated by major lines of goods and services.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406,040,869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Used vehicle - retail</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224,309,519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Used vehicle - wholesale</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15,966,354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 parts and body</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110,244,664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and insurance</w:t>
            </w:r>
          </w:p>
        </w:tc>
        <w:tc>
          <w:tcPr>
            <w:tcW w:w="1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29,814,231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sales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786,375,637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restart"/>
          </w:tcPr>
          <w:p>
            <w:pPr>
              <w:spacing w:after="0"/>
              <w:rPr>
                <w:sz w:val="15"/>
                <w:szCs w:val="15"/>
                <w:color w:val="auto"/>
              </w:rPr>
            </w:pPr>
          </w:p>
        </w:tc>
        <w:tc>
          <w:tcPr>
            <w:tcW w:w="7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371,901,568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Used vehicle - retail</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208,369,031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Used vehicle - wholesale</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15,647,230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 parts and body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61,200,639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cost of sales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657,118,468</w:t>
            </w: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New vehicle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34,139,301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Used vehicle - retail</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15,940,488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Used vehicle - wholesale</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319,124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Service, parts and body</w:t>
            </w:r>
          </w:p>
        </w:tc>
        <w:tc>
          <w:tcPr>
            <w:tcW w:w="1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49,044,025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and insurance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29,814,231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7"/>
                <w:szCs w:val="17"/>
                <w:color w:val="auto"/>
              </w:rPr>
              <w:t>Total 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129,257,169</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evenue</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ecognition</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following describes the major product lines, which represent the disaggregation of revenue to transactions that are similar in nature, amount, timing, uncertainties and economic factors.</w:t>
      </w:r>
    </w:p>
    <w:p>
      <w:pPr>
        <w:spacing w:after="0" w:line="158"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New Retail Vehicle and Used Retail Vehicle Sales </w:t>
      </w:r>
      <w:r>
        <w:rPr>
          <w:rFonts w:ascii="Times New Roman" w:cs="Times New Roman" w:eastAsia="Times New Roman" w:hAnsi="Times New Roman"/>
          <w:sz w:val="17"/>
          <w:szCs w:val="17"/>
          <w:color w:val="auto"/>
        </w:rPr>
        <w:t>- Revenue from the retail sale of a vehicle is recognized at a point in time, as all performance obligations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when a contract is signed by the customer, financing has been arranged or collectability is probable and the control of the vehicle is transferred to the customer. The transaction price for a retail vehicle sale is specified in the contract with the customer and includes all cash and non-cash consideration. In a retail vehicle sale, customers often trade in their current vehicle. The trade-in is measured at its stand-alone selling price in the contract, utilizing various third-party pricing sources. There are no other non-cash forms of consideration related to retail sales. All vehicle rebates are applied to the vehicle purchase price at the time of the sale and are therefore incorporated into the price of the contract at the time of the exchange.</w:t>
      </w:r>
    </w:p>
    <w:p>
      <w:pPr>
        <w:spacing w:after="0" w:line="176" w:lineRule="exact"/>
        <w:rPr>
          <w:sz w:val="20"/>
          <w:szCs w:val="20"/>
          <w:color w:val="auto"/>
        </w:rPr>
      </w:pPr>
    </w:p>
    <w:p>
      <w:pPr>
        <w:jc w:val="both"/>
        <w:ind w:left="30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Used Vehicle Wholesale Sales </w:t>
      </w:r>
      <w:r>
        <w:rPr>
          <w:rFonts w:ascii="Times New Roman" w:cs="Times New Roman" w:eastAsia="Times New Roman" w:hAnsi="Times New Roman"/>
          <w:sz w:val="17"/>
          <w:szCs w:val="17"/>
          <w:color w:val="auto"/>
        </w:rPr>
        <w:t>- When the Group uses a third-party auction to facilitate the sale of used vehicles, the Group has determined that the auction acts as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under the agreement. Therefore, the Group recognizes revenues and cost of sales on a gross basis upon delivery of the vehicle to the customer, which is the point at which transfer of control occurs and when the performance obligation is satisfied. The transaction price for wholesale vehicle sales is established by the winning bid under the auction process and is generally settled within 7 days of the satisfaction of the performance obligation.</w:t>
      </w:r>
    </w:p>
    <w:p>
      <w:pPr>
        <w:spacing w:after="0" w:line="170"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Service, Body and Parts Sales </w:t>
      </w:r>
      <w:r>
        <w:rPr>
          <w:rFonts w:ascii="Times New Roman" w:cs="Times New Roman" w:eastAsia="Times New Roman" w:hAnsi="Times New Roman"/>
          <w:sz w:val="17"/>
          <w:szCs w:val="17"/>
          <w:color w:val="auto"/>
        </w:rPr>
        <w:t>- Revenue from service, body and parts sales is recognized upon the transfer of control of the parts or service to the customer.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allows for customer returns on sales of certain parts inventory up to 7 days after the sale and are subject to a 20% handling charge.</w:t>
      </w:r>
    </w:p>
    <w:p>
      <w:pPr>
        <w:spacing w:after="0" w:line="156"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Finance and Insurance Sales, net </w:t>
      </w:r>
      <w:r>
        <w:rPr>
          <w:rFonts w:ascii="Times New Roman" w:cs="Times New Roman" w:eastAsia="Times New Roman" w:hAnsi="Times New Roman"/>
          <w:sz w:val="17"/>
          <w:szCs w:val="17"/>
          <w:color w:val="auto"/>
        </w:rPr>
        <w:t>- Revenue from finance and insurance sales is recognized, net of estimated charge-backs, at the time of the sale of the 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vehicle. As a part of the vehicle sale, we seek to arrange financing for customers and sell a variety of add-ons, such as extended warranty service contracts. These products are inherently attached to the governing vehicle and performance of the obligation cannot be performed without the underlying sale of the vehicle. The Group acts as an agent in the sale of these contracts as the pricing is set by the third-party provider, and our commission is preset. A portion of the transaction price related to sales of finance and insurance contracts is considered variable consideration and is estimated and recognized upon the sale of the contract under the standard.</w:t>
      </w:r>
    </w:p>
    <w:p>
      <w:pPr>
        <w:spacing w:after="0" w:line="200" w:lineRule="exact"/>
        <w:rPr>
          <w:sz w:val="20"/>
          <w:szCs w:val="20"/>
          <w:color w:val="auto"/>
        </w:rPr>
      </w:pPr>
    </w:p>
    <w:p>
      <w:pPr>
        <w:spacing w:after="0" w:line="374"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37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evenue</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ecognition</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Group may be charged back in the future for commissions received on F&amp;I contracts in the event of early termination by the customer. A reserve for future amounts estimated to be charged back, representing variable consideration, is recorded as a reduction to finance and insurance, net in the combined statements of operations. The reserve is estimated based on the Group’s historical chargeback results and the termination provisions of the applicable contracts, and was $8,387,000 at March 31, 2025, and is recorded in accounts payable and other accrued expenses in the accompanying combined balance sheets.</w:t>
      </w:r>
    </w:p>
    <w:p>
      <w:pPr>
        <w:spacing w:after="0" w:line="171"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 Other income includes third party service contracts for which the Group receives a commission, documentation fees for processing paperwork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well as revenue from manufacturer programs that are recorded in the period earned. Provisions for rebates to customers, estimated allowances, and other adjustments are provided for in the same period the related sales are recorded.</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w:t>
      </w:r>
      <w:r>
        <w:rPr>
          <w:rFonts w:ascii="Times New Roman" w:cs="Times New Roman" w:eastAsia="Times New Roman" w:hAnsi="Times New Roman"/>
          <w:sz w:val="11"/>
          <w:szCs w:val="11"/>
          <w:b w:val="1"/>
          <w:bCs w:val="1"/>
          <w:i w:val="1"/>
          <w:iCs w:val="1"/>
          <w:color w:val="auto"/>
        </w:rPr>
        <w:t>oncentration of</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redit</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isk</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Financial instruments that potentially subject the Group to concentration of credit risk consist primarily of cash and accounts receivable. The Group maintains its cash in bank deposits at financial institutions with high credit standing. The balances, at times, may exceed federally insured limits. Accounts receivables are typically short-term, and all probable credit losses have been considered in the establishment of the allowance for credit losses. Periodically, the Group reviews accounts receivable and adjusts the allowance based on current circumstances and charges off uncollectible receivables when all attempts to collect have failed. The Group typically does not charge interest on past due receivables. The Group has recorded an allowance associated with the various receivables (see Note 4).</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nvestments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has investments classified as available-for-sale. Available-for-sale investments are those which the Group may decide to sell if needed for liquidity, asset liability management, or other reasons. Available-for-sale securities are reported at fair value, with unrealized gains or losses included as a separate component of equity and net income and comprehensive income.</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nventories</w:t>
      </w:r>
    </w:p>
    <w:p>
      <w:pPr>
        <w:spacing w:after="0" w:line="205"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color w:val="auto"/>
        </w:rPr>
        <w:t>New vehicles are stated at a specific cost determined by the last-in first-out (LIFO) method of valuation. Used vehicles are valued at the lower of cost or net realize value. Net realizable value is considered to be the lower of wholesale “as is” value, determined by the current used vehicle guidebook, less estimated recondition cost, or the estimated current wholesale market value of the unit as determined by management on specific unit basis. Loaner and rental vehicles and the related liability are recorded at cost at the time the vehicles are placed in service. The Group receives loaner assistance money from the manufacturer which is applied against recorded cost and the Group makes market value adjustments to these vehicles. Parts and accessories are generally stated at the current manufactures’ catalog prices, which approximate cost determined on the first-in, first out or specific identification basis.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w:t>
      </w:r>
      <w:r>
        <w:rPr>
          <w:rFonts w:ascii="Times New Roman" w:cs="Times New Roman" w:eastAsia="Times New Roman" w:hAnsi="Times New Roman"/>
          <w:sz w:val="11"/>
          <w:szCs w:val="11"/>
          <w:b w:val="1"/>
          <w:bCs w:val="1"/>
          <w:i w:val="1"/>
          <w:iCs w:val="1"/>
          <w:color w:val="auto"/>
        </w:rPr>
        <w:t>roperty and</w:t>
      </w:r>
      <w:r>
        <w:rPr>
          <w:rFonts w:ascii="Times New Roman" w:cs="Times New Roman" w:eastAsia="Times New Roman" w:hAnsi="Times New Roman"/>
          <w:sz w:val="17"/>
          <w:szCs w:val="17"/>
          <w:b w:val="1"/>
          <w:bCs w:val="1"/>
          <w:i w:val="1"/>
          <w:iCs w:val="1"/>
          <w:color w:val="auto"/>
        </w:rPr>
        <w:t xml:space="preserve"> E</w:t>
      </w:r>
      <w:r>
        <w:rPr>
          <w:rFonts w:ascii="Times New Roman" w:cs="Times New Roman" w:eastAsia="Times New Roman" w:hAnsi="Times New Roman"/>
          <w:sz w:val="11"/>
          <w:szCs w:val="11"/>
          <w:b w:val="1"/>
          <w:bCs w:val="1"/>
          <w:i w:val="1"/>
          <w:iCs w:val="1"/>
          <w:color w:val="auto"/>
        </w:rPr>
        <w:t>quipment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Property and equipment is stated at cost, or fair value for assets acquired in a business combination, less accumulated depreciation. Expenditures for maintenance and repairs are charged to expenses in the period incurred. Depreciation is provided primarily by use of straight-line methods over the estimated useful lives of the assets, which range from five to thirty-nine years. Leasehold improvements are amortized over the shorter of the lease term or the estimated useful life of the improvement. When property and equipment are retired or otherwise disposed of, the appropriate accounts are relieved of cost and accumulated depreciation, and any resulting gain or loss is recognized.</w:t>
      </w:r>
    </w:p>
    <w:p>
      <w:pPr>
        <w:spacing w:after="0" w:line="17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as well as the effects of obsolescence, demand, competition, and other economic factors. No impairment losses were recognized for the three months ended March 31, 2025.</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w:t>
      </w:r>
      <w:r>
        <w:rPr>
          <w:rFonts w:ascii="Times New Roman" w:cs="Times New Roman" w:eastAsia="Times New Roman" w:hAnsi="Times New Roman"/>
          <w:sz w:val="11"/>
          <w:szCs w:val="11"/>
          <w:b w:val="1"/>
          <w:bCs w:val="1"/>
          <w:i w:val="1"/>
          <w:iCs w:val="1"/>
          <w:color w:val="auto"/>
        </w:rPr>
        <w:t>oodwill</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Goodwill results from business acquisitions and represents the excess of the purchase price over the fair value of acquired assets and assumed liabilities. In accordance with GAAP, goodwill is not amortized. Goodwill is assessed at least annually for impairment, and any such impairment will be recognized in the period it is identified. Factors considered by the Group in performing this review, include current operating income, trends, fair value of reporting units, and other economic factors.</w:t>
      </w:r>
    </w:p>
    <w:p>
      <w:pPr>
        <w:spacing w:after="0" w:line="173"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For the three months ended March 31, 2025, the Group had positive equity and the Group elected to perform a qualitative assessment to determine if it was more likely than not that the fair value of the reporting unit exceeded its carrying value, including goodwill. The qualitative assessment indicated that it was more likely than not that the fair value of the reporting unit exceeded its carrying value, resulting in no impairment for the operations.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nsurance</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rogram</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Group administers self-insured programs for the workers’ compensation and property and casualty insurance coverage for the dealerships owned by Herbert G. Chambers. As part of these programs, the Group collects from the dealerships base premiums and loss payments. The payment of claims is administered by third party service providers. Since the Group is not an insurance company, it accounts for these payments, net of related premiums and insurance claims paid, on the combined balance sheets as an insurance loss fund liability (see Note 10).</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w:t>
      </w:r>
      <w:r>
        <w:rPr>
          <w:rFonts w:ascii="Times New Roman" w:cs="Times New Roman" w:eastAsia="Times New Roman" w:hAnsi="Times New Roman"/>
          <w:sz w:val="11"/>
          <w:szCs w:val="11"/>
          <w:b w:val="1"/>
          <w:bCs w:val="1"/>
          <w:i w:val="1"/>
          <w:iCs w:val="1"/>
          <w:color w:val="auto"/>
        </w:rPr>
        <w:t>omprehensive</w:t>
      </w:r>
      <w:r>
        <w:rPr>
          <w:rFonts w:ascii="Times New Roman" w:cs="Times New Roman" w:eastAsia="Times New Roman" w:hAnsi="Times New Roman"/>
          <w:sz w:val="17"/>
          <w:szCs w:val="17"/>
          <w:b w:val="1"/>
          <w:bCs w:val="1"/>
          <w:i w:val="1"/>
          <w:iCs w:val="1"/>
          <w:color w:val="auto"/>
        </w:rPr>
        <w:t xml:space="preserve"> I</w:t>
      </w:r>
      <w:r>
        <w:rPr>
          <w:rFonts w:ascii="Times New Roman" w:cs="Times New Roman" w:eastAsia="Times New Roman" w:hAnsi="Times New Roman"/>
          <w:sz w:val="11"/>
          <w:szCs w:val="11"/>
          <w:b w:val="1"/>
          <w:bCs w:val="1"/>
          <w:i w:val="1"/>
          <w:iCs w:val="1"/>
          <w:color w:val="auto"/>
        </w:rPr>
        <w:t>ncome</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Comprehensive income consists of net income and other gains and losses affecting equity that, under GAAP, are excluded from net income. For the Group, such items consist of unrealized gains and losses on marketable fixed income securities classified as available-for-sale.</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w:t>
      </w:r>
      <w:r>
        <w:rPr>
          <w:rFonts w:ascii="Times New Roman" w:cs="Times New Roman" w:eastAsia="Times New Roman" w:hAnsi="Times New Roman"/>
          <w:sz w:val="11"/>
          <w:szCs w:val="11"/>
          <w:b w:val="1"/>
          <w:bCs w:val="1"/>
          <w:i w:val="1"/>
          <w:iCs w:val="1"/>
          <w:color w:val="auto"/>
        </w:rPr>
        <w:t>dvertising</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expenses advertising costs as incurred. The Group receives advertising assistance from the manufacturers, which is treated as a reduction of advertising expenses. Advertising costs for the three months ended March 31, 2025, net of assistance, were approximately $4,902,000.</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ncome</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owner has elected, for federal income tax purposes, to have the underlying companies taxed as small business corporations (S Corporations) and a limited liability company (LLC) treated as a partnership. These elections provide for the net income or loss of the entities to be reported on the owner’s personal federal and state income tax returns.</w:t>
      </w:r>
    </w:p>
    <w:p>
      <w:pPr>
        <w:spacing w:after="0" w:line="170"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Group follows guidance issued by the Financial Accounting Standards Board (FASB) with respect to accounting for uncertainty in income taxes.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more-likely-than-not test, no tax benefit is recorded.</w:t>
      </w:r>
    </w:p>
    <w:p>
      <w:pPr>
        <w:spacing w:after="0" w:line="173"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Due to its pass-through status, the Group is not subject to U.S. federal income tax. The Group does not have any unrecognized tax benefits and does not expect that to significantly change in the next 12 months.</w:t>
      </w:r>
    </w:p>
    <w:p>
      <w:pPr>
        <w:spacing w:after="0" w:line="160"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Under the Massachusetts corporate tax reform provisions, unitary combining reporting is required for multi-state corporations. Under the definitions, the Group and other related party entities are considered a unitary business, under common ownership and part of a combined group for purposes of filing a combined tax return in Massachusetts. In September 2021, Massachusetts legislature enacted an elective pass-through entity excise tax. Under the legislation, for tax years beginning on or after January 1, 2021, entities taxed as “S” corporations and partnerships may elect annually to be subject to the pass-through entity excise at a rate of 5%. No provision is made for deferred state income tax in these combined financial statements due to its immateriality.</w:t>
      </w:r>
    </w:p>
    <w:p>
      <w:pPr>
        <w:spacing w:after="0" w:line="17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Herb Chambers Cadillac, Inc. is a Rhode Island entity and pays no state tax on its income and receives no benefit from its losses, if any, in accordance with the current state tax laws. In lieu of State of Rhode Island corporate income taxes, the owner is taxed on this entity’s taxable income. JRM also has Rhode Island return filing requirements, and in lieu of corporate income tax, the owner is taxed on this entity’s taxable income.</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ncome</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JRM and HGC Holdings, LLC are Connecticut entities and pay no state tax on income and receive no benefit from losses, if any, in that state, in accordance with current state tax laws. In lieu of State of Connecticut income taxes, the Group’s owner is taxed on the Group’s taxable income. During the three months ended March 31, 2025, state temporary differences were immaterial and, accordingly, no deferred state tax provision for income taxes is reflected in the accompanying combined financial statements.</w:t>
      </w:r>
    </w:p>
    <w:p>
      <w:pPr>
        <w:spacing w:after="0" w:line="173"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JRM and all other entities included in this combined financial statement, other than Herb Chambers Cadillac, Inc. and HGC Holdings, LLC are taxed at the corporate level for Massachusetts state income tax purposes in accordance with current state tax laws. State income tax expense for the three months ended March 31, 2025 was approximately $3,490,000, respectively, and is included in operating expenses in the accompanying combined statements of operations and comprehensive income.</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w:t>
      </w:r>
      <w:r>
        <w:rPr>
          <w:rFonts w:ascii="Times New Roman" w:cs="Times New Roman" w:eastAsia="Times New Roman" w:hAnsi="Times New Roman"/>
          <w:sz w:val="11"/>
          <w:szCs w:val="11"/>
          <w:b w:val="1"/>
          <w:bCs w:val="1"/>
          <w:i w:val="1"/>
          <w:iCs w:val="1"/>
          <w:color w:val="auto"/>
        </w:rPr>
        <w:t>ccounting for</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ncertainty in</w:t>
      </w:r>
      <w:r>
        <w:rPr>
          <w:rFonts w:ascii="Times New Roman" w:cs="Times New Roman" w:eastAsia="Times New Roman" w:hAnsi="Times New Roman"/>
          <w:sz w:val="17"/>
          <w:szCs w:val="17"/>
          <w:b w:val="1"/>
          <w:bCs w:val="1"/>
          <w:i w:val="1"/>
          <w:iCs w:val="1"/>
          <w:color w:val="auto"/>
        </w:rPr>
        <w:t xml:space="preserve"> I</w:t>
      </w:r>
      <w:r>
        <w:rPr>
          <w:rFonts w:ascii="Times New Roman" w:cs="Times New Roman" w:eastAsia="Times New Roman" w:hAnsi="Times New Roman"/>
          <w:sz w:val="11"/>
          <w:szCs w:val="11"/>
          <w:b w:val="1"/>
          <w:bCs w:val="1"/>
          <w:i w:val="1"/>
          <w:iCs w:val="1"/>
          <w:color w:val="auto"/>
        </w:rPr>
        <w:t>ncome</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p>
    <w:p>
      <w:pPr>
        <w:spacing w:after="0" w:line="205" w:lineRule="exact"/>
        <w:rPr>
          <w:sz w:val="20"/>
          <w:szCs w:val="20"/>
          <w:color w:val="auto"/>
        </w:rPr>
      </w:pPr>
    </w:p>
    <w:p>
      <w:pPr>
        <w:jc w:val="both"/>
        <w:ind w:left="300"/>
        <w:spacing w:after="0" w:line="305" w:lineRule="auto"/>
        <w:rPr>
          <w:sz w:val="20"/>
          <w:szCs w:val="20"/>
          <w:color w:val="auto"/>
        </w:rPr>
      </w:pPr>
      <w:r>
        <w:rPr>
          <w:rFonts w:ascii="Times New Roman" w:cs="Times New Roman" w:eastAsia="Times New Roman" w:hAnsi="Times New Roman"/>
          <w:sz w:val="15"/>
          <w:szCs w:val="15"/>
          <w:color w:val="auto"/>
        </w:rPr>
        <w:t>The Group evaluates all significant tax positions as required by GAAP. As of March 31, 2025, the Group does not believe that it has taken any positions that would require the recording of any additional tax liability nor does it believe that there are any unrealized tax benefits that would either increase or decrease within the next year. The Group files federal, Massachusetts, Connecticut and Rhode Island income tax returns, which represent the major tax jurisdictions of the Group.</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w:t>
      </w:r>
      <w:r>
        <w:rPr>
          <w:rFonts w:ascii="Times New Roman" w:cs="Times New Roman" w:eastAsia="Times New Roman" w:hAnsi="Times New Roman"/>
          <w:sz w:val="11"/>
          <w:szCs w:val="11"/>
          <w:b w:val="1"/>
          <w:bCs w:val="1"/>
          <w:i w:val="1"/>
          <w:iCs w:val="1"/>
          <w:color w:val="auto"/>
        </w:rPr>
        <w:t>elivery</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ost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Group’s policy is to expense delivery cost in excess of manufactures’ reimbursements as operating expenses.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w:t>
      </w:r>
      <w:r>
        <w:rPr>
          <w:rFonts w:ascii="Times New Roman" w:cs="Times New Roman" w:eastAsia="Times New Roman" w:hAnsi="Times New Roman"/>
          <w:sz w:val="11"/>
          <w:szCs w:val="11"/>
          <w:b w:val="1"/>
          <w:bCs w:val="1"/>
          <w:i w:val="1"/>
          <w:iCs w:val="1"/>
          <w:color w:val="auto"/>
        </w:rPr>
        <w:t>ales</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axes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ollected and</w:t>
      </w:r>
      <w:r>
        <w:rPr>
          <w:rFonts w:ascii="Times New Roman" w:cs="Times New Roman" w:eastAsia="Times New Roman" w:hAnsi="Times New Roman"/>
          <w:sz w:val="17"/>
          <w:szCs w:val="17"/>
          <w:b w:val="1"/>
          <w:bCs w:val="1"/>
          <w:i w:val="1"/>
          <w:iCs w:val="1"/>
          <w:color w:val="auto"/>
        </w:rPr>
        <w:t xml:space="preserve"> R</w:t>
      </w:r>
      <w:r>
        <w:rPr>
          <w:rFonts w:ascii="Times New Roman" w:cs="Times New Roman" w:eastAsia="Times New Roman" w:hAnsi="Times New Roman"/>
          <w:sz w:val="11"/>
          <w:szCs w:val="11"/>
          <w:b w:val="1"/>
          <w:bCs w:val="1"/>
          <w:i w:val="1"/>
          <w:iCs w:val="1"/>
          <w:color w:val="auto"/>
        </w:rPr>
        <w:t>emitted to</w:t>
      </w:r>
      <w:r>
        <w:rPr>
          <w:rFonts w:ascii="Times New Roman" w:cs="Times New Roman" w:eastAsia="Times New Roman" w:hAnsi="Times New Roman"/>
          <w:sz w:val="17"/>
          <w:szCs w:val="17"/>
          <w:b w:val="1"/>
          <w:bCs w:val="1"/>
          <w:i w:val="1"/>
          <w:iCs w:val="1"/>
          <w:color w:val="auto"/>
        </w:rPr>
        <w:t xml:space="preserve"> G</w:t>
      </w:r>
      <w:r>
        <w:rPr>
          <w:rFonts w:ascii="Times New Roman" w:cs="Times New Roman" w:eastAsia="Times New Roman" w:hAnsi="Times New Roman"/>
          <w:sz w:val="11"/>
          <w:szCs w:val="11"/>
          <w:b w:val="1"/>
          <w:bCs w:val="1"/>
          <w:i w:val="1"/>
          <w:iCs w:val="1"/>
          <w:color w:val="auto"/>
        </w:rPr>
        <w:t>overnmental</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uthorities</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collects sales tax from customers in various state and local taxing jurisdictions and remits these amounts monthly to applicable taxing authorities. These amounts are excluded from net sales.</w:t>
      </w:r>
    </w:p>
    <w:p>
      <w:pPr>
        <w:spacing w:after="0" w:line="358"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37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B</w:t>
      </w:r>
      <w:r>
        <w:rPr>
          <w:rFonts w:ascii="Times New Roman" w:cs="Times New Roman" w:eastAsia="Times New Roman" w:hAnsi="Times New Roman"/>
          <w:sz w:val="11"/>
          <w:szCs w:val="11"/>
          <w:b w:val="1"/>
          <w:bCs w:val="1"/>
          <w:i w:val="1"/>
          <w:iCs w:val="1"/>
          <w:color w:val="auto"/>
        </w:rPr>
        <w:t>asis of</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ccounting and</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 of</w:t>
      </w:r>
      <w:r>
        <w:rPr>
          <w:rFonts w:ascii="Times New Roman" w:cs="Times New Roman" w:eastAsia="Times New Roman" w:hAnsi="Times New Roman"/>
          <w:sz w:val="17"/>
          <w:szCs w:val="17"/>
          <w:b w:val="1"/>
          <w:bCs w:val="1"/>
          <w:i w:val="1"/>
          <w:iCs w:val="1"/>
          <w:color w:val="auto"/>
        </w:rPr>
        <w:t xml:space="preserve"> E</w:t>
      </w:r>
      <w:r>
        <w:rPr>
          <w:rFonts w:ascii="Times New Roman" w:cs="Times New Roman" w:eastAsia="Times New Roman" w:hAnsi="Times New Roman"/>
          <w:sz w:val="11"/>
          <w:szCs w:val="11"/>
          <w:b w:val="1"/>
          <w:bCs w:val="1"/>
          <w:i w:val="1"/>
          <w:iCs w:val="1"/>
          <w:color w:val="auto"/>
        </w:rPr>
        <w:t>stimates</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accompanying combined financial statements have been prepared in conformity with GAAP following the accrual basis of accounting. The preparation of combined financial statements in conformity with GAAP requires management to make estimates and assumptions that affect the reported amounts of assets and liabilities and disclosure of contingent assets and liabilities at the date of the combined financial statements and the reported amounts of revenues and expenses during the reporting period. Actual results could differ from those estimates.</w:t>
      </w:r>
    </w:p>
    <w:p>
      <w:pPr>
        <w:spacing w:after="0" w:line="173"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Significant estimates include used vehicle lower of cost or net realizable value, useful lives of property and equipment, estimated value of goodwill, allowance for credit losses, unearned prepaid maintenance revenue, self-insurance reserves, and the provision for chargebacks. It is reasonably possible that these estimates may change and the effect may be material.</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w:t>
      </w:r>
      <w:r>
        <w:rPr>
          <w:rFonts w:ascii="Times New Roman" w:cs="Times New Roman" w:eastAsia="Times New Roman" w:hAnsi="Times New Roman"/>
          <w:sz w:val="11"/>
          <w:szCs w:val="11"/>
          <w:b w:val="1"/>
          <w:bCs w:val="1"/>
          <w:i w:val="1"/>
          <w:iCs w:val="1"/>
          <w:color w:val="auto"/>
        </w:rPr>
        <w:t>ajor</w:t>
      </w:r>
      <w:r>
        <w:rPr>
          <w:rFonts w:ascii="Times New Roman" w:cs="Times New Roman" w:eastAsia="Times New Roman" w:hAnsi="Times New Roman"/>
          <w:sz w:val="17"/>
          <w:szCs w:val="17"/>
          <w:b w:val="1"/>
          <w:bCs w:val="1"/>
          <w:i w:val="1"/>
          <w:iCs w:val="1"/>
          <w:color w:val="auto"/>
        </w:rPr>
        <w:t xml:space="preserve"> S</w:t>
      </w:r>
      <w:r>
        <w:rPr>
          <w:rFonts w:ascii="Times New Roman" w:cs="Times New Roman" w:eastAsia="Times New Roman" w:hAnsi="Times New Roman"/>
          <w:sz w:val="11"/>
          <w:szCs w:val="11"/>
          <w:b w:val="1"/>
          <w:bCs w:val="1"/>
          <w:i w:val="1"/>
          <w:iCs w:val="1"/>
          <w:color w:val="auto"/>
        </w:rPr>
        <w:t>uppliers and</w:t>
      </w:r>
      <w:r>
        <w:rPr>
          <w:rFonts w:ascii="Times New Roman" w:cs="Times New Roman" w:eastAsia="Times New Roman" w:hAnsi="Times New Roman"/>
          <w:sz w:val="17"/>
          <w:szCs w:val="17"/>
          <w:b w:val="1"/>
          <w:bCs w:val="1"/>
          <w:i w:val="1"/>
          <w:iCs w:val="1"/>
          <w:color w:val="auto"/>
        </w:rPr>
        <w:t xml:space="preserve"> D</w:t>
      </w:r>
      <w:r>
        <w:rPr>
          <w:rFonts w:ascii="Times New Roman" w:cs="Times New Roman" w:eastAsia="Times New Roman" w:hAnsi="Times New Roman"/>
          <w:sz w:val="11"/>
          <w:szCs w:val="11"/>
          <w:b w:val="1"/>
          <w:bCs w:val="1"/>
          <w:i w:val="1"/>
          <w:iCs w:val="1"/>
          <w:color w:val="auto"/>
        </w:rPr>
        <w:t>ealership</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enters into dealership agreements with the manufacturers. These agreements permit the Group to stock, sell and service vehicles and products of the manufacturers and use of the manufacturers’ name and trade symbols. These transactions result in both a receivable from and payable to the manufacturers. The Group’s sales could be impacted by the manufacturers’ inability or unwillingness to supply the Group with an adequate number or mix of vehicles.</w:t>
      </w:r>
    </w:p>
    <w:p>
      <w:pPr>
        <w:spacing w:after="0" w:line="17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dealership agreements generally limit the location of the dealership and give the manufacturer rights to approve changes in the dealership ownership. The manufacturer is entitled to terminate the dealership agreement if the Group is in breach of its terms.</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w:t>
      </w:r>
      <w:r>
        <w:rPr>
          <w:rFonts w:ascii="Times New Roman" w:cs="Times New Roman" w:eastAsia="Times New Roman" w:hAnsi="Times New Roman"/>
          <w:sz w:val="11"/>
          <w:szCs w:val="11"/>
          <w:b w:val="1"/>
          <w:bCs w:val="1"/>
          <w:i w:val="1"/>
          <w:iCs w:val="1"/>
          <w:color w:val="auto"/>
        </w:rPr>
        <w:t>eases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Right of use assets represent the Group’s right to use an underlying asset for the lease term and operating lease liabilities represent the Group’s obligation to make lease payments arising from the lease. Right of use assets and liabilities are recognized at the lease commencement date based on the estimated present value of lease payments over the lease term.</w:t>
      </w:r>
    </w:p>
    <w:p>
      <w:pPr>
        <w:spacing w:after="0" w:line="17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If the lease does not provide an implicit rate, an incremental borrowing rate based on the information available at the lease commencement date is used in determining the present value of lease payments. The incremental borrowing rate for operating leases that commenced in the period is determined by using the Group’s incremental borrowing rates.</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1 - S</w:t>
      </w:r>
      <w:r>
        <w:rPr>
          <w:rFonts w:ascii="Times New Roman" w:cs="Times New Roman" w:eastAsia="Times New Roman" w:hAnsi="Times New Roman"/>
          <w:sz w:val="11"/>
          <w:szCs w:val="11"/>
          <w:b w:val="1"/>
          <w:bCs w:val="1"/>
          <w:color w:val="auto"/>
        </w:rPr>
        <w:t>ummary of</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ignificant</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olicies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L</w:t>
      </w:r>
      <w:r>
        <w:rPr>
          <w:rFonts w:ascii="Times New Roman" w:cs="Times New Roman" w:eastAsia="Times New Roman" w:hAnsi="Times New Roman"/>
          <w:sz w:val="11"/>
          <w:szCs w:val="11"/>
          <w:b w:val="1"/>
          <w:bCs w:val="1"/>
          <w:i w:val="1"/>
          <w:iCs w:val="1"/>
          <w:color w:val="auto"/>
        </w:rPr>
        <w:t>eases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has elected not to recognize a right of use asset and operating lease liability for leases with an initial term of twelve months or less as well as any lease covering immaterial assets. Lease expense is recognized for these leases on a straight-line basis over the lease term. Variable lease payments that are dependent on usage, output, or may vary for other reasons, are excluded from lease payments in the measurement of the right of use asset and operating lease liability, and accordingly are recognized as lease expense in the period the obligation for those payments is incurred. For lease agreements entered into or reassessed after the adoption of Topic 842, lease and non-lease components are combined.</w:t>
      </w:r>
    </w:p>
    <w:p>
      <w:pPr>
        <w:spacing w:after="0" w:line="17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Certain leases include renewal and/or termination options, with renewal terms that can extend the lease term from one to five years, and the exercise of lease renewal options under these leases is at the Group’s sole discretion. These options are included in the lease term used to determine right-of-use assets and corresponding liabilities when it is reasonably certain the Group will exercise the option. The depreciable life of assets and leasehold improvements are limited by the expected lease term. The Group’s lease agreements do not contain any material residual value guarantees or material restrictive covenants.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2 - I</w:t>
      </w:r>
      <w:r>
        <w:rPr>
          <w:rFonts w:ascii="Times New Roman" w:cs="Times New Roman" w:eastAsia="Times New Roman" w:hAnsi="Times New Roman"/>
          <w:sz w:val="11"/>
          <w:szCs w:val="11"/>
          <w:b w:val="1"/>
          <w:bCs w:val="1"/>
          <w:color w:val="auto"/>
        </w:rPr>
        <w:t>nvestments</w:t>
      </w:r>
    </w:p>
    <w:p>
      <w:pPr>
        <w:spacing w:after="0" w:line="205" w:lineRule="exact"/>
        <w:rPr>
          <w:sz w:val="20"/>
          <w:szCs w:val="20"/>
          <w:color w:val="auto"/>
        </w:rPr>
      </w:pPr>
    </w:p>
    <w:p>
      <w:pPr>
        <w:jc w:val="both"/>
        <w:ind w:left="300"/>
        <w:spacing w:after="0" w:line="305" w:lineRule="auto"/>
        <w:rPr>
          <w:sz w:val="20"/>
          <w:szCs w:val="20"/>
          <w:color w:val="auto"/>
        </w:rPr>
      </w:pPr>
      <w:r>
        <w:rPr>
          <w:rFonts w:ascii="Times New Roman" w:cs="Times New Roman" w:eastAsia="Times New Roman" w:hAnsi="Times New Roman"/>
          <w:sz w:val="15"/>
          <w:szCs w:val="15"/>
          <w:color w:val="auto"/>
        </w:rPr>
        <w:t>Investments consist mainly of money market instruments, publicly traded fixed income, equity and other investment securities and are classified as available-for-sale because they can be sold at any time. Cost is determined by the specific identification method. Unrealized gains and losses on marketable equity and other investment securities are included in net income. Unrealized gains and losses on marketable fixed income securities are included in other comprehensive income.</w:t>
      </w: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2 - I</w:t>
      </w:r>
      <w:r>
        <w:rPr>
          <w:rFonts w:ascii="Times New Roman" w:cs="Times New Roman" w:eastAsia="Times New Roman" w:hAnsi="Times New Roman"/>
          <w:sz w:val="11"/>
          <w:szCs w:val="11"/>
          <w:b w:val="1"/>
          <w:bCs w:val="1"/>
          <w:color w:val="auto"/>
        </w:rPr>
        <w:t>nvestments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Investments classified as available-for-sale consisted of the following at March 31, 2025:</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7"/>
              </w:rPr>
              <w:t>Investments</w:t>
            </w:r>
          </w:p>
        </w:tc>
        <w:tc>
          <w:tcPr>
            <w:tcW w:w="18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5"/>
              </w:rPr>
              <w:t>Gross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Investments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7"/>
              </w:rPr>
              <w:t>at</w:t>
            </w: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8"/>
              </w:rPr>
              <w:t>unrealized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4"/>
              </w:rPr>
              <w:t>at fair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6"/>
              </w:rPr>
              <w:t>Cost</w:t>
            </w: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gains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Money market funds</w:t>
            </w: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5,378,253</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5,378,253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Marketable fixed income securities</w:t>
            </w:r>
          </w:p>
        </w:tc>
        <w:tc>
          <w:tcPr>
            <w:tcW w:w="16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40,533,492</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336,032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(103,948)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40,765,576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20,199,383</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8,253,240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(148,509)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28,304,114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Other investment securities</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133,882</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78,258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(1,235)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66,245,010</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8,667,530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(253,692)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74,658,848</w:t>
            </w:r>
          </w:p>
        </w:tc>
        <w:tc>
          <w:tcPr>
            <w:tcW w:w="0" w:type="dxa"/>
            <w:vAlign w:val="bottom"/>
          </w:tcPr>
          <w:p>
            <w:pPr>
              <w:spacing w:after="0"/>
              <w:rPr>
                <w:sz w:val="1"/>
                <w:szCs w:val="1"/>
                <w:color w:val="auto"/>
              </w:rPr>
            </w:pPr>
          </w:p>
        </w:tc>
      </w:tr>
      <w:tr>
        <w:trPr>
          <w:trHeight w:val="20"/>
        </w:trPr>
        <w:tc>
          <w:tcPr>
            <w:tcW w:w="534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7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Contractual maturities of available-for-sale debt securities at March 31, 2025, are as follows: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Estimated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Cost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4"/>
              </w:rPr>
              <w:t>Fair Value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Due in one year or less</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6,751,271</w:t>
            </w: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6,293,940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Due in 1–2 years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7,909,793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8,024,430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in 2–5 years</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8,360,980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7,756,237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7"/>
                <w:szCs w:val="17"/>
                <w:color w:val="auto"/>
              </w:rPr>
              <w:t>Due after 5 years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3,261,117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3,931,946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Bond funds with varying maturities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14,250,331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14,759,023</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investments with contractual maturities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40,533,492</w:t>
            </w:r>
          </w:p>
        </w:tc>
        <w:tc>
          <w:tcPr>
            <w:tcW w:w="1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40,765,576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2 - I</w:t>
      </w:r>
      <w:r>
        <w:rPr>
          <w:rFonts w:ascii="Times New Roman" w:cs="Times New Roman" w:eastAsia="Times New Roman" w:hAnsi="Times New Roman"/>
          <w:sz w:val="11"/>
          <w:szCs w:val="11"/>
          <w:b w:val="1"/>
          <w:bCs w:val="1"/>
          <w:color w:val="auto"/>
        </w:rPr>
        <w:t>nvestments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Proceeds and net investment income consisted of the following for the three months ended March 31, 2025:</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proceeds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5,411,413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realized gains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872,539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Gross realized losses</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unrealized gain</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(1,167,838)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24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336,264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income</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223,738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Amortization of bonds</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(37,878)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Agency expense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(85,525)</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income</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137,594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3 - F</w:t>
      </w:r>
      <w:r>
        <w:rPr>
          <w:rFonts w:ascii="Times New Roman" w:cs="Times New Roman" w:eastAsia="Times New Roman" w:hAnsi="Times New Roman"/>
          <w:sz w:val="11"/>
          <w:szCs w:val="11"/>
          <w:b w:val="1"/>
          <w:bCs w:val="1"/>
          <w:color w:val="auto"/>
        </w:rPr>
        <w:t>air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GAAP defines fair value as the price that would be received for an asset or paid to transfer a liability (an exit price) in the Group’s principal or most advantageous market for the asset or liability in an orderly transaction between market participants on the measurement date.</w:t>
      </w:r>
    </w:p>
    <w:p>
      <w:pPr>
        <w:spacing w:after="0" w:line="16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A fair value hierarchy requires an entity to maximize the use of observable inputs and minimize the use of unobservable inputs when measuring fair value. There are three levels of inputs that may be used to measure fair value:</w:t>
      </w:r>
    </w:p>
    <w:p>
      <w:pPr>
        <w:spacing w:after="0" w:line="16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Level 1: Quoted prices (unadjusted) for identical assets or liabilities in active markets that the entity has the ability to access as of the measurement date. The fair values of money market funds and marketable equity securities that are readily marketable are determined by obtaining quoted prices on nationally recognized securities exchanges.</w:t>
      </w:r>
    </w:p>
    <w:p>
      <w:pPr>
        <w:spacing w:after="0" w:line="3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3 - F</w:t>
      </w:r>
      <w:r>
        <w:rPr>
          <w:rFonts w:ascii="Times New Roman" w:cs="Times New Roman" w:eastAsia="Times New Roman" w:hAnsi="Times New Roman"/>
          <w:sz w:val="11"/>
          <w:szCs w:val="11"/>
          <w:b w:val="1"/>
          <w:bCs w:val="1"/>
          <w:color w:val="auto"/>
        </w:rPr>
        <w:t>air</w:t>
      </w:r>
      <w:r>
        <w:rPr>
          <w:rFonts w:ascii="Times New Roman" w:cs="Times New Roman" w:eastAsia="Times New Roman" w:hAnsi="Times New Roman"/>
          <w:sz w:val="17"/>
          <w:szCs w:val="17"/>
          <w:b w:val="1"/>
          <w:bCs w:val="1"/>
          <w:color w:val="auto"/>
        </w:rPr>
        <w:t xml:space="preserve"> V</w:t>
      </w:r>
      <w:r>
        <w:rPr>
          <w:rFonts w:ascii="Times New Roman" w:cs="Times New Roman" w:eastAsia="Times New Roman" w:hAnsi="Times New Roman"/>
          <w:sz w:val="11"/>
          <w:szCs w:val="11"/>
          <w:b w:val="1"/>
          <w:bCs w:val="1"/>
          <w:color w:val="auto"/>
        </w:rPr>
        <w:t>alue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7"/>
          <w:szCs w:val="17"/>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The fair values of certificates of deposit are determined through inquiries of the financial institutions from which they originated. The fair values are typically the original principal balance plus accrued interest earned with no discounts for credit quality or liquidity determined to be applicable (market approach valuations technique). The fair values of the Group’s marketable fixed income securities and other investments are determined by matrix pricing, which is a mathematical technique widely used in the industry to value debt securities without relying exclusively on quoted prices for the specific securities but rather by relying on the securities’ relationship to other benchmark quoted securities (market approach valuation technique).</w:t>
      </w:r>
    </w:p>
    <w:p>
      <w:pPr>
        <w:spacing w:after="0" w:line="178"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Level 3: Significant unobservable inputs that reflect a reporting entity’s own assumptions about the assumptions that market participants would use in pricing an asset or liability. The Group has no Level 3 financial instruments at March 31, 2025.</w:t>
      </w:r>
    </w:p>
    <w:p>
      <w:pPr>
        <w:spacing w:after="0" w:line="16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asset or liability’s fair value measurement level within the fair value hierarchy is based on the lowest level of input that is significant to the fair value measurement. Valuation techniques used need to maximize the use of observable inputs and minimize the use of observable inputs. There have been no changes in the methodologies used at March 31, 2025.</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Investments measured at fair value on a recurring basis are summarized below:</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color w:val="auto"/>
                <w:w w:val="97"/>
              </w:rPr>
              <w:t>Fair Value Measurements at March 31, 2025</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Level 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Level 2</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Level 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37"/>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Investments:</w:t>
            </w: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5,378,253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5,378,253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Marketable fixed income securities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40,765,576</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40,765,576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28,304,114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28,304,114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investment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210,905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5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33,682,367</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40,976,481</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74,658,848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4 - A</w:t>
      </w:r>
      <w:r>
        <w:rPr>
          <w:rFonts w:ascii="Times New Roman" w:cs="Times New Roman" w:eastAsia="Times New Roman" w:hAnsi="Times New Roman"/>
          <w:sz w:val="11"/>
          <w:szCs w:val="11"/>
          <w:b w:val="1"/>
          <w:bCs w:val="1"/>
          <w:color w:val="auto"/>
        </w:rPr>
        <w:t>ccounts</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eceivable</w:t>
      </w:r>
    </w:p>
    <w:p>
      <w:pPr>
        <w:spacing w:after="0" w:line="203" w:lineRule="exact"/>
        <w:rPr>
          <w:sz w:val="20"/>
          <w:szCs w:val="20"/>
          <w:color w:val="auto"/>
        </w:rPr>
      </w:pPr>
    </w:p>
    <w:p>
      <w:pPr>
        <w:jc w:val="both"/>
        <w:ind w:left="300"/>
        <w:spacing w:after="0" w:line="256" w:lineRule="auto"/>
        <w:rPr>
          <w:sz w:val="20"/>
          <w:szCs w:val="20"/>
          <w:color w:val="auto"/>
        </w:rPr>
      </w:pPr>
      <w:r>
        <w:rPr>
          <w:rFonts w:ascii="Times New Roman" w:cs="Times New Roman" w:eastAsia="Times New Roman" w:hAnsi="Times New Roman"/>
          <w:sz w:val="17"/>
          <w:szCs w:val="17"/>
          <w:color w:val="auto"/>
        </w:rPr>
        <w:t xml:space="preserve">The Group adopted the provisions of ASU No. 2016-13,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xml:space="preserve"> on January 1, 2023 and, accordingly, measures credit losses on receivables using an expected loss model. The adoption of ASU 2016-13 did not have a material impact on the combined financial statements and related disclosures.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Accounts receivable classifications include the following:</w:t>
      </w:r>
    </w:p>
    <w:p>
      <w:pPr>
        <w:spacing w:after="0" w:line="201" w:lineRule="exact"/>
        <w:rPr>
          <w:sz w:val="20"/>
          <w:szCs w:val="20"/>
          <w:color w:val="auto"/>
        </w:rPr>
      </w:pPr>
    </w:p>
    <w:p>
      <w:pPr>
        <w:ind w:left="560" w:hanging="264"/>
        <w:spacing w:after="0" w:line="267" w:lineRule="auto"/>
        <w:tabs>
          <w:tab w:leader="none" w:pos="5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Vehicles and contracts in transit receivables primarily represent receivables from financial institutions for the portion of the vehicle sales price financed by the customer.</w:t>
      </w:r>
    </w:p>
    <w:p>
      <w:pPr>
        <w:spacing w:after="0" w:line="159" w:lineRule="exact"/>
        <w:rPr>
          <w:rFonts w:ascii="Times New Roman" w:cs="Times New Roman" w:eastAsia="Times New Roman" w:hAnsi="Times New Roman"/>
          <w:sz w:val="17"/>
          <w:szCs w:val="17"/>
          <w:color w:val="auto"/>
        </w:rPr>
      </w:pPr>
    </w:p>
    <w:p>
      <w:pPr>
        <w:ind w:left="600" w:hanging="304"/>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and parts receivables are comprised of amounts due from customers.</w:t>
      </w:r>
    </w:p>
    <w:p>
      <w:pPr>
        <w:spacing w:after="0" w:line="200" w:lineRule="exact"/>
        <w:rPr>
          <w:rFonts w:ascii="Times New Roman" w:cs="Times New Roman" w:eastAsia="Times New Roman" w:hAnsi="Times New Roman"/>
          <w:sz w:val="17"/>
          <w:szCs w:val="17"/>
          <w:color w:val="auto"/>
        </w:rPr>
      </w:pPr>
    </w:p>
    <w:p>
      <w:pPr>
        <w:ind w:left="600" w:hanging="304"/>
        <w:spacing w:after="0" w:line="267" w:lineRule="auto"/>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Factory, finance and other receivables represent amounts due from manufactures, including holdbacks, rebates, incentives, warranty claims and commissions on the sale of finance and insurance products.</w:t>
      </w:r>
    </w:p>
    <w:p>
      <w:pPr>
        <w:spacing w:after="0" w:line="16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performs ongoing credit evaluations of its customers’ financial condition and generally does not require collateral for accounts receivable arising in the normal course of business. Allowances for potential credit losses are determined by considering the financial condition of customers and other economic factors affecting customers, the Group, and their industries.</w:t>
      </w:r>
    </w:p>
    <w:p>
      <w:pPr>
        <w:sectPr>
          <w:pgSz w:w="11900" w:h="16838" w:orient="portrait"/>
          <w:cols w:equalWidth="0" w:num="1">
            <w:col w:w="11240"/>
          </w:cols>
          <w:pgMar w:left="320" w:top="838" w:right="339" w:bottom="1440" w:gutter="0" w:footer="0" w:header="0"/>
        </w:sectPr>
      </w:pP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Accounts receivable consisted of the following at March 31, 2025:</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Vehicles and contracts in transit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-113030</wp:posOffset>
            </wp:positionV>
            <wp:extent cx="5357495" cy="1257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57495" cy="12573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Service and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1270</wp:posOffset>
            </wp:positionV>
            <wp:extent cx="5357495" cy="133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57495" cy="13398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Factory, finance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142875</wp:posOffset>
            </wp:positionV>
            <wp:extent cx="5357495" cy="1257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57495" cy="125730"/>
                    </a:xfrm>
                    <a:prstGeom prst="rect">
                      <a:avLst/>
                    </a:prstGeom>
                    <a:noFill/>
                  </pic:spPr>
                </pic:pic>
              </a:graphicData>
            </a:graphic>
          </wp:anchor>
        </w:drawing>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Less: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20320</wp:posOffset>
            </wp:positionV>
            <wp:extent cx="5357495" cy="133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57495" cy="133985"/>
                    </a:xfrm>
                    <a:prstGeom prst="rect">
                      <a:avLst/>
                    </a:prstGeom>
                    <a:noFill/>
                  </pic:spPr>
                </pic:pic>
              </a:graphicData>
            </a:graphic>
          </wp:anchor>
        </w:drawing>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ind w:left="363" w:hanging="363"/>
        <w:spacing w:after="0"/>
        <w:tabs>
          <w:tab w:leader="none" w:pos="363"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50,471,969</w:t>
      </w:r>
    </w:p>
    <w:p>
      <w:pPr>
        <w:spacing w:after="0" w:line="42" w:lineRule="exact"/>
        <w:rPr>
          <w:rFonts w:ascii="Times New Roman" w:cs="Times New Roman" w:eastAsia="Times New Roman" w:hAnsi="Times New Roman"/>
          <w:sz w:val="15"/>
          <w:szCs w:val="15"/>
          <w:color w:val="auto"/>
        </w:rPr>
      </w:pPr>
    </w:p>
    <w:p>
      <w:pPr>
        <w:ind w:left="443"/>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2,851,825</w:t>
      </w:r>
    </w:p>
    <w:p>
      <w:pPr>
        <w:spacing w:after="0" w:line="26"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7"/>
          <w:szCs w:val="17"/>
          <w:color w:val="auto"/>
        </w:rPr>
        <w:t>28,140,912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0040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189"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7"/>
          <w:szCs w:val="17"/>
          <w:color w:val="auto"/>
        </w:rPr>
        <w:t>81,464,706</w:t>
      </w:r>
    </w:p>
    <w:p>
      <w:pPr>
        <w:spacing w:after="0" w:line="20"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7"/>
          <w:szCs w:val="17"/>
          <w:color w:val="auto"/>
        </w:rPr>
        <w:t>888,584</w:t>
      </w:r>
    </w:p>
    <w:p>
      <w:pPr>
        <w:spacing w:after="0" w:line="234" w:lineRule="exact"/>
        <w:rPr>
          <w:sz w:val="20"/>
          <w:szCs w:val="20"/>
          <w:color w:val="auto"/>
        </w:rPr>
      </w:pPr>
    </w:p>
    <w:p>
      <w:pPr>
        <w:ind w:left="363" w:hanging="363"/>
        <w:spacing w:after="0"/>
        <w:tabs>
          <w:tab w:leader="none" w:pos="363" w:val="left"/>
        </w:tabs>
        <w:numPr>
          <w:ilvl w:val="0"/>
          <w:numId w:val="19"/>
        </w:numPr>
        <w:rPr>
          <w:rFonts w:ascii="Times New Roman" w:cs="Times New Roman" w:eastAsia="Times New Roman" w:hAnsi="Times New Roman"/>
          <w:sz w:val="15"/>
          <w:szCs w:val="15"/>
          <w:u w:val="single" w:color="auto"/>
          <w:color w:val="auto"/>
        </w:rPr>
      </w:pPr>
      <w:r>
        <w:rPr>
          <w:rFonts w:ascii="Times New Roman" w:cs="Times New Roman" w:eastAsia="Times New Roman" w:hAnsi="Times New Roman"/>
          <w:sz w:val="15"/>
          <w:szCs w:val="15"/>
          <w:u w:val="single" w:color="auto"/>
          <w:color w:val="auto"/>
        </w:rPr>
        <w:t>80,576,122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42545</wp:posOffset>
            </wp:positionV>
            <wp:extent cx="70040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37" w:space="720"/>
            <w:col w:w="3683"/>
          </w:cols>
          <w:pgMar w:left="320" w:top="838" w:right="339" w:bottom="1440" w:gutter="0" w:footer="0" w:header="0"/>
          <w:type w:val="continuous"/>
        </w:sectPr>
      </w:pPr>
    </w:p>
    <w:p>
      <w:pPr>
        <w:spacing w:after="0" w:line="259"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4375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UNAUDITED COMBINED FINANCIAL STATEMENTS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4 - A</w:t>
      </w:r>
      <w:r>
        <w:rPr>
          <w:rFonts w:ascii="Times New Roman" w:cs="Times New Roman" w:eastAsia="Times New Roman" w:hAnsi="Times New Roman"/>
          <w:sz w:val="11"/>
          <w:szCs w:val="11"/>
          <w:b w:val="1"/>
          <w:bCs w:val="1"/>
          <w:color w:val="auto"/>
        </w:rPr>
        <w:t>ccounts</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eceivable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A roll forward of the allowance for credit losses is as follows at March 31, 2025:</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Allowance for credit losses,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-113030</wp:posOffset>
            </wp:positionV>
            <wp:extent cx="5357495" cy="1257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57495" cy="12573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Provision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1270</wp:posOffset>
            </wp:positionV>
            <wp:extent cx="5357495" cy="133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57495" cy="13398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Write-offs (recovery)</w:t>
      </w: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Allowance for credit losses, 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-113030</wp:posOffset>
            </wp:positionV>
            <wp:extent cx="5357495" cy="149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57495" cy="14922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5 - I</w:t>
      </w:r>
      <w:r>
        <w:rPr>
          <w:rFonts w:ascii="Times New Roman" w:cs="Times New Roman" w:eastAsia="Times New Roman" w:hAnsi="Times New Roman"/>
          <w:sz w:val="11"/>
          <w:szCs w:val="11"/>
          <w:b w:val="1"/>
          <w:bCs w:val="1"/>
          <w:color w:val="auto"/>
        </w:rPr>
        <w:t>nventories and</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loorplan</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ayable</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Inventories consisted of the following at March 31, 2025:</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New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-113030</wp:posOffset>
            </wp:positionV>
            <wp:extent cx="5357495" cy="1257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57495" cy="12573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Used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1270</wp:posOffset>
            </wp:positionV>
            <wp:extent cx="5357495" cy="1257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57495" cy="125730"/>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7"/>
          <w:szCs w:val="17"/>
          <w:color w:val="auto"/>
        </w:rPr>
        <w:t>Lease and rental vehicles</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Parts, shop and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9525</wp:posOffset>
            </wp:positionV>
            <wp:extent cx="5357495" cy="133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57495" cy="133985"/>
                    </a:xfrm>
                    <a:prstGeom prst="rect">
                      <a:avLst/>
                    </a:prstGeom>
                    <a:noFill/>
                  </pic:spPr>
                </pic:pic>
              </a:graphicData>
            </a:graphic>
          </wp:anchor>
        </w:drawing>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Less: LIFO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-113030</wp:posOffset>
            </wp:positionV>
            <wp:extent cx="5357495" cy="133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57495" cy="133985"/>
                    </a:xfrm>
                    <a:prstGeom prst="rect">
                      <a:avLst/>
                    </a:prstGeom>
                    <a:noFill/>
                  </pic:spPr>
                </pic:pic>
              </a:graphicData>
            </a:graphic>
          </wp:anchor>
        </w:drawing>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-113030</wp:posOffset>
            </wp:positionV>
            <wp:extent cx="5357495" cy="1492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57495" cy="149225"/>
                    </a:xfrm>
                    <a:prstGeom prst="rect">
                      <a:avLst/>
                    </a:prstGeom>
                    <a:noFill/>
                  </pic:spPr>
                </pic:pic>
              </a:graphicData>
            </a:graphic>
          </wp:anchor>
        </w:drawing>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3" w:hanging="563"/>
        <w:spacing w:after="0"/>
        <w:tabs>
          <w:tab w:leader="none" w:pos="56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881,912</w:t>
      </w:r>
    </w:p>
    <w:p>
      <w:pPr>
        <w:spacing w:after="0" w:line="19" w:lineRule="exact"/>
        <w:rPr>
          <w:rFonts w:ascii="Times New Roman" w:cs="Times New Roman" w:eastAsia="Times New Roman" w:hAnsi="Times New Roman"/>
          <w:sz w:val="17"/>
          <w:szCs w:val="17"/>
          <w:color w:val="auto"/>
        </w:rPr>
      </w:pPr>
    </w:p>
    <w:p>
      <w:pPr>
        <w:ind w:left="64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45,139</w:t>
      </w:r>
    </w:p>
    <w:p>
      <w:pPr>
        <w:spacing w:after="0" w:line="3" w:lineRule="exact"/>
        <w:rPr>
          <w:sz w:val="20"/>
          <w:szCs w:val="20"/>
          <w:color w:val="auto"/>
        </w:rPr>
      </w:pPr>
    </w:p>
    <w:p>
      <w:pPr>
        <w:jc w:val="center"/>
        <w:ind w:right="1917"/>
        <w:spacing w:after="0"/>
        <w:rPr>
          <w:sz w:val="20"/>
          <w:szCs w:val="20"/>
          <w:color w:val="auto"/>
        </w:rPr>
      </w:pPr>
      <w:r>
        <w:rPr>
          <w:rFonts w:ascii="Times New Roman" w:cs="Times New Roman" w:eastAsia="Times New Roman" w:hAnsi="Times New Roman"/>
          <w:sz w:val="15"/>
          <w:szCs w:val="15"/>
          <w:color w:val="auto"/>
        </w:rPr>
        <w:t>(38,467)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0040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237" w:lineRule="exact"/>
        <w:rPr>
          <w:sz w:val="20"/>
          <w:szCs w:val="20"/>
          <w:color w:val="auto"/>
        </w:rPr>
      </w:pPr>
    </w:p>
    <w:p>
      <w:pPr>
        <w:ind w:left="563" w:hanging="563"/>
        <w:spacing w:after="0"/>
        <w:tabs>
          <w:tab w:leader="none" w:pos="563"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888,584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0040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3" w:hanging="283"/>
        <w:spacing w:after="0"/>
        <w:tabs>
          <w:tab w:leader="none" w:pos="283"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317,467,240</w:t>
      </w:r>
    </w:p>
    <w:p>
      <w:pPr>
        <w:spacing w:after="0" w:line="19" w:lineRule="exact"/>
        <w:rPr>
          <w:rFonts w:ascii="Times New Roman" w:cs="Times New Roman" w:eastAsia="Times New Roman" w:hAnsi="Times New Roman"/>
          <w:sz w:val="17"/>
          <w:szCs w:val="17"/>
          <w:color w:val="auto"/>
        </w:rPr>
      </w:pPr>
    </w:p>
    <w:p>
      <w:pPr>
        <w:ind w:left="36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98,882,794</w:t>
      </w:r>
    </w:p>
    <w:p>
      <w:pPr>
        <w:spacing w:after="0" w:line="2" w:lineRule="exact"/>
        <w:rPr>
          <w:rFonts w:ascii="Times New Roman" w:cs="Times New Roman" w:eastAsia="Times New Roman" w:hAnsi="Times New Roman"/>
          <w:sz w:val="17"/>
          <w:szCs w:val="17"/>
          <w:color w:val="auto"/>
        </w:rPr>
      </w:pPr>
    </w:p>
    <w:p>
      <w:pPr>
        <w:ind w:left="36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52,879,322</w:t>
      </w:r>
    </w:p>
    <w:p>
      <w:pPr>
        <w:spacing w:after="0" w:line="2" w:lineRule="exact"/>
        <w:rPr>
          <w:rFonts w:ascii="Times New Roman" w:cs="Times New Roman" w:eastAsia="Times New Roman" w:hAnsi="Times New Roman"/>
          <w:sz w:val="17"/>
          <w:szCs w:val="17"/>
          <w:color w:val="auto"/>
        </w:rPr>
      </w:pPr>
    </w:p>
    <w:p>
      <w:pPr>
        <w:ind w:left="36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19,721,946</w:t>
      </w:r>
    </w:p>
    <w:p>
      <w:pPr>
        <w:spacing w:after="0" w:line="209"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7"/>
          <w:szCs w:val="17"/>
          <w:color w:val="auto"/>
        </w:rPr>
        <w:t>488,951,302</w:t>
      </w:r>
    </w:p>
    <w:p>
      <w:pPr>
        <w:spacing w:after="0" w:line="20"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7"/>
          <w:szCs w:val="17"/>
          <w:color w:val="auto"/>
        </w:rPr>
        <w:t>30,581,937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0040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214" w:lineRule="exact"/>
        <w:rPr>
          <w:sz w:val="20"/>
          <w:szCs w:val="20"/>
          <w:color w:val="auto"/>
        </w:rPr>
      </w:pPr>
    </w:p>
    <w:p>
      <w:pPr>
        <w:ind w:left="283" w:hanging="283"/>
        <w:spacing w:after="0"/>
        <w:tabs>
          <w:tab w:leader="none" w:pos="283" w:val="left"/>
        </w:tabs>
        <w:numPr>
          <w:ilvl w:val="0"/>
          <w:numId w:val="2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458,369,365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0040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0405" cy="7620"/>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6837" w:space="720"/>
            <w:col w:w="3683"/>
          </w:cols>
          <w:pgMar w:left="320" w:top="838" w:right="339" w:bottom="1440" w:gutter="0" w:footer="0" w:header="0"/>
          <w:type w:val="continuous"/>
        </w:sectPr>
      </w:pPr>
    </w:p>
    <w:p>
      <w:pPr>
        <w:spacing w:after="0" w:line="5" w:lineRule="exact"/>
        <w:rPr>
          <w:sz w:val="20"/>
          <w:szCs w:val="20"/>
          <w:color w:val="auto"/>
        </w:rPr>
      </w:pPr>
    </w:p>
    <w:p>
      <w:pPr>
        <w:ind w:left="300"/>
        <w:spacing w:after="0" w:line="267" w:lineRule="auto"/>
        <w:rPr>
          <w:sz w:val="20"/>
          <w:szCs w:val="20"/>
          <w:color w:val="auto"/>
        </w:rPr>
      </w:pPr>
      <w:r>
        <w:rPr>
          <w:rFonts w:ascii="Times New Roman" w:cs="Times New Roman" w:eastAsia="Times New Roman" w:hAnsi="Times New Roman"/>
          <w:sz w:val="17"/>
          <w:szCs w:val="17"/>
          <w:color w:val="auto"/>
        </w:rPr>
        <w:t>If the first-in, first-out (FIFO) method of inventory valuation on new vehicles had been used, inventory would have been higher by approximately $30,582,000 at March 31, 2025, respectively, and net income would have increased by approximately $625,000 for the three months ended March 31, 2025.</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5 - I</w:t>
      </w:r>
      <w:r>
        <w:rPr>
          <w:rFonts w:ascii="Times New Roman" w:cs="Times New Roman" w:eastAsia="Times New Roman" w:hAnsi="Times New Roman"/>
          <w:sz w:val="11"/>
          <w:szCs w:val="11"/>
          <w:b w:val="1"/>
          <w:bCs w:val="1"/>
          <w:color w:val="auto"/>
        </w:rPr>
        <w:t>nventories and</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loorplan</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1"/>
          <w:szCs w:val="11"/>
          <w:b w:val="1"/>
          <w:bCs w:val="1"/>
          <w:color w:val="auto"/>
        </w:rPr>
        <w:t>otes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ayable</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w:t>
      </w:r>
      <w:r>
        <w:rPr>
          <w:rFonts w:ascii="Times New Roman" w:cs="Times New Roman" w:eastAsia="Times New Roman" w:hAnsi="Times New Roman"/>
          <w:sz w:val="11"/>
          <w:szCs w:val="11"/>
          <w:b w:val="1"/>
          <w:bCs w:val="1"/>
          <w:i w:val="1"/>
          <w:iCs w:val="1"/>
          <w:color w:val="auto"/>
        </w:rPr>
        <w:t>loorplan</w:t>
      </w:r>
      <w:r>
        <w:rPr>
          <w:rFonts w:ascii="Times New Roman" w:cs="Times New Roman" w:eastAsia="Times New Roman" w:hAnsi="Times New Roman"/>
          <w:sz w:val="17"/>
          <w:szCs w:val="17"/>
          <w:b w:val="1"/>
          <w:bCs w:val="1"/>
          <w:i w:val="1"/>
          <w:iCs w:val="1"/>
          <w:color w:val="auto"/>
        </w:rPr>
        <w:t xml:space="preserve"> N</w:t>
      </w:r>
      <w:r>
        <w:rPr>
          <w:rFonts w:ascii="Times New Roman" w:cs="Times New Roman" w:eastAsia="Times New Roman" w:hAnsi="Times New Roman"/>
          <w:sz w:val="11"/>
          <w:szCs w:val="11"/>
          <w:b w:val="1"/>
          <w:bCs w:val="1"/>
          <w:i w:val="1"/>
          <w:iCs w:val="1"/>
          <w:color w:val="auto"/>
        </w:rPr>
        <w:t>otes</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ayable</w:t>
      </w:r>
    </w:p>
    <w:p>
      <w:pPr>
        <w:spacing w:after="0" w:line="205"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color w:val="auto"/>
        </w:rPr>
        <w:t>The Group has floorplan agreements with Bank of America, N.A., Mercedes-Benz Financial Services USA LLC, Toyota Motor Credit Corporation, Ford Motor Credit Company, and Wells Fargo Bank, N.A. for new, used, lease and rental vehicle financing. The notes are collateralized by all of the business assets of the respective dealerships, all of the products and proceeds thereof. The Mercedes-Benz Financial Services USA LLC, Toyota Motor Credit Corporation, Ford Motor Credit Company, and Wells Fargo Bank, N.A. have the personal guarantee of the Group’s owner. The notes are due when the vehicles are sold. Floorplan notes payable on vehicles have variable interest rates. four agreements with interest based on SOFR rates (4.37 % at March 31, 2025) plus 1.0% to 1.7% and one floorplan agreement with interest based on the prime rate (7.5% at March 31, 2025) plus 1.50%.</w:t>
      </w:r>
    </w:p>
    <w:p>
      <w:pPr>
        <w:spacing w:after="0" w:line="176"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floorplan notes payable agreement with one of the banks is cross-defaulted with other loans from the bank to other entities of the Group and to related real estate entities that are 100% owned by the owner of the Group. These floorplan agreements are guaranteed by the members of the Group and the owner of the Group. The loan agreement contains various financial covenants. At Mar 31, 2025, the Group was in compliance with the financial covenants.</w:t>
      </w:r>
    </w:p>
    <w:p>
      <w:pPr>
        <w:spacing w:after="0" w:line="17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also has loaner and rental vehicle notes payable agreements with BMW North America, Inc. (BMW) and Porsche Financial Services, Inc. for loaner and rental vehicle financing for certain dealerships. The BMW loaner and rental vehicle notes payable agreement has variable interest rates determined monthly based on the prime rate (7.5% at March 31, 2025) less .25%. Lease and rental vehicle notes payable are collateralized by specific vehicles.</w:t>
      </w:r>
    </w:p>
    <w:p>
      <w:pPr>
        <w:spacing w:after="0" w:line="17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At March 31, 2025 the Group had a maximum credit available under the various vehicle financing agreements of $533,410,000, of which $356,356,735, was outstanding. Financing sources provide temporary increases to accommodate fluctuations in units being delivered from the manufacturer.</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Total interest expense on floorplan notes payable amounted to approximately $4,800,000 for the three months ended March 31, 2025.</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6 - N</w:t>
            </w:r>
            <w:r>
              <w:rPr>
                <w:rFonts w:ascii="Times New Roman" w:cs="Times New Roman" w:eastAsia="Times New Roman" w:hAnsi="Times New Roman"/>
                <w:sz w:val="11"/>
                <w:szCs w:val="11"/>
                <w:b w:val="1"/>
                <w:bCs w:val="1"/>
                <w:color w:val="auto"/>
              </w:rPr>
              <w:t>et</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roperty and</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quipment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7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Net property and equipment consisted of the following at March 31, 2025: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0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vMerge w:val="continue"/>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11,017,059</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2,413,338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36,763,985</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Machinery and equipment</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23,416,630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vehicles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9,679,125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Parts and service equipment</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9,501,466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leases of buildings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97,174,121</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76,075,938</w:t>
            </w:r>
          </w:p>
        </w:tc>
        <w:tc>
          <w:tcPr>
            <w:tcW w:w="0" w:type="dxa"/>
            <w:vAlign w:val="bottom"/>
          </w:tcPr>
          <w:p>
            <w:pPr>
              <w:spacing w:after="0"/>
              <w:rPr>
                <w:sz w:val="1"/>
                <w:szCs w:val="1"/>
                <w:color w:val="auto"/>
              </w:rPr>
            </w:pPr>
          </w:p>
        </w:tc>
      </w:tr>
      <w:tr>
        <w:trPr>
          <w:trHeight w:val="191"/>
        </w:trPr>
        <w:tc>
          <w:tcPr>
            <w:tcW w:w="300" w:type="dxa"/>
            <w:vAlign w:val="bottom"/>
            <w:vMerge w:val="restart"/>
          </w:tcPr>
          <w:p>
            <w:pPr>
              <w:spacing w:after="0"/>
              <w:rPr>
                <w:sz w:val="16"/>
                <w:szCs w:val="16"/>
                <w:color w:val="auto"/>
              </w:rPr>
            </w:pPr>
          </w:p>
        </w:tc>
        <w:tc>
          <w:tcPr>
            <w:tcW w:w="7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Net property and equipment</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21,098,183</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 expense for the three months ended March 31, 2025 was $1,914,318.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5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7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7 - A</w:t>
            </w:r>
            <w:r>
              <w:rPr>
                <w:rFonts w:ascii="Times New Roman" w:cs="Times New Roman" w:eastAsia="Times New Roman" w:hAnsi="Times New Roman"/>
                <w:sz w:val="11"/>
                <w:szCs w:val="11"/>
                <w:b w:val="1"/>
                <w:bCs w:val="1"/>
                <w:color w:val="auto"/>
              </w:rPr>
              <w:t>ccounts</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ayable and</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1"/>
                <w:szCs w:val="11"/>
                <w:b w:val="1"/>
                <w:bCs w:val="1"/>
                <w:color w:val="auto"/>
              </w:rPr>
              <w:t>ther</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ccrued</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xpenses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7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Accounts payable and other accrued expenses consisted of the following at March 31, 2025:</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0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vMerge w:val="continue"/>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29,590,770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Accrued payroll and payroll taxes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6,210,073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profit sharing</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984,548</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chargebacks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8,387,000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payable</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1,438,934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Customer deposits</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9,127,317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 and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7,608,865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00" w:type="dxa"/>
            <w:vAlign w:val="bottom"/>
            <w:vMerge w:val="restart"/>
          </w:tcPr>
          <w:p>
            <w:pPr>
              <w:spacing w:after="0"/>
              <w:rPr>
                <w:sz w:val="16"/>
                <w:szCs w:val="16"/>
                <w:color w:val="auto"/>
              </w:rPr>
            </w:pPr>
          </w:p>
        </w:tc>
        <w:tc>
          <w:tcPr>
            <w:tcW w:w="7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accounts payable and other accrued expenses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63,347,507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8 - L</w:t>
      </w:r>
      <w:r>
        <w:rPr>
          <w:rFonts w:ascii="Times New Roman" w:cs="Times New Roman" w:eastAsia="Times New Roman" w:hAnsi="Times New Roman"/>
          <w:sz w:val="11"/>
          <w:szCs w:val="11"/>
          <w:b w:val="1"/>
          <w:bCs w:val="1"/>
          <w:color w:val="auto"/>
        </w:rPr>
        <w:t>ines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redit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has a $7,000,000 revolving line of credit with Toyota Motor Credit Corporation. The credit facility expires on May 31, 2026, with interest payable at Prime minus .49%. The Group has a $10,000,000 revolving credit facility with Bank of America, N.A. The credit facility expires on October 31, 2025, with interest payable at SOFR plus 1.50%. The Group has a $ 5,000,000 revolving credit facility with Wells Fargo Bank, N.A. The credit facility expires on August 31, 2025, with interest payable at SOFR plus 1.10%. The above lines of credit are guaranteed by various dealerships who are included in the respective bank’s floorplan notes payable agreements.</w:t>
      </w:r>
    </w:p>
    <w:p>
      <w:pPr>
        <w:spacing w:after="0" w:line="17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has an additional $10,000,000 line of credit with Wells Fargo Bank, N.A. The credit facility expires on August 31, 2025, with interest payable at SOFR plus 1.25%. The line of credit is guaranteed by two operating entities in the Group, together with the owner.</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borrowings under the lines of credits were outstanding at March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ight of</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ssets and</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iabilities</w:t>
      </w:r>
    </w:p>
    <w:p>
      <w:pPr>
        <w:spacing w:after="0" w:line="205" w:lineRule="exact"/>
        <w:rPr>
          <w:sz w:val="20"/>
          <w:szCs w:val="20"/>
          <w:color w:val="auto"/>
        </w:rPr>
      </w:pPr>
    </w:p>
    <w:p>
      <w:pPr>
        <w:jc w:val="both"/>
        <w:ind w:left="300"/>
        <w:spacing w:after="0" w:line="251" w:lineRule="auto"/>
        <w:rPr>
          <w:sz w:val="20"/>
          <w:szCs w:val="20"/>
          <w:color w:val="auto"/>
        </w:rPr>
      </w:pPr>
      <w:r>
        <w:rPr>
          <w:rFonts w:ascii="Times New Roman" w:cs="Times New Roman" w:eastAsia="Times New Roman" w:hAnsi="Times New Roman"/>
          <w:sz w:val="17"/>
          <w:szCs w:val="17"/>
          <w:color w:val="auto"/>
        </w:rPr>
        <w:t>The Group leases land and facilities related to dealership operations. The property leases are generally from affiliated companies related by common ownership and management for an initial period of 5 years and are typically structured to include renewal options. The Group has included renewal options that they are reasonably certain to exercise in the measurement of lease liabilities and right-of-use assets. The Group also has leases for various storage and parking locations. Leases expire on various dates through September 2034.</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carrying amount of right of use assets and accumulated amortization as of March 31, 2025 are as follows: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Facilities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316,753,545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Parking and storage</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11,887,953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328,641,498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116,733,879</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 of use assets, net</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211,907,619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ight of</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ssets and</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iabilities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right-of-use assets are amortized over the lease terms of the underlying assets which range from one to twelve years, on a straight-line basis. The weighted-average remaining lease term in years for operating leases is 5.91 and the weighted-average discount rate for operating leases is 5.55%. Amortization expense recognized for the three months ended March 31, 2025 was $9,771,113.</w:t>
      </w:r>
    </w:p>
    <w:p>
      <w:pPr>
        <w:spacing w:after="0" w:line="17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Operating lease liabilities are recognized initially at the present value of the remaining lease payments, discounted using the lessee’s incremental borrowing rate as of January 1, 2022 for existing leases at adoption and for new leases after adoptions, the discounted rate based on the new terms of the new lease.</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7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Operating lease liabilities at March 31, 2025, are as follows: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42,239,300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Non-current portion</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169,493,875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211,733,175</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Aggregate future minimum lease maturities under these leases at March 31, 2025 are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2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7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For the Twelve Months Ending March 31,</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3"/>
              </w:rPr>
              <w:t>2026</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gridSpan w:val="2"/>
            <w:shd w:val="clear" w:color="auto" w:fill="CCEEFF"/>
          </w:tcPr>
          <w:p>
            <w:pPr>
              <w:jc w:val="right"/>
              <w:ind w:right="80"/>
              <w:spacing w:after="0" w:line="191" w:lineRule="exact"/>
              <w:rPr>
                <w:sz w:val="20"/>
                <w:szCs w:val="20"/>
                <w:color w:val="auto"/>
              </w:rPr>
            </w:pPr>
            <w:r>
              <w:rPr>
                <w:rFonts w:ascii="Times New Roman" w:cs="Times New Roman" w:eastAsia="Times New Roman" w:hAnsi="Times New Roman"/>
                <w:sz w:val="17"/>
                <w:szCs w:val="17"/>
                <w:color w:val="auto"/>
              </w:rPr>
              <w:t>51,261,245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50,058,459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45,768,969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29,341,369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2030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23,812,279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5"/>
              </w:rPr>
              <w:t>Thereafter</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46,284,747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4"/>
              </w:rPr>
              <w:t>Total</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246,527,068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Less: amount representing interest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34,793,893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7"/>
              </w:rPr>
              <w:t>Present value of future minimum lease payments</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211,733,175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R</w:t>
      </w:r>
      <w:r>
        <w:rPr>
          <w:rFonts w:ascii="Times New Roman" w:cs="Times New Roman" w:eastAsia="Times New Roman" w:hAnsi="Times New Roman"/>
          <w:sz w:val="11"/>
          <w:szCs w:val="11"/>
          <w:b w:val="1"/>
          <w:bCs w:val="1"/>
          <w:i w:val="1"/>
          <w:iCs w:val="1"/>
          <w:color w:val="auto"/>
        </w:rPr>
        <w:t>ight of</w:t>
      </w:r>
      <w:r>
        <w:rPr>
          <w:rFonts w:ascii="Times New Roman" w:cs="Times New Roman" w:eastAsia="Times New Roman" w:hAnsi="Times New Roman"/>
          <w:sz w:val="17"/>
          <w:szCs w:val="17"/>
          <w:b w:val="1"/>
          <w:bCs w:val="1"/>
          <w:i w:val="1"/>
          <w:iCs w:val="1"/>
          <w:color w:val="auto"/>
        </w:rPr>
        <w:t xml:space="preserve"> U</w:t>
      </w:r>
      <w:r>
        <w:rPr>
          <w:rFonts w:ascii="Times New Roman" w:cs="Times New Roman" w:eastAsia="Times New Roman" w:hAnsi="Times New Roman"/>
          <w:sz w:val="11"/>
          <w:szCs w:val="11"/>
          <w:b w:val="1"/>
          <w:bCs w:val="1"/>
          <w:i w:val="1"/>
          <w:iCs w:val="1"/>
          <w:color w:val="auto"/>
        </w:rPr>
        <w:t>se</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ssets and</w:t>
      </w:r>
      <w:r>
        <w:rPr>
          <w:rFonts w:ascii="Times New Roman" w:cs="Times New Roman" w:eastAsia="Times New Roman" w:hAnsi="Times New Roman"/>
          <w:sz w:val="17"/>
          <w:szCs w:val="17"/>
          <w:b w:val="1"/>
          <w:bCs w:val="1"/>
          <w:i w:val="1"/>
          <w:iCs w:val="1"/>
          <w:color w:val="auto"/>
        </w:rPr>
        <w:t xml:space="preserve"> O</w:t>
      </w:r>
      <w:r>
        <w:rPr>
          <w:rFonts w:ascii="Times New Roman" w:cs="Times New Roman" w:eastAsia="Times New Roman" w:hAnsi="Times New Roman"/>
          <w:sz w:val="11"/>
          <w:szCs w:val="11"/>
          <w:b w:val="1"/>
          <w:bCs w:val="1"/>
          <w:i w:val="1"/>
          <w:iCs w:val="1"/>
          <w:color w:val="auto"/>
        </w:rPr>
        <w:t>perating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iabilities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components of operating lease expense for the three months ended March 31, 2025 included in operating expenses on the accompanying combined statements of operations and comprehensive income is approximately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18,500,000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costs</w:t>
            </w:r>
          </w:p>
        </w:tc>
        <w:tc>
          <w:tcPr>
            <w:tcW w:w="2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322,000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Sublease income</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(9,000)</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7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18,813,000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subleases portions of its facilities to companies related by common ownership and management as a tenant-at-will. Short-term leases mainly consist of month-to-month leases with unrelated parties for vehicle storage facilities and additional parking.</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w:t>
      </w:r>
      <w:r>
        <w:rPr>
          <w:rFonts w:ascii="Times New Roman" w:cs="Times New Roman" w:eastAsia="Times New Roman" w:hAnsi="Times New Roman"/>
          <w:sz w:val="11"/>
          <w:szCs w:val="11"/>
          <w:b w:val="1"/>
          <w:bCs w:val="1"/>
          <w:i w:val="1"/>
          <w:iCs w:val="1"/>
          <w:color w:val="auto"/>
        </w:rPr>
        <w:t>inancing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p>
    <w:p>
      <w:pPr>
        <w:spacing w:after="0" w:line="205" w:lineRule="exact"/>
        <w:rPr>
          <w:sz w:val="20"/>
          <w:szCs w:val="20"/>
          <w:color w:val="auto"/>
        </w:rPr>
      </w:pPr>
    </w:p>
    <w:p>
      <w:pPr>
        <w:jc w:val="both"/>
        <w:ind w:left="300"/>
        <w:spacing w:after="0" w:line="287" w:lineRule="auto"/>
        <w:rPr>
          <w:sz w:val="20"/>
          <w:szCs w:val="20"/>
          <w:color w:val="auto"/>
        </w:rPr>
      </w:pPr>
      <w:r>
        <w:rPr>
          <w:rFonts w:ascii="Times New Roman" w:cs="Times New Roman" w:eastAsia="Times New Roman" w:hAnsi="Times New Roman"/>
          <w:sz w:val="15"/>
          <w:szCs w:val="15"/>
          <w:color w:val="auto"/>
        </w:rPr>
        <w:t>The Group has a finance lease for the use of a building located next to one of the dealerships expiring in January 2029, with a five-year renewal option. The lease includes monthly payments of $ 38,446 through January 2024 and monthly payments of $43,831 thereafter. The asset and liability under the financing lease are recorded at the present value of the minimum lease payments. The financing lease asset has been included in net property and equipment at $4,382,518 at March 31, 2025. The asset is depreciated over its estimated productive life. Accumulated depreciation for the financing lease asset was $2,010,802 at March 31, 2025, and depreciation expense was $154,678 for the three months ended March 31, 2025. The remaining principal balance of $1,822,434 at March 31, 2025, is recorded as financing lease liability, net of $439,105, which is included in current portion of finance lease liability in the accompanying combined balance sheets.</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9 - L</w:t>
      </w:r>
      <w:r>
        <w:rPr>
          <w:rFonts w:ascii="Times New Roman" w:cs="Times New Roman" w:eastAsia="Times New Roman" w:hAnsi="Times New Roman"/>
          <w:sz w:val="11"/>
          <w:szCs w:val="11"/>
          <w:b w:val="1"/>
          <w:bCs w:val="1"/>
          <w:color w:val="auto"/>
        </w:rPr>
        <w:t>eases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w:t>
      </w:r>
      <w:r>
        <w:rPr>
          <w:rFonts w:ascii="Times New Roman" w:cs="Times New Roman" w:eastAsia="Times New Roman" w:hAnsi="Times New Roman"/>
          <w:sz w:val="11"/>
          <w:szCs w:val="11"/>
          <w:b w:val="1"/>
          <w:bCs w:val="1"/>
          <w:i w:val="1"/>
          <w:iCs w:val="1"/>
          <w:color w:val="auto"/>
        </w:rPr>
        <w:t>inancing</w:t>
      </w:r>
      <w:r>
        <w:rPr>
          <w:rFonts w:ascii="Times New Roman" w:cs="Times New Roman" w:eastAsia="Times New Roman" w:hAnsi="Times New Roman"/>
          <w:sz w:val="17"/>
          <w:szCs w:val="17"/>
          <w:b w:val="1"/>
          <w:bCs w:val="1"/>
          <w:i w:val="1"/>
          <w:iCs w:val="1"/>
          <w:color w:val="auto"/>
        </w:rPr>
        <w:t xml:space="preserve"> L</w:t>
      </w:r>
      <w:r>
        <w:rPr>
          <w:rFonts w:ascii="Times New Roman" w:cs="Times New Roman" w:eastAsia="Times New Roman" w:hAnsi="Times New Roman"/>
          <w:sz w:val="11"/>
          <w:szCs w:val="11"/>
          <w:b w:val="1"/>
          <w:bCs w:val="1"/>
          <w:i w:val="1"/>
          <w:iCs w:val="1"/>
          <w:color w:val="auto"/>
        </w:rPr>
        <w:t>ease</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following is a schedule of the future minimum lease payments under the finance lease and the present value of the net minimum lease payments at March 31, 2025:</w:t>
      </w:r>
    </w:p>
    <w:p>
      <w:pPr>
        <w:spacing w:after="0" w:line="172" w:lineRule="exact"/>
        <w:rPr>
          <w:sz w:val="20"/>
          <w:szCs w:val="20"/>
          <w:color w:val="auto"/>
        </w:rPr>
      </w:pPr>
    </w:p>
    <w:tbl>
      <w:tblPr>
        <w:tblLayout w:type="fixed"/>
        <w:tblInd w:w="900" w:type="dxa"/>
        <w:tblCellMar>
          <w:top w:w="0" w:type="dxa"/>
          <w:left w:w="0" w:type="dxa"/>
          <w:bottom w:w="0" w:type="dxa"/>
          <w:right w:w="0" w:type="dxa"/>
        </w:tblCellMar>
      </w:tblPr>
      <w:tr>
        <w:trPr>
          <w:trHeight w:val="215"/>
        </w:trPr>
        <w:tc>
          <w:tcPr>
            <w:tcW w:w="7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For the Twelve Months Ending March 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191"/>
        </w:trPr>
        <w:tc>
          <w:tcPr>
            <w:tcW w:w="71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3"/>
              </w:rPr>
              <w:t>2026</w:t>
            </w:r>
          </w:p>
        </w:tc>
        <w:tc>
          <w:tcPr>
            <w:tcW w:w="360" w:type="dxa"/>
            <w:vAlign w:val="bottom"/>
            <w:gridSpan w:val="2"/>
            <w:shd w:val="clear" w:color="auto" w:fill="CCEEFF"/>
          </w:tcPr>
          <w:p>
            <w:pPr>
              <w:jc w:val="right"/>
              <w:ind w:right="1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line="191" w:lineRule="exact"/>
              <w:rPr>
                <w:sz w:val="20"/>
                <w:szCs w:val="20"/>
                <w:color w:val="auto"/>
              </w:rPr>
            </w:pPr>
            <w:r>
              <w:rPr>
                <w:rFonts w:ascii="Times New Roman" w:cs="Times New Roman" w:eastAsia="Times New Roman" w:hAnsi="Times New Roman"/>
                <w:sz w:val="17"/>
                <w:szCs w:val="17"/>
                <w:color w:val="auto"/>
              </w:rPr>
              <w:t>525,968</w:t>
            </w:r>
          </w:p>
        </w:tc>
      </w:tr>
      <w:tr>
        <w:trPr>
          <w:trHeight w:val="198"/>
        </w:trPr>
        <w:tc>
          <w:tcPr>
            <w:tcW w:w="7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525,968</w:t>
            </w:r>
          </w:p>
        </w:tc>
      </w:tr>
      <w:tr>
        <w:trPr>
          <w:trHeight w:val="198"/>
        </w:trPr>
        <w:tc>
          <w:tcPr>
            <w:tcW w:w="7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525,968</w:t>
            </w:r>
          </w:p>
        </w:tc>
      </w:tr>
      <w:tr>
        <w:trPr>
          <w:trHeight w:val="198"/>
        </w:trPr>
        <w:tc>
          <w:tcPr>
            <w:tcW w:w="7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438,307</w:t>
            </w:r>
          </w:p>
        </w:tc>
      </w:tr>
      <w:tr>
        <w:trPr>
          <w:trHeight w:val="198"/>
        </w:trPr>
        <w:tc>
          <w:tcPr>
            <w:tcW w:w="7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8"/>
        </w:trPr>
        <w:tc>
          <w:tcPr>
            <w:tcW w:w="7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2,016,211</w:t>
            </w:r>
          </w:p>
        </w:tc>
      </w:tr>
      <w:tr>
        <w:trPr>
          <w:trHeight w:val="211"/>
        </w:trPr>
        <w:tc>
          <w:tcPr>
            <w:tcW w:w="7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Less: amount representing interest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193,777</w:t>
            </w:r>
          </w:p>
        </w:tc>
      </w:tr>
      <w:tr>
        <w:trPr>
          <w:trHeight w:val="191"/>
        </w:trPr>
        <w:tc>
          <w:tcPr>
            <w:tcW w:w="7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3"/>
        </w:trPr>
        <w:tc>
          <w:tcPr>
            <w:tcW w:w="7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Total principal payments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1,822,434</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10 - R</w:t>
      </w:r>
      <w:r>
        <w:rPr>
          <w:rFonts w:ascii="Times New Roman" w:cs="Times New Roman" w:eastAsia="Times New Roman" w:hAnsi="Times New Roman"/>
          <w:sz w:val="11"/>
          <w:szCs w:val="11"/>
          <w:b w:val="1"/>
          <w:bCs w:val="1"/>
          <w:color w:val="auto"/>
        </w:rPr>
        <w:t>elated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arty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w:t>
      </w:r>
      <w:r>
        <w:rPr>
          <w:rFonts w:ascii="Times New Roman" w:cs="Times New Roman" w:eastAsia="Times New Roman" w:hAnsi="Times New Roman"/>
          <w:sz w:val="11"/>
          <w:szCs w:val="11"/>
          <w:b w:val="1"/>
          <w:bCs w:val="1"/>
          <w:i w:val="1"/>
          <w:iCs w:val="1"/>
          <w:color w:val="auto"/>
        </w:rPr>
        <w:t>anagement</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greements</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JRM has management agreements with the dealerships owned by Herbert G. Chambers. The agreements are for a one-year term and automatically renew for successive one-year terms unless terminated in advance by the owner. Under these agreements, JRM collects an annual management fee.</w:t>
      </w:r>
    </w:p>
    <w:p>
      <w:pPr>
        <w:spacing w:after="0" w:line="160"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color w:val="auto"/>
        </w:rPr>
        <w:t>The agreements require the dealerships to pay between $35,000 and $58,300 per month. The agreements include services relating to accounting, advertising, banking, controller, data processing and management information service, internet service, employee benefits, financing, factory relationships, human resource, insurance, internal audit, legal, marketing, operations, tax, training and used car management. In addition to the monthly management fees, certain dealerships pay an annual management fee that is computed at year end based on a formula which takes into account income earned by the certain dealerships and a return of invested equity in those dealerships. The proceeds of the annual management fee are used by JRM in calculation and payment of the consulting fee paid to Chambers Consulting Corp., as noted below.</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10 - R</w:t>
      </w:r>
      <w:r>
        <w:rPr>
          <w:rFonts w:ascii="Times New Roman" w:cs="Times New Roman" w:eastAsia="Times New Roman" w:hAnsi="Times New Roman"/>
          <w:sz w:val="11"/>
          <w:szCs w:val="11"/>
          <w:b w:val="1"/>
          <w:bCs w:val="1"/>
          <w:color w:val="auto"/>
        </w:rPr>
        <w:t>elated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arty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M</w:t>
      </w:r>
      <w:r>
        <w:rPr>
          <w:rFonts w:ascii="Times New Roman" w:cs="Times New Roman" w:eastAsia="Times New Roman" w:hAnsi="Times New Roman"/>
          <w:sz w:val="11"/>
          <w:szCs w:val="11"/>
          <w:b w:val="1"/>
          <w:bCs w:val="1"/>
          <w:i w:val="1"/>
          <w:iCs w:val="1"/>
          <w:color w:val="auto"/>
        </w:rPr>
        <w:t>anagement</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greements</w:t>
      </w:r>
      <w:r>
        <w:rPr>
          <w:rFonts w:ascii="Times New Roman" w:cs="Times New Roman" w:eastAsia="Times New Roman" w:hAnsi="Times New Roman"/>
          <w:sz w:val="17"/>
          <w:szCs w:val="17"/>
          <w:b w:val="1"/>
          <w:bCs w:val="1"/>
          <w:i w:val="1"/>
          <w:iCs w:val="1"/>
          <w:color w:val="auto"/>
        </w:rPr>
        <w:t xml:space="preserve"> (C</w:t>
      </w:r>
      <w:r>
        <w:rPr>
          <w:rFonts w:ascii="Times New Roman" w:cs="Times New Roman" w:eastAsia="Times New Roman" w:hAnsi="Times New Roman"/>
          <w:sz w:val="11"/>
          <w:szCs w:val="11"/>
          <w:b w:val="1"/>
          <w:bCs w:val="1"/>
          <w:i w:val="1"/>
          <w:iCs w:val="1"/>
          <w:color w:val="auto"/>
        </w:rPr>
        <w:t>ontinued</w:t>
      </w:r>
      <w:r>
        <w:rPr>
          <w:rFonts w:ascii="Times New Roman" w:cs="Times New Roman" w:eastAsia="Times New Roman" w:hAnsi="Times New Roman"/>
          <w:sz w:val="17"/>
          <w:szCs w:val="17"/>
          <w:b w:val="1"/>
          <w:bCs w:val="1"/>
          <w:i w:val="1"/>
          <w:i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For the three months ended March 31, 2025, management fees totaling $19,652,000, respectively, are eliminated from sales and operating expenses and have no effect on reported net income on the accompanying combined statements of operations and comprehensive income.</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w:t>
      </w:r>
      <w:r>
        <w:rPr>
          <w:rFonts w:ascii="Times New Roman" w:cs="Times New Roman" w:eastAsia="Times New Roman" w:hAnsi="Times New Roman"/>
          <w:sz w:val="11"/>
          <w:szCs w:val="11"/>
          <w:b w:val="1"/>
          <w:bCs w:val="1"/>
          <w:i w:val="1"/>
          <w:iCs w:val="1"/>
          <w:color w:val="auto"/>
        </w:rPr>
        <w:t>onsulting</w:t>
      </w:r>
      <w:r>
        <w:rPr>
          <w:rFonts w:ascii="Times New Roman" w:cs="Times New Roman" w:eastAsia="Times New Roman" w:hAnsi="Times New Roman"/>
          <w:sz w:val="17"/>
          <w:szCs w:val="17"/>
          <w:b w:val="1"/>
          <w:bCs w:val="1"/>
          <w:i w:val="1"/>
          <w:iCs w:val="1"/>
          <w:color w:val="auto"/>
        </w:rPr>
        <w:t xml:space="preserve"> A</w:t>
      </w:r>
      <w:r>
        <w:rPr>
          <w:rFonts w:ascii="Times New Roman" w:cs="Times New Roman" w:eastAsia="Times New Roman" w:hAnsi="Times New Roman"/>
          <w:sz w:val="11"/>
          <w:szCs w:val="11"/>
          <w:b w:val="1"/>
          <w:bCs w:val="1"/>
          <w:i w:val="1"/>
          <w:iCs w:val="1"/>
          <w:color w:val="auto"/>
        </w:rPr>
        <w:t>greement</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has an annual consulting agreement with Chambers Consulting Corp., a company related through common ownership. The annual fee is to be computed at year end based on a formula which takes into account total fees earned by The Herb Chambers Companies less direct expenses and overhead and profit for services not provided by the Group. The consulting agreement includes services relating to banking, financing, factory relationships, human resources, legal, marketing, tax, strategic planning, and acquisition planning. Total consulting fees for the three months ended March 31, 2025 is $10,750,000, and is included in operating expenses on the accompanying combined statements of operations and comprehensive income.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D</w:t>
      </w:r>
      <w:r>
        <w:rPr>
          <w:rFonts w:ascii="Times New Roman" w:cs="Times New Roman" w:eastAsia="Times New Roman" w:hAnsi="Times New Roman"/>
          <w:sz w:val="11"/>
          <w:szCs w:val="11"/>
          <w:b w:val="1"/>
          <w:bCs w:val="1"/>
          <w:i w:val="1"/>
          <w:iCs w:val="1"/>
          <w:color w:val="auto"/>
        </w:rPr>
        <w:t>ue</w:t>
      </w:r>
      <w:r>
        <w:rPr>
          <w:rFonts w:ascii="Times New Roman" w:cs="Times New Roman" w:eastAsia="Times New Roman" w:hAnsi="Times New Roman"/>
          <w:sz w:val="17"/>
          <w:szCs w:val="17"/>
          <w:b w:val="1"/>
          <w:bCs w:val="1"/>
          <w:i w:val="1"/>
          <w:iCs w:val="1"/>
          <w:color w:val="auto"/>
        </w:rPr>
        <w:t xml:space="preserve"> F</w:t>
      </w:r>
      <w:r>
        <w:rPr>
          <w:rFonts w:ascii="Times New Roman" w:cs="Times New Roman" w:eastAsia="Times New Roman" w:hAnsi="Times New Roman"/>
          <w:sz w:val="11"/>
          <w:szCs w:val="11"/>
          <w:b w:val="1"/>
          <w:bCs w:val="1"/>
          <w:i w:val="1"/>
          <w:iCs w:val="1"/>
          <w:color w:val="auto"/>
        </w:rPr>
        <w:t>rom</w:t>
      </w:r>
      <w:r>
        <w:rPr>
          <w:rFonts w:ascii="Times New Roman" w:cs="Times New Roman" w:eastAsia="Times New Roman" w:hAnsi="Times New Roman"/>
          <w:sz w:val="17"/>
          <w:szCs w:val="17"/>
          <w:b w:val="1"/>
          <w:bCs w:val="1"/>
          <w:i w:val="1"/>
          <w:iCs w:val="1"/>
          <w:color w:val="auto"/>
        </w:rPr>
        <w:t xml:space="preserve"> (T</w:t>
      </w:r>
      <w:r>
        <w:rPr>
          <w:rFonts w:ascii="Times New Roman" w:cs="Times New Roman" w:eastAsia="Times New Roman" w:hAnsi="Times New Roman"/>
          <w:sz w:val="11"/>
          <w:szCs w:val="11"/>
          <w:b w:val="1"/>
          <w:bCs w:val="1"/>
          <w:i w:val="1"/>
          <w:iCs w:val="1"/>
          <w:color w:val="auto"/>
        </w:rPr>
        <w:t>o</w:t>
      </w:r>
      <w:r>
        <w:rPr>
          <w:rFonts w:ascii="Times New Roman" w:cs="Times New Roman" w:eastAsia="Times New Roman" w:hAnsi="Times New Roman"/>
          <w:sz w:val="17"/>
          <w:szCs w:val="17"/>
          <w:b w:val="1"/>
          <w:bCs w:val="1"/>
          <w:i w:val="1"/>
          <w:iCs w:val="1"/>
          <w:color w:val="auto"/>
        </w:rPr>
        <w:t>) O</w:t>
      </w:r>
      <w:r>
        <w:rPr>
          <w:rFonts w:ascii="Times New Roman" w:cs="Times New Roman" w:eastAsia="Times New Roman" w:hAnsi="Times New Roman"/>
          <w:sz w:val="11"/>
          <w:szCs w:val="11"/>
          <w:b w:val="1"/>
          <w:bCs w:val="1"/>
          <w:i w:val="1"/>
          <w:iCs w:val="1"/>
          <w:color w:val="auto"/>
        </w:rPr>
        <w:t>wner</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At March 31, 2025, the Group had amounts due to or from the owner. These amounts represent unsecured net non-interest bearing advances and borrowings with no specified maturity date. As of March 31, 2025, the net combined balance due from owner was $105,320,982, and is classified as an other asset on the accompanying combined balance sheets.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nsurance</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rogram</w:t>
      </w:r>
    </w:p>
    <w:p>
      <w:pPr>
        <w:spacing w:after="0" w:line="205" w:lineRule="exact"/>
        <w:rPr>
          <w:sz w:val="20"/>
          <w:szCs w:val="20"/>
          <w:color w:val="auto"/>
        </w:rPr>
      </w:pPr>
    </w:p>
    <w:p>
      <w:pPr>
        <w:jc w:val="both"/>
        <w:ind w:left="300"/>
        <w:spacing w:after="0" w:line="248" w:lineRule="auto"/>
        <w:rPr>
          <w:sz w:val="20"/>
          <w:szCs w:val="20"/>
          <w:color w:val="auto"/>
        </w:rPr>
      </w:pPr>
      <w:r>
        <w:rPr>
          <w:rFonts w:ascii="Times New Roman" w:cs="Times New Roman" w:eastAsia="Times New Roman" w:hAnsi="Times New Roman"/>
          <w:sz w:val="17"/>
          <w:szCs w:val="17"/>
          <w:color w:val="auto"/>
        </w:rPr>
        <w:t>The Group administers high deductible programs for the workers’ compensation and property and casualty insurance coverage for the dealerships. The policies, which renew annually on October 1, have deductibles ranging from $5,000 to $350,000; premiums cover all claims over the deductibles. At March 31, 2025, a $245,847 escrow funded by the Group to pay claims is included in other assets on the accompanying combined balance sheets. The dealerships make payments to JRM to create an insurance loss fund which will be used to replenish the escrow as claims within the deductible amount are paid. Since the Group is not an insurance company, it accounts for these payments, net of related premiums and insurance claims paid, as an insurance loss fund liability with a balance of $3,898,747 at March 31, 2025. At March 31, 2025, the insurance policies require the Group to maintain a letter of credit totaling $4,117,000.</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10 - R</w:t>
      </w:r>
      <w:r>
        <w:rPr>
          <w:rFonts w:ascii="Times New Roman" w:cs="Times New Roman" w:eastAsia="Times New Roman" w:hAnsi="Times New Roman"/>
          <w:sz w:val="11"/>
          <w:szCs w:val="11"/>
          <w:b w:val="1"/>
          <w:bCs w:val="1"/>
          <w:color w:val="auto"/>
        </w:rPr>
        <w:t>elated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arty</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ransactions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w:t>
      </w:r>
      <w:r>
        <w:rPr>
          <w:rFonts w:ascii="Times New Roman" w:cs="Times New Roman" w:eastAsia="Times New Roman" w:hAnsi="Times New Roman"/>
          <w:sz w:val="11"/>
          <w:szCs w:val="11"/>
          <w:b w:val="1"/>
          <w:bCs w:val="1"/>
          <w:i w:val="1"/>
          <w:iCs w:val="1"/>
          <w:color w:val="auto"/>
        </w:rPr>
        <w:t>nvestment in</w:t>
      </w:r>
      <w:r>
        <w:rPr>
          <w:rFonts w:ascii="Times New Roman" w:cs="Times New Roman" w:eastAsia="Times New Roman" w:hAnsi="Times New Roman"/>
          <w:sz w:val="17"/>
          <w:szCs w:val="17"/>
          <w:b w:val="1"/>
          <w:bCs w:val="1"/>
          <w:i w:val="1"/>
          <w:iCs w:val="1"/>
          <w:color w:val="auto"/>
        </w:rPr>
        <w:t xml:space="preserve"> P</w:t>
      </w:r>
      <w:r>
        <w:rPr>
          <w:rFonts w:ascii="Times New Roman" w:cs="Times New Roman" w:eastAsia="Times New Roman" w:hAnsi="Times New Roman"/>
          <w:sz w:val="11"/>
          <w:szCs w:val="11"/>
          <w:b w:val="1"/>
          <w:bCs w:val="1"/>
          <w:i w:val="1"/>
          <w:iCs w:val="1"/>
          <w:color w:val="auto"/>
        </w:rPr>
        <w:t>artnerships</w:t>
      </w:r>
    </w:p>
    <w:p>
      <w:pPr>
        <w:spacing w:after="0" w:line="205"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JRM is the general partner of Avonwood Associates Limited Partnership and Geo Missy Limited Partnership. The Group has elected to account for its one percent ownership in each of the partnerships on the equity method of accounting as it believes that this method best reflects the position of the general partner. No income was recorded for these partnerships for the three months ended March 31, 2025.</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G</w:t>
      </w:r>
      <w:r>
        <w:rPr>
          <w:rFonts w:ascii="Times New Roman" w:cs="Times New Roman" w:eastAsia="Times New Roman" w:hAnsi="Times New Roman"/>
          <w:sz w:val="11"/>
          <w:szCs w:val="11"/>
          <w:b w:val="1"/>
          <w:bCs w:val="1"/>
          <w:i w:val="1"/>
          <w:iCs w:val="1"/>
          <w:color w:val="auto"/>
        </w:rPr>
        <w:t>uarantee</w:t>
      </w:r>
    </w:p>
    <w:p>
      <w:pPr>
        <w:spacing w:after="0" w:line="205" w:lineRule="exact"/>
        <w:rPr>
          <w:sz w:val="20"/>
          <w:szCs w:val="20"/>
          <w:color w:val="auto"/>
        </w:rPr>
      </w:pPr>
    </w:p>
    <w:p>
      <w:pPr>
        <w:jc w:val="both"/>
        <w:ind w:left="300"/>
        <w:spacing w:after="0" w:line="295" w:lineRule="auto"/>
        <w:rPr>
          <w:sz w:val="20"/>
          <w:szCs w:val="20"/>
          <w:color w:val="auto"/>
        </w:rPr>
      </w:pPr>
      <w:r>
        <w:rPr>
          <w:rFonts w:ascii="Times New Roman" w:cs="Times New Roman" w:eastAsia="Times New Roman" w:hAnsi="Times New Roman"/>
          <w:sz w:val="15"/>
          <w:szCs w:val="15"/>
          <w:color w:val="auto"/>
        </w:rPr>
        <w:t>Two operating entities in the Group, together with the owner, guarantee a $200,000,000 revolving line of credit. At March 31, 2025, the borrowing entities of the line of credit consisted of twenty-five related party real estate entities that the Group leases primary operating facilities from and are owned by the Group’s owner. The line of credit is used primarily for the purchase of operating facilities. The balance outstanding under the line of credit was $76,847,800 at March 31, 2025. The line of credit expires on September 30, 2025; however, management expects they will renew and extend the line of credit prior to September 30, 2025.</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11 - R</w:t>
      </w:r>
      <w:r>
        <w:rPr>
          <w:rFonts w:ascii="Times New Roman" w:cs="Times New Roman" w:eastAsia="Times New Roman" w:hAnsi="Times New Roman"/>
          <w:sz w:val="11"/>
          <w:szCs w:val="11"/>
          <w:b w:val="1"/>
          <w:bCs w:val="1"/>
          <w:color w:val="auto"/>
        </w:rPr>
        <w:t>etirement</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lan</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Group and its affiliated organizations maintain a 401(k) plan covering all employees who have completed one year of service and attained 18 years of age. Participants may make elective deferrals from 1% to 50% of the participant’s eligible compensation, limited to a maximum annual as set periodically by the Internal Revenue Service. Participants’ contributions are matched by the Group at the rate of 50% up to 4% of the participants’ compensation. For the three months ended March 31, 2025, contributions were $553,104 and is included in operating expenses on the accompanying combined statements of operations and comprehensive income.</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12 - S</w:t>
            </w:r>
            <w:r>
              <w:rPr>
                <w:rFonts w:ascii="Times New Roman" w:cs="Times New Roman" w:eastAsia="Times New Roman" w:hAnsi="Times New Roman"/>
                <w:sz w:val="11"/>
                <w:szCs w:val="11"/>
                <w:b w:val="1"/>
                <w:bCs w:val="1"/>
                <w:color w:val="auto"/>
              </w:rPr>
              <w:t>upplemental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ash</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1"/>
                <w:szCs w:val="11"/>
                <w:b w:val="1"/>
                <w:bCs w:val="1"/>
                <w:color w:val="auto"/>
              </w:rPr>
              <w:t>lows</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73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99"/>
              </w:rPr>
              <w:t>The following cash and non-cash transactions occurred during the three months ended March 31, 2025.</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73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0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4,904,899</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3,081,258</w:t>
            </w:r>
          </w:p>
        </w:tc>
        <w:tc>
          <w:tcPr>
            <w:tcW w:w="0" w:type="dxa"/>
            <w:vAlign w:val="bottom"/>
          </w:tcPr>
          <w:p>
            <w:pPr>
              <w:spacing w:after="0"/>
              <w:rPr>
                <w:sz w:val="1"/>
                <w:szCs w:val="1"/>
                <w:color w:val="auto"/>
              </w:rPr>
            </w:pPr>
          </w:p>
        </w:tc>
      </w:tr>
      <w:tr>
        <w:trPr>
          <w:trHeight w:val="198"/>
        </w:trPr>
        <w:tc>
          <w:tcPr>
            <w:tcW w:w="30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vMerge w:val="continue"/>
          </w:tcPr>
          <w:p>
            <w:pPr>
              <w:spacing w:after="0"/>
              <w:rPr>
                <w:sz w:val="17"/>
                <w:szCs w:val="17"/>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non-cash financing and investing activities:</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Reinvestment of investment sales proceeds through brokerage accounts</w:t>
            </w: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5,411,413</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Transfer of company vehicles to used vehicle inventory</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350,726</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loss in other comprehensive income</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34,906</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13 - C</w:t>
      </w:r>
      <w:r>
        <w:rPr>
          <w:rFonts w:ascii="Times New Roman" w:cs="Times New Roman" w:eastAsia="Times New Roman" w:hAnsi="Times New Roman"/>
          <w:sz w:val="11"/>
          <w:szCs w:val="11"/>
          <w:b w:val="1"/>
          <w:bCs w:val="1"/>
          <w:color w:val="auto"/>
        </w:rPr>
        <w:t>ontingencies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ommitments</w:t>
      </w:r>
    </w:p>
    <w:p>
      <w:pPr>
        <w:spacing w:after="0" w:line="20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The dealerships operated by the Group sell automobiles pursuant to franchise agreements with automobile manufacturers or authorized distributors of the manufacturer. Through the terms and conditions of these franchise agreements, manufacturers can exert considerable influence over the operations of the Group’s dealerships. Each franchise agreement includes provisions for the termination or non-renewal of the manufacturer-dealer relationship for a variety of causes. Under the terms of the franchise agreements, the Group is required to maintain minimum working capital requirements and other specific financial ratios. The loss of a Group’s franchise agreement could have a material adverse effect on the Group’s business, financial condition, and results of operations.</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13 - C</w:t>
      </w:r>
      <w:r>
        <w:rPr>
          <w:rFonts w:ascii="Times New Roman" w:cs="Times New Roman" w:eastAsia="Times New Roman" w:hAnsi="Times New Roman"/>
          <w:sz w:val="11"/>
          <w:szCs w:val="11"/>
          <w:b w:val="1"/>
          <w:bCs w:val="1"/>
          <w:color w:val="auto"/>
        </w:rPr>
        <w:t>ontingencies and</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ommitments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ontinued</w:t>
      </w:r>
      <w:r>
        <w:rPr>
          <w:rFonts w:ascii="Times New Roman" w:cs="Times New Roman" w:eastAsia="Times New Roman" w:hAnsi="Times New Roman"/>
          <w:sz w:val="17"/>
          <w:szCs w:val="17"/>
          <w:b w:val="1"/>
          <w:bCs w:val="1"/>
          <w:color w:val="auto"/>
        </w:rPr>
        <w:t>)</w:t>
      </w:r>
    </w:p>
    <w:p>
      <w:pPr>
        <w:spacing w:after="0" w:line="205"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participates in numerous factory incentive and warranty programs. The Group is reimbursed for these incentive and warranty claims based on individual program guidelines and rules. Such reimbursements are subject to audit and retroactive adjustments.</w:t>
      </w:r>
    </w:p>
    <w:p>
      <w:pPr>
        <w:spacing w:after="0" w:line="160" w:lineRule="exact"/>
        <w:rPr>
          <w:sz w:val="20"/>
          <w:szCs w:val="20"/>
          <w:color w:val="auto"/>
        </w:rPr>
      </w:pPr>
    </w:p>
    <w:p>
      <w:pPr>
        <w:jc w:val="both"/>
        <w:ind w:left="300"/>
        <w:spacing w:after="0" w:line="267" w:lineRule="auto"/>
        <w:rPr>
          <w:sz w:val="20"/>
          <w:szCs w:val="20"/>
          <w:color w:val="auto"/>
        </w:rPr>
      </w:pPr>
      <w:r>
        <w:rPr>
          <w:rFonts w:ascii="Times New Roman" w:cs="Times New Roman" w:eastAsia="Times New Roman" w:hAnsi="Times New Roman"/>
          <w:sz w:val="17"/>
          <w:szCs w:val="17"/>
          <w:color w:val="auto"/>
        </w:rPr>
        <w:t>The Group is involved in lawsuits in the normal course of business. Management’s assessment is that none of these matters are anticipated to have a material adverse impact on the financial position, results of operations, or cash flows of the Group.</w:t>
      </w:r>
    </w:p>
    <w:p>
      <w:pPr>
        <w:spacing w:after="0" w:line="160" w:lineRule="exact"/>
        <w:rPr>
          <w:sz w:val="20"/>
          <w:szCs w:val="20"/>
          <w:color w:val="auto"/>
        </w:rPr>
      </w:pPr>
    </w:p>
    <w:p>
      <w:pPr>
        <w:jc w:val="both"/>
        <w:ind w:left="300"/>
        <w:spacing w:after="0" w:line="255" w:lineRule="auto"/>
        <w:rPr>
          <w:sz w:val="20"/>
          <w:szCs w:val="20"/>
          <w:color w:val="auto"/>
        </w:rPr>
      </w:pPr>
      <w:r>
        <w:rPr>
          <w:rFonts w:ascii="Times New Roman" w:cs="Times New Roman" w:eastAsia="Times New Roman" w:hAnsi="Times New Roman"/>
          <w:sz w:val="17"/>
          <w:szCs w:val="17"/>
          <w:color w:val="auto"/>
        </w:rPr>
        <w:t>The Group is subject to federal and state environmental regulations, including rules relating to air and water pollution, and the storage and disposal of gasoline, oil and other chemicals and waste. Local, state and federal regulations also affect automobile dealerships’ advertising, sales and service, and financing activities. Management believes that the Group complies with all applicable laws and regulations relating to its business.</w:t>
      </w:r>
    </w:p>
    <w:p>
      <w:pPr>
        <w:spacing w:after="0" w:line="170"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17"/>
          <w:szCs w:val="17"/>
          <w:color w:val="auto"/>
        </w:rPr>
        <w:t>A significant portion of the Group’s business involves the sale of vehicles, parts, or vehicles composed of parts that are manufactured outside the United States. As a result, the Group’s operations are subject to customary risks of importing merchandise, including fluctuations in the relative values of currencies, import duties, exchange controls, trade restrictions, work stoppages and general political and socio-economic conditions in foreign countries. The United States or the countries from which the Group’s products are imported may, from time to time, impose new quotas, duties, tariffs, or other restrictions; or adjust presently prevailing quotas, duties, or tariffs, which may affect the Group’s operations and ability to purchase imported vehicles and/or parts at reasonable prices.</w:t>
      </w:r>
    </w:p>
    <w:p>
      <w:pPr>
        <w:spacing w:after="0" w:line="175" w:lineRule="exact"/>
        <w:rPr>
          <w:sz w:val="20"/>
          <w:szCs w:val="20"/>
          <w:color w:val="auto"/>
        </w:rPr>
      </w:pPr>
    </w:p>
    <w:p>
      <w:pPr>
        <w:jc w:val="both"/>
        <w:ind w:left="300"/>
        <w:spacing w:after="0" w:line="287" w:lineRule="auto"/>
        <w:rPr>
          <w:sz w:val="20"/>
          <w:szCs w:val="20"/>
          <w:color w:val="auto"/>
        </w:rPr>
      </w:pPr>
      <w:r>
        <w:rPr>
          <w:rFonts w:ascii="Times New Roman" w:cs="Times New Roman" w:eastAsia="Times New Roman" w:hAnsi="Times New Roman"/>
          <w:sz w:val="15"/>
          <w:szCs w:val="15"/>
          <w:color w:val="auto"/>
        </w:rPr>
        <w:t>On September 10, 2024, the United States Attorney’s Office sent Civil Investigative Demands to eight entities of the Group in connection with its investigation into possible violations of the False Claims Act related to applications submitted for the issuance and forgiveness of Paycheck Protection Program (PPP) loans totaling $7,659,391. The issue concerns whether these entities were eligible for the PPP loans considering an Interim Final Ruling issued by the SBA which limited businesses that are part of a single corporate group to no more than $20,000,000 of PPP loans in the aggregate. Although the Group denies any liability under the False Claims Act or any other law related to this dispute, the Group has agreed to resolve this matter with the United States Attorney’s Office with a settlement payment of $11,841,143, which has been included in accounts payable and other accrued expenses at March 31, 2025 on the accompanying combined balance sheet.</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14 -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56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Common stock is comprised of the following as of March 31, 2025:</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3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Shares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1"/>
        </w:trPr>
        <w:tc>
          <w:tcPr>
            <w:tcW w:w="3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6"/>
              </w:rPr>
              <w:t>Par</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Shares</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Issued and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3"/>
              </w:rPr>
              <w:t>Value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Authorized</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Outstanding</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Amount</w:t>
            </w:r>
          </w:p>
        </w:tc>
      </w:tr>
      <w:tr>
        <w:trPr>
          <w:trHeight w:val="191"/>
        </w:trPr>
        <w:tc>
          <w:tcPr>
            <w:tcW w:w="300" w:type="dxa"/>
            <w:vAlign w:val="bottom"/>
          </w:tcPr>
          <w:p>
            <w:pPr>
              <w:spacing w:after="0"/>
              <w:rPr>
                <w:sz w:val="16"/>
                <w:szCs w:val="16"/>
                <w:color w:val="auto"/>
              </w:rPr>
            </w:pPr>
          </w:p>
        </w:tc>
        <w:tc>
          <w:tcPr>
            <w:tcW w:w="53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Jennings Road Management Corp.</w:t>
            </w:r>
          </w:p>
        </w:tc>
        <w:tc>
          <w:tcPr>
            <w:tcW w:w="820" w:type="dxa"/>
            <w:vAlign w:val="bottom"/>
            <w:tcBorders>
              <w:top w:val="single" w:sz="8" w:color="auto"/>
            </w:tcBorders>
            <w:shd w:val="clear" w:color="auto" w:fill="CCEEFF"/>
          </w:tcPr>
          <w:p>
            <w:pPr>
              <w:jc w:val="right"/>
              <w:ind w:right="63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5,000</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Route 1,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1,500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0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I-93,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Commonwealth Avenue,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Silver Star,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shd w:val="clear" w:color="auto" w:fill="CCEEFF"/>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1172,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Cambridge Street,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Cadillac,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8,000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1186,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15,000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128,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44,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shd w:val="clear" w:color="auto" w:fill="CCEEFF"/>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Route 9,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Norwood,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50,000</w:t>
            </w: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Millbury,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2,500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Auburn,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9"/>
              </w:rPr>
              <w:t>1,630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326,000</w:t>
            </w:r>
          </w:p>
        </w:tc>
        <w:tc>
          <w:tcPr>
            <w:tcW w:w="100" w:type="dxa"/>
            <w:vAlign w:val="bottom"/>
            <w:shd w:val="clear" w:color="auto" w:fill="CCEEFF"/>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1168,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2,500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10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Dave Dinger Ford,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1,000</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284,000</w:t>
            </w:r>
          </w:p>
        </w:tc>
        <w:tc>
          <w:tcPr>
            <w:tcW w:w="100" w:type="dxa"/>
            <w:vAlign w:val="bottom"/>
            <w:shd w:val="clear" w:color="auto" w:fill="CCEEFF"/>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Westborough,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Andover Street,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22 Brighton Ave,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7"/>
                <w:szCs w:val="17"/>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Boston Post Road,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r>
    </w:tbl>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b w:val="1"/>
          <w:bCs w:val="1"/>
          <w:color w:val="auto"/>
        </w:rPr>
        <w:t>THE HERB CHAMBERS COMPANIES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COMBINED FINANCIAL STATEMENTS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14 - C</w:t>
            </w:r>
            <w:r>
              <w:rPr>
                <w:rFonts w:ascii="Times New Roman" w:cs="Times New Roman" w:eastAsia="Times New Roman" w:hAnsi="Times New Roman"/>
                <w:sz w:val="11"/>
                <w:szCs w:val="11"/>
                <w:b w:val="1"/>
                <w:bCs w:val="1"/>
                <w:color w:val="auto"/>
              </w:rPr>
              <w:t>ommon</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1"/>
                <w:szCs w:val="11"/>
                <w:b w:val="1"/>
                <w:bCs w:val="1"/>
                <w:color w:val="auto"/>
              </w:rPr>
              <w:t>continued</w:t>
            </w:r>
            <w:r>
              <w:rPr>
                <w:rFonts w:ascii="Times New Roman" w:cs="Times New Roman" w:eastAsia="Times New Roman" w:hAnsi="Times New Roman"/>
                <w:sz w:val="17"/>
                <w:szCs w:val="17"/>
                <w:b w:val="1"/>
                <w:bCs w:val="1"/>
                <w:color w:val="auto"/>
              </w:rPr>
              <w:t>)</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Shares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6"/>
              </w:rPr>
              <w:t>Par</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Shares</w:t>
            </w: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6"/>
              </w:rPr>
              <w:t>Issued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w w:val="93"/>
              </w:rPr>
              <w:t>Value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Authorized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Outstanding</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Amount</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3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Herb Chambers I-95, Inc.</w:t>
            </w:r>
          </w:p>
        </w:tc>
        <w:tc>
          <w:tcPr>
            <w:tcW w:w="820" w:type="dxa"/>
            <w:vAlign w:val="bottom"/>
            <w:tcBorders>
              <w:top w:val="single" w:sz="8" w:color="auto"/>
            </w:tcBorders>
            <w:shd w:val="clear" w:color="auto" w:fill="CCEEFF"/>
          </w:tcPr>
          <w:p>
            <w:pPr>
              <w:jc w:val="right"/>
              <w:ind w:right="63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9"/>
              </w:rPr>
              <w:t>1,250</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200</w:t>
            </w: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Wayland,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Natick,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Sudbury,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75 Otis Street,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Burlington,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of Millbury II,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Boston Turnpike,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395 Broadway, Inc.</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of Brookline, Inc.</w:t>
            </w:r>
          </w:p>
        </w:tc>
        <w:tc>
          <w:tcPr>
            <w:tcW w:w="8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Herb Chambers 1188, Inc.</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Herb Chambers 62 Cambridge Street, Inc.</w:t>
            </w:r>
          </w:p>
        </w:tc>
        <w:tc>
          <w:tcPr>
            <w:tcW w:w="8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5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50,900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26,800</w:t>
            </w: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2,689,100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ote</w:t>
            </w:r>
            <w:r>
              <w:rPr>
                <w:rFonts w:ascii="Times New Roman" w:cs="Times New Roman" w:eastAsia="Times New Roman" w:hAnsi="Times New Roman"/>
                <w:sz w:val="17"/>
                <w:szCs w:val="17"/>
                <w:b w:val="1"/>
                <w:bCs w:val="1"/>
                <w:color w:val="auto"/>
              </w:rPr>
              <w:t xml:space="preserve"> 15 – S</w:t>
            </w:r>
            <w:r>
              <w:rPr>
                <w:rFonts w:ascii="Times New Roman" w:cs="Times New Roman" w:eastAsia="Times New Roman" w:hAnsi="Times New Roman"/>
                <w:sz w:val="11"/>
                <w:szCs w:val="11"/>
                <w:b w:val="1"/>
                <w:bCs w:val="1"/>
                <w:color w:val="auto"/>
              </w:rPr>
              <w:t>ubsequent</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vent</w:t>
            </w: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6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7"/>
          <w:szCs w:val="17"/>
          <w:color w:val="auto"/>
        </w:rPr>
        <w:t>On July 21, 2025, subsequent to the combining balance sheet date, the Group completed its previously announced sale with Asbury Automotive Group, Inc. (“Asbury”) of substantially all of its assets, including real property and businesses of The Herb Chambers Companies (collectively, the “Businesses”), pursuant to a Purchase and Sale Agreement with various entities that comprise the Herb Chambers automotive dealership group for an aggregate net sale price of approximately $1.45 billion, which includes $750 million for goodwill, approximately $610 million for the real estate and leasehold improvements, and approximately $85 million for new vehicles, used vehicles, service loaners vehicles, fixed assets, parts and supplies, which is net of non-manufacturer floorplan of $375 million. The Businesses includes 33 dealerships, 52 franchises and three collision centers. The Group will retain ownership of the Mercedes-Benz of Boston dealership in Somerville, Massachusetts (Herb Chambers I-93, Inc.).</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375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FINANCIAL INFORMATION</w:t>
      </w:r>
    </w:p>
    <w:p>
      <w:pPr>
        <w:spacing w:after="0" w:line="205" w:lineRule="exact"/>
        <w:rPr>
          <w:sz w:val="20"/>
          <w:szCs w:val="20"/>
          <w:color w:val="auto"/>
        </w:rPr>
      </w:pPr>
    </w:p>
    <w:p>
      <w:pPr>
        <w:ind w:right="300" w:firstLine="297"/>
        <w:spacing w:after="0" w:line="24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presented below is derived from the historical consolidated financial statements of Asbury Automotive Group, Inc. (the "Company") and the historical combined financial statements of The Herb Chambers Companies (the "Herb Chambers Dealerships"), as adjusted, to give effect to the recently completed acquisition (the “Acquisition”) of substantially all of the assets, including real property and businesses of the Herb Chambers Dealerships (collectively, the "Businesses"), which includes 33 dealerships, 52 franchises and three collision centers, pursuant to the Asset Purchase Agreement (the “Asset Purchase Agreement”), executed on July 21, 2025.</w:t>
      </w:r>
    </w:p>
    <w:p>
      <w:pPr>
        <w:spacing w:after="0" w:line="175" w:lineRule="exact"/>
        <w:rPr>
          <w:sz w:val="20"/>
          <w:szCs w:val="20"/>
          <w:color w:val="auto"/>
        </w:rPr>
      </w:pPr>
    </w:p>
    <w:p>
      <w:pPr>
        <w:ind w:right="140" w:firstLine="297"/>
        <w:spacing w:after="0" w:line="251" w:lineRule="auto"/>
        <w:rPr>
          <w:sz w:val="20"/>
          <w:szCs w:val="20"/>
          <w:color w:val="auto"/>
        </w:rPr>
      </w:pPr>
      <w:r>
        <w:rPr>
          <w:rFonts w:ascii="Times New Roman" w:cs="Times New Roman" w:eastAsia="Times New Roman" w:hAnsi="Times New Roman"/>
          <w:sz w:val="17"/>
          <w:szCs w:val="17"/>
          <w:color w:val="auto"/>
        </w:rPr>
        <w:t>The unaudited pro forma condensed financial information also reflects the drawdown of $298.4 million under the new vehicle floor plan facility in our 2023 Senior Credit Facility (the “New Vehicle Floor Plan Facility”), $300.0 million under the used vehicle floor plan facility in our 2023 Senior Credit Facility (the “Used Vehicle Floor Plan Facility”), $650.0 million under the Revolving Credit Facility, $546.5 million under a real estate term loan agreement (the "Real Estate Credit Agreement") and $46.3 million of cash on hand used to fund the purchase price, collectively referred to as the "Financing Adjustments."</w:t>
      </w:r>
    </w:p>
    <w:p>
      <w:pPr>
        <w:spacing w:after="0" w:line="173" w:lineRule="exact"/>
        <w:rPr>
          <w:sz w:val="20"/>
          <w:szCs w:val="20"/>
          <w:color w:val="auto"/>
        </w:rPr>
      </w:pPr>
    </w:p>
    <w:p>
      <w:pPr>
        <w:ind w:right="280" w:firstLine="297"/>
        <w:spacing w:after="0" w:line="267" w:lineRule="auto"/>
        <w:rPr>
          <w:sz w:val="20"/>
          <w:szCs w:val="20"/>
          <w:color w:val="auto"/>
        </w:rPr>
      </w:pPr>
      <w:r>
        <w:rPr>
          <w:rFonts w:ascii="Times New Roman" w:cs="Times New Roman" w:eastAsia="Times New Roman" w:hAnsi="Times New Roman"/>
          <w:sz w:val="17"/>
          <w:szCs w:val="17"/>
          <w:color w:val="auto"/>
        </w:rPr>
        <w:t>All references to the “Combined Company” refer to the historical consolidated financial statements of the Company and the combined financial statements of the Herb Chambers Dealerships, after giving pro forma effect to the Acquisition, collectively referred to as the "Pro Forma Transaction."</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unaudited pro forma condensed combined financial information should be read in conjunction with the following financial statements:</w:t>
      </w:r>
    </w:p>
    <w:p>
      <w:pPr>
        <w:spacing w:after="0" w:line="201" w:lineRule="exact"/>
        <w:rPr>
          <w:sz w:val="20"/>
          <w:szCs w:val="20"/>
          <w:color w:val="auto"/>
        </w:rPr>
      </w:pPr>
    </w:p>
    <w:p>
      <w:pPr>
        <w:ind w:left="920" w:right="240" w:hanging="289"/>
        <w:spacing w:after="0" w:line="267"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year ended December 31, 2024 filed with the Securities and Exchange Commission (the "SEC") on February 26, 2025;</w:t>
      </w:r>
    </w:p>
    <w:p>
      <w:pPr>
        <w:spacing w:after="0" w:line="159" w:lineRule="exact"/>
        <w:rPr>
          <w:rFonts w:ascii="Times New Roman" w:cs="Times New Roman" w:eastAsia="Times New Roman" w:hAnsi="Times New Roman"/>
          <w:sz w:val="17"/>
          <w:szCs w:val="17"/>
          <w:color w:val="auto"/>
        </w:rPr>
      </w:pPr>
    </w:p>
    <w:p>
      <w:pPr>
        <w:ind w:left="920" w:hanging="289"/>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Quarterly Report on Form 10-Q for the three months ended March 31, 2025 filed with the SEC on April 30, 2025;</w:t>
      </w:r>
    </w:p>
    <w:p>
      <w:pPr>
        <w:spacing w:after="0" w:line="200" w:lineRule="exact"/>
        <w:rPr>
          <w:rFonts w:ascii="Times New Roman" w:cs="Times New Roman" w:eastAsia="Times New Roman" w:hAnsi="Times New Roman"/>
          <w:sz w:val="17"/>
          <w:szCs w:val="17"/>
          <w:color w:val="auto"/>
        </w:rPr>
      </w:pPr>
    </w:p>
    <w:p>
      <w:pPr>
        <w:ind w:left="920" w:right="460" w:hanging="289"/>
        <w:spacing w:after="0" w:line="267"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audited combined financial statements of The Herb Chambers Companies as of and for the year ended December 31, 2024, which are included in Exhibit 99.2 to this Current Report on Form 8-K; and</w:t>
      </w:r>
    </w:p>
    <w:p>
      <w:pPr>
        <w:spacing w:after="0" w:line="159" w:lineRule="exact"/>
        <w:rPr>
          <w:rFonts w:ascii="Times New Roman" w:cs="Times New Roman" w:eastAsia="Times New Roman" w:hAnsi="Times New Roman"/>
          <w:sz w:val="17"/>
          <w:szCs w:val="17"/>
          <w:color w:val="auto"/>
        </w:rPr>
      </w:pPr>
    </w:p>
    <w:p>
      <w:pPr>
        <w:ind w:left="920" w:right="140" w:hanging="289"/>
        <w:spacing w:after="0" w:line="267" w:lineRule="auto"/>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combined financial statements of The Herb Chambers Companies as of and for the three months ended March 31, 2025, which are included in Exhibit 99.3 to this Current Report on Form 8-K.</w:t>
      </w:r>
    </w:p>
    <w:p>
      <w:pPr>
        <w:spacing w:after="0" w:line="160" w:lineRule="exact"/>
        <w:rPr>
          <w:sz w:val="20"/>
          <w:szCs w:val="20"/>
          <w:color w:val="auto"/>
        </w:rPr>
      </w:pPr>
    </w:p>
    <w:p>
      <w:pPr>
        <w:ind w:firstLine="297"/>
        <w:spacing w:after="0" w:line="248" w:lineRule="auto"/>
        <w:rPr>
          <w:sz w:val="20"/>
          <w:szCs w:val="20"/>
          <w:color w:val="auto"/>
        </w:rPr>
      </w:pPr>
      <w:r>
        <w:rPr>
          <w:rFonts w:ascii="Times New Roman" w:cs="Times New Roman" w:eastAsia="Times New Roman" w:hAnsi="Times New Roman"/>
          <w:sz w:val="17"/>
          <w:szCs w:val="17"/>
          <w:color w:val="auto"/>
        </w:rPr>
        <w:t xml:space="preserve">The unaudited pro forma condensed combined financial information has been prepared using the acquisition method of accounting under Accounting Standards Codification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acquisition accounting is based on preliminary estimated valuation and other studies to the extent sufficient information is available. The Company will update its preliminary estimated valuation and finalize the acquisition accounting as soon as practicable within the required measurement period. These preliminary estimates are subject to change as the Company finalizes its valuation studies related to assets acquired and liabilities assumed, including identifiable intangible assets and fixed assets. These changes could have a material effect on the accompanying unaudited pro forma condensed combined financial information and the Combined Company's future results of operations and financial position.</w:t>
      </w:r>
    </w:p>
    <w:p>
      <w:pPr>
        <w:spacing w:after="0" w:line="176" w:lineRule="exact"/>
        <w:rPr>
          <w:sz w:val="20"/>
          <w:szCs w:val="20"/>
          <w:color w:val="auto"/>
        </w:rPr>
      </w:pPr>
    </w:p>
    <w:p>
      <w:pPr>
        <w:ind w:right="380" w:firstLine="297"/>
        <w:spacing w:after="0" w:line="267" w:lineRule="auto"/>
        <w:rPr>
          <w:sz w:val="20"/>
          <w:szCs w:val="20"/>
          <w:color w:val="auto"/>
        </w:rPr>
      </w:pPr>
      <w:r>
        <w:rPr>
          <w:rFonts w:ascii="Times New Roman" w:cs="Times New Roman" w:eastAsia="Times New Roman" w:hAnsi="Times New Roman"/>
          <w:sz w:val="17"/>
          <w:szCs w:val="17"/>
          <w:color w:val="auto"/>
        </w:rPr>
        <w:t>Assumptions underlying the pro forma adjustments are described in the accompanying notes, which should be read in conjunction with the unaudited pro forma condensed combined financial information of the Combined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b w:val="1"/>
          <w:bCs w:val="1"/>
          <w:color w:val="auto"/>
        </w:rPr>
        <w:t>ASBURY AUTOMOTIVE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Asbury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Herb</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rPr>
              <w:t>Chambers</w:t>
            </w: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Divestitures</w:t>
            </w: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6"/>
        </w:trPr>
        <w:tc>
          <w:tcPr>
            <w:tcW w:w="3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rPr>
              <w:t>Dealerships</w:t>
            </w:r>
          </w:p>
        </w:tc>
        <w:tc>
          <w:tcPr>
            <w:tcW w:w="140" w:type="dxa"/>
            <w:vAlign w:val="bottom"/>
          </w:tcPr>
          <w:p>
            <w:pPr>
              <w:spacing w:after="0"/>
              <w:rPr>
                <w:sz w:val="11"/>
                <w:szCs w:val="11"/>
                <w:color w:val="auto"/>
              </w:rPr>
            </w:pPr>
          </w:p>
        </w:tc>
        <w:tc>
          <w:tcPr>
            <w:tcW w:w="1320" w:type="dxa"/>
            <w:vAlign w:val="bottom"/>
            <w:gridSpan w:val="2"/>
          </w:tcPr>
          <w:p>
            <w:pPr>
              <w:jc w:val="center"/>
              <w:ind w:right="480"/>
              <w:spacing w:after="0" w:line="136"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441"/>
              <w:spacing w:after="0" w:line="136"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Group, Inc.</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(Note 2)</w:t>
            </w:r>
          </w:p>
        </w:tc>
        <w:tc>
          <w:tcPr>
            <w:tcW w:w="140" w:type="dxa"/>
            <w:vAlign w:val="bottom"/>
          </w:tcPr>
          <w:p>
            <w:pPr>
              <w:spacing w:after="0"/>
              <w:rPr>
                <w:sz w:val="13"/>
                <w:szCs w:val="13"/>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100" w:type="dxa"/>
            <w:vAlign w:val="bottom"/>
          </w:tcPr>
          <w:p>
            <w:pPr>
              <w:spacing w:after="0"/>
              <w:rPr>
                <w:sz w:val="13"/>
                <w:szCs w:val="13"/>
                <w:color w:val="auto"/>
              </w:rPr>
            </w:pPr>
          </w:p>
        </w:tc>
        <w:tc>
          <w:tcPr>
            <w:tcW w:w="1120" w:type="dxa"/>
            <w:vAlign w:val="bottom"/>
            <w:gridSpan w:val="2"/>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(Note 4)</w:t>
            </w:r>
          </w:p>
        </w:tc>
        <w:tc>
          <w:tcPr>
            <w:tcW w:w="140" w:type="dxa"/>
            <w:vAlign w:val="bottom"/>
          </w:tcPr>
          <w:p>
            <w:pPr>
              <w:spacing w:after="0"/>
              <w:rPr>
                <w:sz w:val="13"/>
                <w:szCs w:val="13"/>
                <w:color w:val="auto"/>
              </w:rPr>
            </w:pPr>
          </w:p>
        </w:tc>
        <w:tc>
          <w:tcPr>
            <w:tcW w:w="1320" w:type="dxa"/>
            <w:vAlign w:val="bottom"/>
            <w:gridSpan w:val="2"/>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w w:val="98"/>
              </w:rPr>
              <w:t>(Note 5)</w:t>
            </w:r>
          </w:p>
        </w:tc>
        <w:tc>
          <w:tcPr>
            <w:tcW w:w="160" w:type="dxa"/>
            <w:vAlign w:val="bottom"/>
          </w:tcPr>
          <w:p>
            <w:pPr>
              <w:spacing w:after="0"/>
              <w:rPr>
                <w:sz w:val="13"/>
                <w:szCs w:val="13"/>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tcBorders>
            <w:shd w:val="clear" w:color="auto" w:fill="CCEEFF"/>
          </w:tcPr>
          <w:p>
            <w:pPr>
              <w:ind w:left="1320"/>
              <w:spacing w:after="0" w:line="12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gridSpan w:val="2"/>
            <w:shd w:val="clear" w:color="auto" w:fill="CCEEFF"/>
          </w:tcPr>
          <w:p>
            <w:pPr>
              <w:jc w:val="right"/>
              <w:ind w:right="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124.6</w:t>
            </w:r>
          </w:p>
        </w:tc>
        <w:tc>
          <w:tcPr>
            <w:tcW w:w="260" w:type="dxa"/>
            <w:vAlign w:val="bottom"/>
            <w:gridSpan w:val="2"/>
            <w:shd w:val="clear" w:color="auto" w:fill="CCEEFF"/>
          </w:tcPr>
          <w:p>
            <w:pPr>
              <w:jc w:val="right"/>
              <w:ind w:right="2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93.4</w:t>
            </w:r>
          </w:p>
        </w:tc>
        <w:tc>
          <w:tcPr>
            <w:tcW w:w="1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(93.4)a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145.0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01"/>
              <w:spacing w:after="0" w:line="136" w:lineRule="exact"/>
              <w:rPr>
                <w:sz w:val="20"/>
                <w:szCs w:val="20"/>
                <w:color w:val="auto"/>
              </w:rPr>
            </w:pPr>
            <w:r>
              <w:rPr>
                <w:rFonts w:ascii="Times New Roman" w:cs="Times New Roman" w:eastAsia="Times New Roman" w:hAnsi="Times New Roman"/>
                <w:sz w:val="13"/>
                <w:szCs w:val="13"/>
                <w:color w:val="auto"/>
              </w:rPr>
              <w:t>(46.3)o</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223.3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Short-term investments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74.7</w:t>
            </w:r>
          </w:p>
        </w:tc>
        <w:tc>
          <w:tcPr>
            <w:tcW w:w="140" w:type="dxa"/>
            <w:vAlign w:val="bottom"/>
          </w:tcPr>
          <w:p>
            <w:pPr>
              <w:spacing w:after="0"/>
              <w:rPr>
                <w:sz w:val="11"/>
                <w:szCs w:val="11"/>
                <w:color w:val="auto"/>
              </w:rPr>
            </w:pP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(74.7)a</w:t>
            </w:r>
          </w:p>
        </w:tc>
        <w:tc>
          <w:tcPr>
            <w:tcW w:w="100" w:type="dxa"/>
            <w:vAlign w:val="bottom"/>
          </w:tcPr>
          <w:p>
            <w:pPr>
              <w:spacing w:after="0"/>
              <w:rPr>
                <w:sz w:val="11"/>
                <w:szCs w:val="11"/>
                <w:color w:val="auto"/>
              </w:rPr>
            </w:pPr>
          </w:p>
        </w:tc>
        <w:tc>
          <w:tcPr>
            <w:tcW w:w="1120" w:type="dxa"/>
            <w:vAlign w:val="bottom"/>
            <w:gridSpan w:val="2"/>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Contracts-in-transit, net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263.9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50.5</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(50.5)a</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263.9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Accounts receivable, net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264.7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30.1</w:t>
            </w:r>
          </w:p>
        </w:tc>
        <w:tc>
          <w:tcPr>
            <w:tcW w:w="140" w:type="dxa"/>
            <w:vAlign w:val="bottom"/>
          </w:tcPr>
          <w:p>
            <w:pPr>
              <w:spacing w:after="0"/>
              <w:rPr>
                <w:sz w:val="11"/>
                <w:szCs w:val="11"/>
                <w:color w:val="auto"/>
              </w:rPr>
            </w:pP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(30.1)a</w:t>
            </w:r>
          </w:p>
        </w:tc>
        <w:tc>
          <w:tcPr>
            <w:tcW w:w="100" w:type="dxa"/>
            <w:vAlign w:val="bottom"/>
          </w:tcPr>
          <w:p>
            <w:pPr>
              <w:spacing w:after="0"/>
              <w:rPr>
                <w:sz w:val="11"/>
                <w:szCs w:val="11"/>
                <w:color w:val="auto"/>
              </w:rPr>
            </w:pPr>
          </w:p>
        </w:tc>
        <w:tc>
          <w:tcPr>
            <w:tcW w:w="1120" w:type="dxa"/>
            <w:vAlign w:val="bottom"/>
            <w:gridSpan w:val="2"/>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264.7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Inventories, net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1,822.4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405.5</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0.6 b</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(8.5)</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2,220.0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Assets held for sale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409.9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3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(119.8)</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Other current assets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355.1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55.0</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(6.4)a,f</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(0.5)</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403.2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3,247.1</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709.1</w:t>
            </w: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color w:val="auto"/>
              </w:rPr>
              <w:t>(254.4)</w:t>
            </w:r>
          </w:p>
        </w:tc>
        <w:tc>
          <w:tcPr>
            <w:tcW w:w="1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16.2</w:t>
            </w: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261"/>
              <w:spacing w:after="0" w:line="129" w:lineRule="exact"/>
              <w:rPr>
                <w:sz w:val="20"/>
                <w:szCs w:val="20"/>
                <w:color w:val="auto"/>
              </w:rPr>
            </w:pPr>
            <w:r>
              <w:rPr>
                <w:rFonts w:ascii="Times New Roman" w:cs="Times New Roman" w:eastAsia="Times New Roman" w:hAnsi="Times New Roman"/>
                <w:sz w:val="13"/>
                <w:szCs w:val="13"/>
                <w:color w:val="auto"/>
              </w:rPr>
              <w:t>(46.3)</w:t>
            </w:r>
          </w:p>
        </w:tc>
        <w:tc>
          <w:tcPr>
            <w:tcW w:w="1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3,671.8</w:t>
            </w: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INVESTMENTS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358.9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(1.2)a</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358.9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PROPERTY AND EQUIPMENT, net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2,475.1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21.1</w:t>
            </w:r>
          </w:p>
        </w:tc>
        <w:tc>
          <w:tcPr>
            <w:tcW w:w="140" w:type="dxa"/>
            <w:vAlign w:val="bottom"/>
          </w:tcPr>
          <w:p>
            <w:pPr>
              <w:spacing w:after="0"/>
              <w:rPr>
                <w:sz w:val="11"/>
                <w:szCs w:val="11"/>
                <w:color w:val="auto"/>
              </w:rPr>
            </w:pPr>
          </w:p>
        </w:tc>
        <w:tc>
          <w:tcPr>
            <w:tcW w:w="1320" w:type="dxa"/>
            <w:vAlign w:val="bottom"/>
            <w:gridSpan w:val="2"/>
          </w:tcPr>
          <w:p>
            <w:pPr>
              <w:ind w:left="680"/>
              <w:spacing w:after="0" w:line="136" w:lineRule="exact"/>
              <w:rPr>
                <w:sz w:val="20"/>
                <w:szCs w:val="20"/>
                <w:color w:val="auto"/>
              </w:rPr>
            </w:pPr>
            <w:r>
              <w:rPr>
                <w:rFonts w:ascii="Times New Roman" w:cs="Times New Roman" w:eastAsia="Times New Roman" w:hAnsi="Times New Roman"/>
                <w:sz w:val="13"/>
                <w:szCs w:val="13"/>
                <w:color w:val="auto"/>
              </w:rPr>
              <w:t>608.1 c</w:t>
            </w:r>
          </w:p>
        </w:tc>
        <w:tc>
          <w:tcPr>
            <w:tcW w:w="100" w:type="dxa"/>
            <w:vAlign w:val="bottom"/>
          </w:tcPr>
          <w:p>
            <w:pPr>
              <w:spacing w:after="0"/>
              <w:rPr>
                <w:sz w:val="11"/>
                <w:szCs w:val="11"/>
                <w:color w:val="auto"/>
              </w:rPr>
            </w:pPr>
          </w:p>
        </w:tc>
        <w:tc>
          <w:tcPr>
            <w:tcW w:w="1120" w:type="dxa"/>
            <w:vAlign w:val="bottom"/>
            <w:gridSpan w:val="2"/>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(14.2)</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3,090.1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OPERATING LEASE RIGHT-OF-USE-ASSETS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218.0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211.9</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(184.2)a,d</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245.7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1,976.2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31.6</w:t>
            </w:r>
          </w:p>
        </w:tc>
        <w:tc>
          <w:tcPr>
            <w:tcW w:w="140" w:type="dxa"/>
            <w:vAlign w:val="bottom"/>
          </w:tcPr>
          <w:p>
            <w:pPr>
              <w:spacing w:after="0"/>
              <w:rPr>
                <w:sz w:val="11"/>
                <w:szCs w:val="11"/>
                <w:color w:val="auto"/>
              </w:rPr>
            </w:pPr>
          </w:p>
        </w:tc>
        <w:tc>
          <w:tcPr>
            <w:tcW w:w="1320" w:type="dxa"/>
            <w:vAlign w:val="bottom"/>
            <w:gridSpan w:val="2"/>
          </w:tcPr>
          <w:p>
            <w:pPr>
              <w:ind w:left="680"/>
              <w:spacing w:after="0" w:line="136" w:lineRule="exact"/>
              <w:rPr>
                <w:sz w:val="20"/>
                <w:szCs w:val="20"/>
                <w:color w:val="auto"/>
              </w:rPr>
            </w:pPr>
            <w:r>
              <w:rPr>
                <w:rFonts w:ascii="Times New Roman" w:cs="Times New Roman" w:eastAsia="Times New Roman" w:hAnsi="Times New Roman"/>
                <w:sz w:val="13"/>
                <w:szCs w:val="13"/>
                <w:color w:val="auto"/>
              </w:rPr>
              <w:t>255.2 a,e</w:t>
            </w:r>
          </w:p>
        </w:tc>
        <w:tc>
          <w:tcPr>
            <w:tcW w:w="100" w:type="dxa"/>
            <w:vAlign w:val="bottom"/>
          </w:tcPr>
          <w:p>
            <w:pPr>
              <w:spacing w:after="0"/>
              <w:rPr>
                <w:sz w:val="11"/>
                <w:szCs w:val="11"/>
                <w:color w:val="auto"/>
              </w:rPr>
            </w:pPr>
          </w:p>
        </w:tc>
        <w:tc>
          <w:tcPr>
            <w:tcW w:w="1120" w:type="dxa"/>
            <w:vAlign w:val="bottom"/>
            <w:gridSpan w:val="2"/>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(0.8)</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2,262.2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INTANGIBLE FRANCHISE RIGHTS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1,816.9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ind w:left="680"/>
              <w:spacing w:after="0" w:line="136" w:lineRule="exact"/>
              <w:rPr>
                <w:sz w:val="20"/>
                <w:szCs w:val="20"/>
                <w:color w:val="auto"/>
              </w:rPr>
            </w:pPr>
            <w:r>
              <w:rPr>
                <w:rFonts w:ascii="Times New Roman" w:cs="Times New Roman" w:eastAsia="Times New Roman" w:hAnsi="Times New Roman"/>
                <w:sz w:val="13"/>
                <w:szCs w:val="13"/>
                <w:color w:val="auto"/>
              </w:rPr>
              <w:t>463.2 e</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(6.1)</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2,274.0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OTHER LONG-TERM ASSETS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128.9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105.6</w:t>
            </w:r>
          </w:p>
        </w:tc>
        <w:tc>
          <w:tcPr>
            <w:tcW w:w="140" w:type="dxa"/>
            <w:vAlign w:val="bottom"/>
          </w:tcPr>
          <w:p>
            <w:pPr>
              <w:spacing w:after="0"/>
              <w:rPr>
                <w:sz w:val="11"/>
                <w:szCs w:val="11"/>
                <w:color w:val="auto"/>
              </w:rPr>
            </w:pP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(105.6)a</w:t>
            </w:r>
          </w:p>
        </w:tc>
        <w:tc>
          <w:tcPr>
            <w:tcW w:w="100" w:type="dxa"/>
            <w:vAlign w:val="bottom"/>
          </w:tcPr>
          <w:p>
            <w:pPr>
              <w:spacing w:after="0"/>
              <w:rPr>
                <w:sz w:val="11"/>
                <w:szCs w:val="11"/>
                <w:color w:val="auto"/>
              </w:rPr>
            </w:pPr>
          </w:p>
        </w:tc>
        <w:tc>
          <w:tcPr>
            <w:tcW w:w="1120" w:type="dxa"/>
            <w:vAlign w:val="bottom"/>
            <w:gridSpan w:val="2"/>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101"/>
              <w:spacing w:after="0" w:line="136" w:lineRule="exact"/>
              <w:rPr>
                <w:sz w:val="20"/>
                <w:szCs w:val="20"/>
                <w:color w:val="auto"/>
              </w:rPr>
            </w:pPr>
            <w:r>
              <w:rPr>
                <w:rFonts w:ascii="Times New Roman" w:cs="Times New Roman" w:eastAsia="Times New Roman" w:hAnsi="Times New Roman"/>
                <w:sz w:val="13"/>
                <w:szCs w:val="13"/>
                <w:color w:val="auto"/>
              </w:rPr>
              <w:t>1.6 n,o</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20" w:type="dxa"/>
            <w:vAlign w:val="bottom"/>
            <w:tcBorders>
              <w:top w:val="single" w:sz="8" w:color="CCEEFF"/>
              <w:bottom w:val="single" w:sz="8" w:color="CCEEFF"/>
            </w:tcBorders>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10,221.0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1,080.5</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781.1</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22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(44.7</w:t>
            </w:r>
          </w:p>
        </w:tc>
        <w:tc>
          <w:tcPr>
            <w:tcW w:w="340" w:type="dxa"/>
            <w:vAlign w:val="bottom"/>
            <w:tcBorders>
              <w:top w:val="single" w:sz="8" w:color="CCEEFF"/>
              <w:bottom w:val="single" w:sz="8" w:color="CCEEFF"/>
            </w:tcBorders>
            <w:shd w:val="clear" w:color="auto" w:fill="CCEEFF"/>
          </w:tcPr>
          <w:p>
            <w:pPr>
              <w:jc w:val="right"/>
              <w:ind w:right="261"/>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12,033.2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Floor plan notes payable—trade, net</w:t>
            </w:r>
          </w:p>
        </w:tc>
        <w:tc>
          <w:tcPr>
            <w:tcW w:w="240" w:type="dxa"/>
            <w:vAlign w:val="bottom"/>
            <w:gridSpan w:val="2"/>
          </w:tcPr>
          <w:p>
            <w:pPr>
              <w:jc w:val="right"/>
              <w:ind w:right="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261.8</w:t>
            </w:r>
          </w:p>
        </w:tc>
        <w:tc>
          <w:tcPr>
            <w:tcW w:w="260" w:type="dxa"/>
            <w:vAlign w:val="bottom"/>
            <w:gridSpan w:val="2"/>
          </w:tcPr>
          <w:p>
            <w:pPr>
              <w:jc w:val="right"/>
              <w:ind w:right="2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114.5</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(114.5)a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261.8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Floor plan notes payable—non-trade, net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1,201.6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290.3</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(290.3)a</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(12.5)</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01"/>
              <w:spacing w:after="0" w:line="136" w:lineRule="exact"/>
              <w:rPr>
                <w:sz w:val="20"/>
                <w:szCs w:val="20"/>
                <w:color w:val="auto"/>
              </w:rPr>
            </w:pPr>
            <w:r>
              <w:rPr>
                <w:rFonts w:ascii="Times New Roman" w:cs="Times New Roman" w:eastAsia="Times New Roman" w:hAnsi="Times New Roman"/>
                <w:sz w:val="13"/>
                <w:szCs w:val="13"/>
                <w:color w:val="auto"/>
              </w:rPr>
              <w:t>598.4 o</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1,787.5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Current maturities of long-term debt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113.4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0.4</w:t>
            </w:r>
          </w:p>
        </w:tc>
        <w:tc>
          <w:tcPr>
            <w:tcW w:w="140" w:type="dxa"/>
            <w:vAlign w:val="bottom"/>
          </w:tcPr>
          <w:p>
            <w:pPr>
              <w:spacing w:after="0"/>
              <w:rPr>
                <w:sz w:val="11"/>
                <w:szCs w:val="11"/>
                <w:color w:val="auto"/>
              </w:rPr>
            </w:pPr>
          </w:p>
        </w:tc>
        <w:tc>
          <w:tcPr>
            <w:tcW w:w="13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(0.4)a</w:t>
            </w:r>
          </w:p>
        </w:tc>
        <w:tc>
          <w:tcPr>
            <w:tcW w:w="100" w:type="dxa"/>
            <w:vAlign w:val="bottom"/>
          </w:tcPr>
          <w:p>
            <w:pPr>
              <w:spacing w:after="0"/>
              <w:rPr>
                <w:sz w:val="11"/>
                <w:szCs w:val="11"/>
                <w:color w:val="auto"/>
              </w:rPr>
            </w:pPr>
          </w:p>
        </w:tc>
        <w:tc>
          <w:tcPr>
            <w:tcW w:w="1120" w:type="dxa"/>
            <w:vAlign w:val="bottom"/>
            <w:gridSpan w:val="2"/>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113.4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Current maturities of operating leases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42.2</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(42.2)a</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Accounts payable and accrued liabilities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764.5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114.8</w:t>
            </w:r>
          </w:p>
        </w:tc>
        <w:tc>
          <w:tcPr>
            <w:tcW w:w="140" w:type="dxa"/>
            <w:vAlign w:val="bottom"/>
          </w:tcPr>
          <w:p>
            <w:pPr>
              <w:spacing w:after="0"/>
              <w:rPr>
                <w:sz w:val="11"/>
                <w:szCs w:val="11"/>
                <w:color w:val="auto"/>
              </w:rPr>
            </w:pPr>
          </w:p>
        </w:tc>
        <w:tc>
          <w:tcPr>
            <w:tcW w:w="132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(66.0)a,f</w:t>
            </w:r>
          </w:p>
        </w:tc>
        <w:tc>
          <w:tcPr>
            <w:tcW w:w="100" w:type="dxa"/>
            <w:vAlign w:val="bottom"/>
          </w:tcPr>
          <w:p>
            <w:pPr>
              <w:spacing w:after="0"/>
              <w:rPr>
                <w:sz w:val="11"/>
                <w:szCs w:val="11"/>
                <w:color w:val="auto"/>
              </w:rPr>
            </w:pPr>
          </w:p>
        </w:tc>
        <w:tc>
          <w:tcPr>
            <w:tcW w:w="1120" w:type="dxa"/>
            <w:vAlign w:val="bottom"/>
            <w:gridSpan w:val="2"/>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810.0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Deferred revenue—current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239.0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239.0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2,607.6</w:t>
            </w: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562.4</w:t>
            </w: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color w:val="auto"/>
              </w:rPr>
              <w:t>(513.5)</w:t>
            </w:r>
          </w:p>
        </w:tc>
        <w:tc>
          <w:tcPr>
            <w:tcW w:w="100" w:type="dxa"/>
            <w:vAlign w:val="bottom"/>
          </w:tcPr>
          <w:p>
            <w:pPr>
              <w:spacing w:after="0"/>
              <w:rPr>
                <w:sz w:val="11"/>
                <w:szCs w:val="11"/>
                <w:color w:val="auto"/>
              </w:rPr>
            </w:pPr>
          </w:p>
        </w:tc>
        <w:tc>
          <w:tcPr>
            <w:tcW w:w="1120" w:type="dxa"/>
            <w:vAlign w:val="bottom"/>
            <w:gridSpan w:val="2"/>
          </w:tcPr>
          <w:p>
            <w:pPr>
              <w:jc w:val="right"/>
              <w:ind w:right="141"/>
              <w:spacing w:after="0" w:line="129" w:lineRule="exact"/>
              <w:rPr>
                <w:sz w:val="20"/>
                <w:szCs w:val="20"/>
                <w:color w:val="auto"/>
              </w:rPr>
            </w:pPr>
            <w:r>
              <w:rPr>
                <w:rFonts w:ascii="Times New Roman" w:cs="Times New Roman" w:eastAsia="Times New Roman" w:hAnsi="Times New Roman"/>
                <w:sz w:val="13"/>
                <w:szCs w:val="13"/>
                <w:color w:val="auto"/>
              </w:rPr>
              <w:t>(15.8)</w:t>
            </w:r>
          </w:p>
        </w:tc>
        <w:tc>
          <w:tcPr>
            <w:tcW w:w="14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598.4</w:t>
            </w:r>
          </w:p>
        </w:tc>
        <w:tc>
          <w:tcPr>
            <w:tcW w:w="3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3,239.0</w:t>
            </w: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LONG-TERM DEBT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3,015.1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(1.4)a</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(41.9)</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01"/>
              <w:spacing w:after="0" w:line="136" w:lineRule="exact"/>
              <w:rPr>
                <w:sz w:val="20"/>
                <w:szCs w:val="20"/>
                <w:color w:val="auto"/>
              </w:rPr>
            </w:pPr>
            <w:r>
              <w:rPr>
                <w:rFonts w:ascii="Times New Roman" w:cs="Times New Roman" w:eastAsia="Times New Roman" w:hAnsi="Times New Roman"/>
                <w:sz w:val="13"/>
                <w:szCs w:val="13"/>
                <w:color w:val="auto"/>
              </w:rPr>
              <w:t>1,190.8 n,o</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4,164.0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LONG-TERM LEASE LIABILITY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198.8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169.5</w:t>
            </w:r>
          </w:p>
        </w:tc>
        <w:tc>
          <w:tcPr>
            <w:tcW w:w="140" w:type="dxa"/>
            <w:vAlign w:val="bottom"/>
          </w:tcPr>
          <w:p>
            <w:pPr>
              <w:spacing w:after="0"/>
              <w:rPr>
                <w:sz w:val="11"/>
                <w:szCs w:val="11"/>
                <w:color w:val="auto"/>
              </w:rPr>
            </w:pPr>
          </w:p>
        </w:tc>
        <w:tc>
          <w:tcPr>
            <w:tcW w:w="132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(141.8)a,d</w:t>
            </w:r>
          </w:p>
        </w:tc>
        <w:tc>
          <w:tcPr>
            <w:tcW w:w="100" w:type="dxa"/>
            <w:vAlign w:val="bottom"/>
          </w:tcPr>
          <w:p>
            <w:pPr>
              <w:spacing w:after="0"/>
              <w:rPr>
                <w:sz w:val="11"/>
                <w:szCs w:val="11"/>
                <w:color w:val="auto"/>
              </w:rPr>
            </w:pPr>
          </w:p>
        </w:tc>
        <w:tc>
          <w:tcPr>
            <w:tcW w:w="1120" w:type="dxa"/>
            <w:vAlign w:val="bottom"/>
            <w:gridSpan w:val="2"/>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226.5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529.3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529.3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DEFERRED INCOME TAXES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185.2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3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120" w:type="dxa"/>
            <w:vAlign w:val="bottom"/>
            <w:gridSpan w:val="2"/>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320" w:type="dxa"/>
            <w:vAlign w:val="bottom"/>
            <w:gridSpan w:val="2"/>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185.2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OTHER LONG-TERM LIABILITIES</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61.5</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4.0</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(4.0)a,f</w:t>
            </w: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301"/>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61.5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120" w:type="dxa"/>
            <w:vAlign w:val="bottom"/>
            <w:shd w:val="clear" w:color="auto" w:fill="CCEEFF"/>
          </w:tcPr>
          <w:p>
            <w:pPr>
              <w:ind w:left="300"/>
              <w:spacing w:after="0" w:line="136" w:lineRule="exact"/>
              <w:rPr>
                <w:sz w:val="20"/>
                <w:szCs w:val="20"/>
                <w:color w:val="auto"/>
              </w:rPr>
            </w:pPr>
            <w:r>
              <w:rPr>
                <w:rFonts w:ascii="Times New Roman" w:cs="Times New Roman" w:eastAsia="Times New Roman" w:hAnsi="Times New Roman"/>
                <w:sz w:val="13"/>
                <w:szCs w:val="13"/>
                <w:color w:val="auto"/>
              </w:rPr>
              <w:t>Total shareholders' equity</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3,623.5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343.2</w:t>
            </w: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1,441.8</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1"/>
              <w:spacing w:after="0" w:line="136" w:lineRule="exact"/>
              <w:rPr>
                <w:sz w:val="20"/>
                <w:szCs w:val="20"/>
                <w:color w:val="auto"/>
              </w:rPr>
            </w:pPr>
            <w:r>
              <w:rPr>
                <w:rFonts w:ascii="Times New Roman" w:cs="Times New Roman" w:eastAsia="Times New Roman" w:hAnsi="Times New Roman"/>
                <w:sz w:val="13"/>
                <w:szCs w:val="13"/>
                <w:color w:val="auto"/>
              </w:rPr>
              <w:t>52.8</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61"/>
              <w:spacing w:after="0" w:line="136" w:lineRule="exact"/>
              <w:rPr>
                <w:sz w:val="20"/>
                <w:szCs w:val="20"/>
                <w:color w:val="auto"/>
              </w:rPr>
            </w:pPr>
            <w:r>
              <w:rPr>
                <w:rFonts w:ascii="Times New Roman" w:cs="Times New Roman" w:eastAsia="Times New Roman" w:hAnsi="Times New Roman"/>
                <w:sz w:val="13"/>
                <w:szCs w:val="13"/>
                <w:color w:val="auto"/>
              </w:rPr>
              <w:t>(1,833.9)</w:t>
            </w:r>
          </w:p>
        </w:tc>
        <w:tc>
          <w:tcPr>
            <w:tcW w:w="1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3,627.7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10,221.0</w:t>
            </w:r>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1,080.5</w:t>
            </w:r>
          </w:p>
        </w:tc>
        <w:tc>
          <w:tcPr>
            <w:tcW w:w="220" w:type="dxa"/>
            <w:vAlign w:val="bottom"/>
            <w:vMerge w:val="continue"/>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781.1</w:t>
            </w:r>
          </w:p>
        </w:tc>
        <w:tc>
          <w:tcPr>
            <w:tcW w:w="34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41"/>
              <w:spacing w:after="0" w:line="129" w:lineRule="exact"/>
              <w:rPr>
                <w:sz w:val="20"/>
                <w:szCs w:val="20"/>
                <w:color w:val="auto"/>
              </w:rPr>
            </w:pPr>
            <w:r>
              <w:rPr>
                <w:rFonts w:ascii="Times New Roman" w:cs="Times New Roman" w:eastAsia="Times New Roman" w:hAnsi="Times New Roman"/>
                <w:sz w:val="13"/>
                <w:szCs w:val="13"/>
                <w:color w:val="auto"/>
              </w:rPr>
              <w:t>(4.9)</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61"/>
              <w:spacing w:after="0" w:line="129" w:lineRule="exact"/>
              <w:rPr>
                <w:sz w:val="20"/>
                <w:szCs w:val="20"/>
                <w:color w:val="auto"/>
              </w:rPr>
            </w:pPr>
            <w:r>
              <w:rPr>
                <w:rFonts w:ascii="Times New Roman" w:cs="Times New Roman" w:eastAsia="Times New Roman" w:hAnsi="Times New Roman"/>
                <w:sz w:val="13"/>
                <w:szCs w:val="13"/>
                <w:color w:val="auto"/>
              </w:rPr>
              <w:t>(44.7)</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12,033.2</w:t>
            </w: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ASBURY AUTOMOTIVE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Statement of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Asbury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Herb</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434"/>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00"/>
              <w:spacing w:after="0" w:line="136" w:lineRule="exact"/>
              <w:rPr>
                <w:sz w:val="20"/>
                <w:szCs w:val="20"/>
                <w:color w:val="auto"/>
              </w:rPr>
            </w:pPr>
            <w:r>
              <w:rPr>
                <w:rFonts w:ascii="Times New Roman" w:cs="Times New Roman" w:eastAsia="Times New Roman" w:hAnsi="Times New Roman"/>
                <w:sz w:val="13"/>
                <w:szCs w:val="13"/>
                <w:b w:val="1"/>
                <w:bCs w:val="1"/>
                <w:color w:val="auto"/>
              </w:rPr>
              <w:t>Chambers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Divestitures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480"/>
              <w:spacing w:after="0" w:line="136"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Dealerships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381"/>
              <w:spacing w:after="0" w:line="136"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414"/>
              <w:spacing w:after="0" w:line="136"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Group, Inc.</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(Note 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(Note 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434"/>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29"/>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REVENUE:</w:t>
            </w: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New vehicle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2,138.1</w:t>
            </w:r>
          </w:p>
        </w:tc>
        <w:tc>
          <w:tcPr>
            <w:tcW w:w="240" w:type="dxa"/>
            <w:vAlign w:val="bottom"/>
          </w:tcPr>
          <w:p>
            <w:pPr>
              <w:spacing w:after="0"/>
              <w:rPr>
                <w:sz w:val="11"/>
                <w:szCs w:val="11"/>
                <w:color w:val="auto"/>
              </w:rPr>
            </w:pP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409.5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(19.9)a</w:t>
            </w:r>
          </w:p>
        </w:tc>
        <w:tc>
          <w:tcPr>
            <w:tcW w:w="180" w:type="dxa"/>
            <w:vAlign w:val="bottom"/>
            <w:gridSpan w:val="2"/>
          </w:tcPr>
          <w:p>
            <w:pPr>
              <w:jc w:val="right"/>
              <w:ind w:right="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(33.8)</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5"/>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2,493.9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Used vehicle</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1,235.8</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240.8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(12.8)a</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(21.2)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1,442.6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Parts and service</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587.6</w:t>
            </w: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110.2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(7.9)a</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(10.0)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679.9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Finance and insurance, net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187.0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3"/>
                <w:szCs w:val="13"/>
                <w:color w:val="auto"/>
              </w:rPr>
              <w:t>(1.1)a</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4,148.5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790.5</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201"/>
              <w:spacing w:after="0" w:line="129" w:lineRule="exact"/>
              <w:rPr>
                <w:sz w:val="20"/>
                <w:szCs w:val="20"/>
                <w:color w:val="auto"/>
              </w:rPr>
            </w:pPr>
            <w:r>
              <w:rPr>
                <w:rFonts w:ascii="Times New Roman" w:cs="Times New Roman" w:eastAsia="Times New Roman" w:hAnsi="Times New Roman"/>
                <w:sz w:val="13"/>
                <w:szCs w:val="13"/>
                <w:color w:val="auto"/>
              </w:rPr>
              <w:t>(41.8)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29" w:lineRule="exact"/>
              <w:rPr>
                <w:sz w:val="20"/>
                <w:szCs w:val="20"/>
                <w:color w:val="auto"/>
              </w:rPr>
            </w:pPr>
            <w:r>
              <w:rPr>
                <w:rFonts w:ascii="Times New Roman" w:cs="Times New Roman" w:eastAsia="Times New Roman" w:hAnsi="Times New Roman"/>
                <w:sz w:val="13"/>
                <w:szCs w:val="13"/>
                <w:color w:val="auto"/>
              </w:rPr>
              <w:t>(67.2)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4,830.1</w:t>
            </w: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COST OF SALES:</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New vehicle</w:t>
            </w:r>
          </w:p>
        </w:tc>
        <w:tc>
          <w:tcPr>
            <w:tcW w:w="160" w:type="dxa"/>
            <w:vAlign w:val="bottom"/>
          </w:tcPr>
          <w:p>
            <w:pPr>
              <w:spacing w:after="0"/>
              <w:rPr>
                <w:sz w:val="11"/>
                <w:szCs w:val="11"/>
                <w:color w:val="auto"/>
              </w:rPr>
            </w:pPr>
          </w:p>
        </w:tc>
        <w:tc>
          <w:tcPr>
            <w:tcW w:w="9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1,995.0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371.9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41"/>
              <w:spacing w:after="0" w:line="136" w:lineRule="exact"/>
              <w:rPr>
                <w:sz w:val="20"/>
                <w:szCs w:val="20"/>
                <w:color w:val="auto"/>
              </w:rPr>
            </w:pPr>
            <w:r>
              <w:rPr>
                <w:rFonts w:ascii="Times New Roman" w:cs="Times New Roman" w:eastAsia="Times New Roman" w:hAnsi="Times New Roman"/>
                <w:sz w:val="13"/>
                <w:szCs w:val="13"/>
                <w:color w:val="auto"/>
              </w:rPr>
              <w:t>(18.2)a,b</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(30.9)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2,317.8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Used vehicle</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3"/>
                <w:szCs w:val="13"/>
                <w:color w:val="auto"/>
              </w:rPr>
              <w:t>1,171.3</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224.0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(12.8)a</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(20.4)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1,362.1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Parts and service</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244.9</w:t>
            </w: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61.2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141"/>
              <w:spacing w:after="0" w:line="136" w:lineRule="exact"/>
              <w:rPr>
                <w:sz w:val="20"/>
                <w:szCs w:val="20"/>
                <w:color w:val="auto"/>
              </w:rPr>
            </w:pPr>
            <w:r>
              <w:rPr>
                <w:rFonts w:ascii="Times New Roman" w:cs="Times New Roman" w:eastAsia="Times New Roman" w:hAnsi="Times New Roman"/>
                <w:sz w:val="13"/>
                <w:szCs w:val="13"/>
                <w:color w:val="auto"/>
              </w:rPr>
              <w:t>(3.3)a</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Finance and insurance</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COST OF SALES</w:t>
            </w: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3,424.3</w:t>
            </w:r>
          </w:p>
        </w:tc>
        <w:tc>
          <w:tcPr>
            <w:tcW w:w="2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657.1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(34.4</w:t>
            </w:r>
          </w:p>
        </w:tc>
        <w:tc>
          <w:tcPr>
            <w:tcW w:w="28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(56.7</w:t>
            </w:r>
          </w:p>
        </w:tc>
        <w:tc>
          <w:tcPr>
            <w:tcW w:w="16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3,990.4</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GROSS PROFIT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724.2</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01"/>
              <w:spacing w:after="0" w:line="129" w:lineRule="exact"/>
              <w:rPr>
                <w:sz w:val="20"/>
                <w:szCs w:val="20"/>
                <w:color w:val="auto"/>
              </w:rPr>
            </w:pPr>
            <w:r>
              <w:rPr>
                <w:rFonts w:ascii="Times New Roman" w:cs="Times New Roman" w:eastAsia="Times New Roman" w:hAnsi="Times New Roman"/>
                <w:sz w:val="13"/>
                <w:szCs w:val="13"/>
                <w:color w:val="auto"/>
              </w:rPr>
              <w:t>(7.4)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29" w:lineRule="exact"/>
              <w:rPr>
                <w:sz w:val="20"/>
                <w:szCs w:val="20"/>
                <w:color w:val="auto"/>
              </w:rPr>
            </w:pPr>
            <w:r>
              <w:rPr>
                <w:rFonts w:ascii="Times New Roman" w:cs="Times New Roman" w:eastAsia="Times New Roman" w:hAnsi="Times New Roman"/>
                <w:sz w:val="13"/>
                <w:szCs w:val="13"/>
                <w:color w:val="auto"/>
              </w:rPr>
              <w:t>(10.4)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839.7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OPERATING EXPENSES:</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456.4</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115.9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41"/>
              <w:spacing w:after="0" w:line="136" w:lineRule="exact"/>
              <w:rPr>
                <w:sz w:val="20"/>
                <w:szCs w:val="20"/>
                <w:color w:val="auto"/>
              </w:rPr>
            </w:pPr>
            <w:r>
              <w:rPr>
                <w:rFonts w:ascii="Times New Roman" w:cs="Times New Roman" w:eastAsia="Times New Roman" w:hAnsi="Times New Roman"/>
                <w:sz w:val="13"/>
                <w:szCs w:val="13"/>
                <w:color w:val="auto"/>
              </w:rPr>
              <w:t>(22.3)a,d</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(7.4)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542.6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19.2</w:t>
            </w: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20"/>
              <w:spacing w:after="0" w:line="136" w:lineRule="exact"/>
              <w:rPr>
                <w:sz w:val="20"/>
                <w:szCs w:val="20"/>
                <w:color w:val="auto"/>
              </w:rPr>
            </w:pPr>
            <w:r>
              <w:rPr>
                <w:rFonts w:ascii="Times New Roman" w:cs="Times New Roman" w:eastAsia="Times New Roman" w:hAnsi="Times New Roman"/>
                <w:sz w:val="13"/>
                <w:szCs w:val="13"/>
                <w:color w:val="auto"/>
              </w:rPr>
              <w:t>4.3 a,c</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impairments</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234.3</w:t>
            </w:r>
          </w:p>
        </w:tc>
        <w:tc>
          <w:tcPr>
            <w:tcW w:w="2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15.5</w:t>
            </w: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10.6</w:t>
            </w:r>
          </w:p>
        </w:tc>
        <w:tc>
          <w:tcPr>
            <w:tcW w:w="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257.5</w:t>
            </w: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OTHER EXPENSES (INCOME):</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Floor plan interest expense</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20.7</w:t>
            </w:r>
          </w:p>
        </w:tc>
        <w:tc>
          <w:tcPr>
            <w:tcW w:w="160" w:type="dxa"/>
            <w:vAlign w:val="bottom"/>
          </w:tcPr>
          <w:p>
            <w:pPr>
              <w:spacing w:after="0"/>
              <w:rPr>
                <w:sz w:val="11"/>
                <w:szCs w:val="11"/>
                <w:color w:val="auto"/>
              </w:rPr>
            </w:pPr>
          </w:p>
        </w:tc>
        <w:tc>
          <w:tcPr>
            <w:tcW w:w="10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61"/>
              <w:spacing w:after="0" w:line="136" w:lineRule="exact"/>
              <w:rPr>
                <w:sz w:val="20"/>
                <w:szCs w:val="20"/>
                <w:color w:val="auto"/>
              </w:rPr>
            </w:pPr>
            <w:r>
              <w:rPr>
                <w:rFonts w:ascii="Times New Roman" w:cs="Times New Roman" w:eastAsia="Times New Roman" w:hAnsi="Times New Roman"/>
                <w:sz w:val="13"/>
                <w:szCs w:val="13"/>
                <w:color w:val="auto"/>
              </w:rPr>
              <w:t>(4.8)a,i</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left="574"/>
              <w:spacing w:after="0" w:line="136" w:lineRule="exact"/>
              <w:rPr>
                <w:sz w:val="20"/>
                <w:szCs w:val="20"/>
                <w:color w:val="auto"/>
              </w:rPr>
            </w:pPr>
            <w:r>
              <w:rPr>
                <w:rFonts w:ascii="Times New Roman" w:cs="Times New Roman" w:eastAsia="Times New Roman" w:hAnsi="Times New Roman"/>
                <w:sz w:val="13"/>
                <w:szCs w:val="13"/>
                <w:color w:val="auto"/>
              </w:rPr>
              <w:t>8.7 j,k,n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29.1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Other interest expense, net</w:t>
            </w:r>
          </w:p>
        </w:tc>
        <w:tc>
          <w:tcPr>
            <w:tcW w:w="16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42.3</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41"/>
              <w:spacing w:after="0" w:line="136"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(0.1)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center"/>
              <w:ind w:left="554"/>
              <w:spacing w:after="0" w:line="136" w:lineRule="exact"/>
              <w:rPr>
                <w:sz w:val="20"/>
                <w:szCs w:val="20"/>
                <w:color w:val="auto"/>
              </w:rPr>
            </w:pPr>
            <w:r>
              <w:rPr>
                <w:rFonts w:ascii="Times New Roman" w:cs="Times New Roman" w:eastAsia="Times New Roman" w:hAnsi="Times New Roman"/>
                <w:sz w:val="13"/>
                <w:szCs w:val="13"/>
                <w:color w:val="auto"/>
              </w:rPr>
              <w:t>18.7 l,m,n</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60.9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dealership divestitures, net</w:t>
            </w:r>
          </w:p>
        </w:tc>
        <w:tc>
          <w:tcPr>
            <w:tcW w:w="1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29"/>
        </w:trPr>
        <w:tc>
          <w:tcPr>
            <w:tcW w:w="3280" w:type="dxa"/>
            <w:vAlign w:val="bottom"/>
            <w:tcBorders>
              <w:top w:val="single" w:sz="8" w:color="CCEEFF"/>
            </w:tcBorders>
            <w:shd w:val="clear" w:color="auto" w:fill="CCEEFF"/>
          </w:tcPr>
          <w:p>
            <w:pPr>
              <w:ind w:left="300"/>
              <w:spacing w:after="0" w:line="129" w:lineRule="exact"/>
              <w:rPr>
                <w:sz w:val="20"/>
                <w:szCs w:val="20"/>
                <w:color w:val="auto"/>
              </w:rPr>
            </w:pPr>
            <w:r>
              <w:rPr>
                <w:rFonts w:ascii="Times New Roman" w:cs="Times New Roman" w:eastAsia="Times New Roman" w:hAnsi="Times New Roman"/>
                <w:sz w:val="13"/>
                <w:szCs w:val="13"/>
                <w:color w:val="auto"/>
              </w:rPr>
              <w:t>Total other expenses (income), net</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58.9</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28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(0.3</w:t>
            </w:r>
          </w:p>
        </w:tc>
        <w:tc>
          <w:tcPr>
            <w:tcW w:w="16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27.4</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85.9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INCOME BEFORE INCOME TAXES</w:t>
            </w:r>
          </w:p>
        </w:tc>
        <w:tc>
          <w:tcPr>
            <w:tcW w:w="16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175.4</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171.6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43.3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3.2 h</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(0.7)h</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(7.0)h</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8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132.1</w:t>
            </w:r>
          </w:p>
        </w:tc>
        <w:tc>
          <w:tcPr>
            <w:tcW w:w="2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7.2</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12.2</w:t>
            </w:r>
          </w:p>
        </w:tc>
        <w:tc>
          <w:tcPr>
            <w:tcW w:w="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(1.9</w:t>
            </w:r>
          </w:p>
        </w:tc>
        <w:tc>
          <w:tcPr>
            <w:tcW w:w="16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(20.4</w:t>
            </w:r>
          </w:p>
        </w:tc>
        <w:tc>
          <w:tcPr>
            <w:tcW w:w="380" w:type="dxa"/>
            <w:vAlign w:val="bottom"/>
            <w:tcBorders>
              <w:bottom w:val="single" w:sz="8" w:color="CCEEFF"/>
            </w:tcBorders>
          </w:tcPr>
          <w:p>
            <w:pPr>
              <w:jc w:val="right"/>
              <w:ind w:right="25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129.3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2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income—Basic</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6.73</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3280" w:type="dxa"/>
            <w:vAlign w:val="bottom"/>
            <w:tcBorders>
              <w:top w:val="single" w:sz="8" w:color="CCEEFF"/>
              <w:bottom w:val="single" w:sz="8" w:color="CCEEFF"/>
            </w:tcBorders>
            <w:shd w:val="clear" w:color="auto" w:fill="CCEEFF"/>
          </w:tcPr>
          <w:p>
            <w:pPr>
              <w:ind w:left="140"/>
              <w:spacing w:after="0" w:line="114" w:lineRule="exact"/>
              <w:rPr>
                <w:sz w:val="20"/>
                <w:szCs w:val="20"/>
                <w:color w:val="auto"/>
              </w:rPr>
            </w:pPr>
            <w:r>
              <w:rPr>
                <w:rFonts w:ascii="Times New Roman" w:cs="Times New Roman" w:eastAsia="Times New Roman" w:hAnsi="Times New Roman"/>
                <w:sz w:val="13"/>
                <w:szCs w:val="13"/>
                <w:color w:val="auto"/>
              </w:rPr>
              <w:t>Net income—Diluted</w:t>
            </w:r>
          </w:p>
        </w:tc>
        <w:tc>
          <w:tcPr>
            <w:tcW w:w="160" w:type="dxa"/>
            <w:vAlign w:val="bottom"/>
            <w:tcBorders>
              <w:top w:val="single" w:sz="8" w:color="auto"/>
              <w:bottom w:val="single" w:sz="8" w:color="auto"/>
            </w:tcBorders>
            <w:shd w:val="clear" w:color="auto" w:fill="CCEEFF"/>
          </w:tcPr>
          <w:p>
            <w:pPr>
              <w:jc w:val="right"/>
              <w:ind w:right="45"/>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3"/>
                <w:szCs w:val="13"/>
                <w:color w:val="auto"/>
              </w:rPr>
              <w:t>6.71</w:t>
            </w:r>
          </w:p>
        </w:tc>
        <w:tc>
          <w:tcPr>
            <w:tcW w:w="24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96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98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8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CCEEFF"/>
              <w:bottom w:val="single" w:sz="8" w:color="CCEEFF"/>
            </w:tcBorders>
            <w:shd w:val="clear" w:color="auto" w:fill="CCEEFF"/>
          </w:tcPr>
          <w:p>
            <w:pPr>
              <w:spacing w:after="0"/>
              <w:rPr>
                <w:sz w:val="9"/>
                <w:szCs w:val="9"/>
                <w:color w:val="auto"/>
              </w:rPr>
            </w:pPr>
          </w:p>
        </w:tc>
        <w:tc>
          <w:tcPr>
            <w:tcW w:w="3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5"/>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3"/>
                <w:szCs w:val="13"/>
                <w:color w:val="auto"/>
              </w:rPr>
              <w:t>6.56</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WEIGHTED AVERAGE SHARES OUTSTANDING:</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Basic</w:t>
            </w:r>
          </w:p>
        </w:tc>
        <w:tc>
          <w:tcPr>
            <w:tcW w:w="160" w:type="dxa"/>
            <w:vAlign w:val="bottom"/>
          </w:tcPr>
          <w:p>
            <w:pPr>
              <w:spacing w:after="0"/>
              <w:rPr>
                <w:sz w:val="11"/>
                <w:szCs w:val="11"/>
                <w:color w:val="auto"/>
              </w:rPr>
            </w:pPr>
          </w:p>
        </w:tc>
        <w:tc>
          <w:tcPr>
            <w:tcW w:w="122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19.6</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Performance share units</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0.1</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auto"/>
              </w:rPr>
              <w:t>Diluted</w:t>
            </w: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19.7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19.7</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ASBURY AUTOMOTIVE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 Forma Condensed Combined Statement of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Asbury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6"/>
              </w:rPr>
              <w:t>Herb</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501"/>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94"/>
              <w:spacing w:after="0"/>
              <w:rPr>
                <w:sz w:val="20"/>
                <w:szCs w:val="20"/>
                <w:color w:val="auto"/>
              </w:rPr>
            </w:pPr>
            <w:r>
              <w:rPr>
                <w:rFonts w:ascii="Times New Roman" w:cs="Times New Roman" w:eastAsia="Times New Roman" w:hAnsi="Times New Roman"/>
                <w:sz w:val="13"/>
                <w:szCs w:val="13"/>
                <w:b w:val="1"/>
                <w:bCs w:val="1"/>
                <w:color w:val="auto"/>
              </w:rPr>
              <w:t>Financing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80"/>
              <w:spacing w:after="0" w:line="136" w:lineRule="exact"/>
              <w:rPr>
                <w:sz w:val="20"/>
                <w:szCs w:val="20"/>
                <w:color w:val="auto"/>
              </w:rPr>
            </w:pPr>
            <w:r>
              <w:rPr>
                <w:rFonts w:ascii="Times New Roman" w:cs="Times New Roman" w:eastAsia="Times New Roman" w:hAnsi="Times New Roman"/>
                <w:sz w:val="13"/>
                <w:szCs w:val="13"/>
                <w:b w:val="1"/>
                <w:bCs w:val="1"/>
                <w:color w:val="auto"/>
              </w:rPr>
              <w:t>Chambers</w:t>
            </w:r>
          </w:p>
        </w:tc>
        <w:tc>
          <w:tcPr>
            <w:tcW w:w="1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rPr>
              <w:t>Divestitures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6"/>
        </w:trPr>
        <w:tc>
          <w:tcPr>
            <w:tcW w:w="3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340"/>
              <w:spacing w:after="0" w:line="136" w:lineRule="exact"/>
              <w:rPr>
                <w:sz w:val="20"/>
                <w:szCs w:val="20"/>
                <w:color w:val="auto"/>
              </w:rPr>
            </w:pPr>
            <w:r>
              <w:rPr>
                <w:rFonts w:ascii="Times New Roman" w:cs="Times New Roman" w:eastAsia="Times New Roman" w:hAnsi="Times New Roman"/>
                <w:sz w:val="13"/>
                <w:szCs w:val="13"/>
                <w:b w:val="1"/>
                <w:bCs w:val="1"/>
                <w:color w:val="auto"/>
              </w:rPr>
              <w:t>Automotive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380"/>
              <w:spacing w:after="0" w:line="136" w:lineRule="exact"/>
              <w:rPr>
                <w:sz w:val="20"/>
                <w:szCs w:val="20"/>
                <w:color w:val="auto"/>
              </w:rPr>
            </w:pPr>
            <w:r>
              <w:rPr>
                <w:rFonts w:ascii="Times New Roman" w:cs="Times New Roman" w:eastAsia="Times New Roman" w:hAnsi="Times New Roman"/>
                <w:sz w:val="13"/>
                <w:szCs w:val="13"/>
                <w:b w:val="1"/>
                <w:bCs w:val="1"/>
                <w:color w:val="auto"/>
              </w:rPr>
              <w:t>Dealerships</w:t>
            </w:r>
          </w:p>
        </w:tc>
        <w:tc>
          <w:tcPr>
            <w:tcW w:w="120" w:type="dxa"/>
            <w:vAlign w:val="bottom"/>
          </w:tcPr>
          <w:p>
            <w:pPr>
              <w:spacing w:after="0"/>
              <w:rPr>
                <w:sz w:val="11"/>
                <w:szCs w:val="11"/>
                <w:color w:val="auto"/>
              </w:rPr>
            </w:pPr>
          </w:p>
        </w:tc>
        <w:tc>
          <w:tcPr>
            <w:tcW w:w="1360" w:type="dxa"/>
            <w:vAlign w:val="bottom"/>
            <w:gridSpan w:val="2"/>
          </w:tcPr>
          <w:p>
            <w:pPr>
              <w:jc w:val="center"/>
              <w:ind w:right="441"/>
              <w:spacing w:after="0" w:line="136"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94"/>
              <w:spacing w:after="0" w:line="136"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Group, Inc.</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(Note 2)</w:t>
            </w:r>
          </w:p>
        </w:tc>
        <w:tc>
          <w:tcPr>
            <w:tcW w:w="120" w:type="dxa"/>
            <w:vAlign w:val="bottom"/>
          </w:tcPr>
          <w:p>
            <w:pPr>
              <w:spacing w:after="0"/>
              <w:rPr>
                <w:sz w:val="13"/>
                <w:szCs w:val="13"/>
                <w:color w:val="auto"/>
              </w:rPr>
            </w:pPr>
          </w:p>
        </w:tc>
        <w:tc>
          <w:tcPr>
            <w:tcW w:w="1360" w:type="dxa"/>
            <w:vAlign w:val="bottom"/>
            <w:gridSpan w:val="2"/>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(Note 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(Note 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74"/>
              <w:spacing w:after="0"/>
              <w:rPr>
                <w:sz w:val="20"/>
                <w:szCs w:val="20"/>
                <w:color w:val="auto"/>
              </w:rPr>
            </w:pPr>
            <w:r>
              <w:rPr>
                <w:rFonts w:ascii="Times New Roman" w:cs="Times New Roman" w:eastAsia="Times New Roman" w:hAnsi="Times New Roman"/>
                <w:sz w:val="13"/>
                <w:szCs w:val="13"/>
                <w:b w:val="1"/>
                <w:bCs w:val="1"/>
                <w:color w:val="auto"/>
              </w:rPr>
              <w:t>(Note 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29"/>
        </w:trPr>
        <w:tc>
          <w:tcPr>
            <w:tcW w:w="3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REVENUE:</w:t>
            </w: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New vehicle</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8,849.7</w:t>
            </w:r>
          </w:p>
        </w:tc>
        <w:tc>
          <w:tcPr>
            <w:tcW w:w="240" w:type="dxa"/>
            <w:vAlign w:val="bottom"/>
            <w:gridSpan w:val="2"/>
          </w:tcPr>
          <w:p>
            <w:pPr>
              <w:jc w:val="right"/>
              <w:ind w:right="2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1,695.0</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221"/>
              <w:spacing w:after="0" w:line="136" w:lineRule="exact"/>
              <w:rPr>
                <w:sz w:val="20"/>
                <w:szCs w:val="20"/>
                <w:color w:val="auto"/>
              </w:rPr>
            </w:pPr>
            <w:r>
              <w:rPr>
                <w:rFonts w:ascii="Times New Roman" w:cs="Times New Roman" w:eastAsia="Times New Roman" w:hAnsi="Times New Roman"/>
                <w:sz w:val="13"/>
                <w:szCs w:val="13"/>
                <w:color w:val="auto"/>
              </w:rPr>
              <w:t>(146.1)a</w:t>
            </w:r>
          </w:p>
        </w:tc>
        <w:tc>
          <w:tcPr>
            <w:tcW w:w="200" w:type="dxa"/>
            <w:vAlign w:val="bottom"/>
            <w:gridSpan w:val="2"/>
          </w:tcPr>
          <w:p>
            <w:pPr>
              <w:jc w:val="right"/>
              <w:ind w:right="5"/>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(140.9)</w:t>
            </w:r>
          </w:p>
        </w:tc>
        <w:tc>
          <w:tcPr>
            <w:tcW w:w="1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ind w:right="5"/>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10,257.7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Used vehicle</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5,218.2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954.6</w:t>
            </w:r>
          </w:p>
        </w:tc>
        <w:tc>
          <w:tcPr>
            <w:tcW w:w="1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1"/>
              <w:spacing w:after="0" w:line="136" w:lineRule="exact"/>
              <w:rPr>
                <w:sz w:val="20"/>
                <w:szCs w:val="20"/>
                <w:color w:val="auto"/>
              </w:rPr>
            </w:pPr>
            <w:r>
              <w:rPr>
                <w:rFonts w:ascii="Times New Roman" w:cs="Times New Roman" w:eastAsia="Times New Roman" w:hAnsi="Times New Roman"/>
                <w:sz w:val="13"/>
                <w:szCs w:val="13"/>
                <w:color w:val="auto"/>
              </w:rPr>
              <w:t>(74.0)a</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(80.3)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6,018.5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Parts and service</w:t>
            </w: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2,354.7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441.7</w:t>
            </w:r>
          </w:p>
        </w:tc>
        <w:tc>
          <w:tcPr>
            <w:tcW w:w="120" w:type="dxa"/>
            <w:vAlign w:val="bottom"/>
          </w:tcPr>
          <w:p>
            <w:pPr>
              <w:spacing w:after="0"/>
              <w:rPr>
                <w:sz w:val="11"/>
                <w:szCs w:val="11"/>
                <w:color w:val="auto"/>
              </w:rPr>
            </w:pPr>
          </w:p>
        </w:tc>
        <w:tc>
          <w:tcPr>
            <w:tcW w:w="1360" w:type="dxa"/>
            <w:vAlign w:val="bottom"/>
            <w:gridSpan w:val="2"/>
          </w:tcPr>
          <w:p>
            <w:pPr>
              <w:jc w:val="right"/>
              <w:ind w:right="221"/>
              <w:spacing w:after="0" w:line="136" w:lineRule="exact"/>
              <w:rPr>
                <w:sz w:val="20"/>
                <w:szCs w:val="20"/>
                <w:color w:val="auto"/>
              </w:rPr>
            </w:pPr>
            <w:r>
              <w:rPr>
                <w:rFonts w:ascii="Times New Roman" w:cs="Times New Roman" w:eastAsia="Times New Roman" w:hAnsi="Times New Roman"/>
                <w:sz w:val="13"/>
                <w:szCs w:val="13"/>
                <w:color w:val="auto"/>
              </w:rPr>
              <w:t>(39.9)a</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(38.8)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2,717.7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Finance and insurance, net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rPr>
              <w:t>(14.8)a</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3"/>
                <w:szCs w:val="13"/>
                <w:color w:val="auto"/>
              </w:rPr>
              <w:t>(7.9)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REVENUE</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17,188.6</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3,219.4</w:t>
            </w: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281"/>
              <w:spacing w:after="0" w:line="129" w:lineRule="exact"/>
              <w:rPr>
                <w:sz w:val="20"/>
                <w:szCs w:val="20"/>
                <w:color w:val="auto"/>
              </w:rPr>
            </w:pPr>
            <w:r>
              <w:rPr>
                <w:rFonts w:ascii="Times New Roman" w:cs="Times New Roman" w:eastAsia="Times New Roman" w:hAnsi="Times New Roman"/>
                <w:sz w:val="13"/>
                <w:szCs w:val="13"/>
                <w:color w:val="auto"/>
              </w:rPr>
              <w:t>(274.8)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29" w:lineRule="exact"/>
              <w:rPr>
                <w:sz w:val="20"/>
                <w:szCs w:val="20"/>
                <w:color w:val="auto"/>
              </w:rPr>
            </w:pPr>
            <w:r>
              <w:rPr>
                <w:rFonts w:ascii="Times New Roman" w:cs="Times New Roman" w:eastAsia="Times New Roman" w:hAnsi="Times New Roman"/>
                <w:sz w:val="13"/>
                <w:szCs w:val="13"/>
                <w:color w:val="auto"/>
              </w:rPr>
              <w:t>(267.8)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19,865.3</w:t>
            </w: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COST OF SALES:</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New vehicle</w:t>
            </w: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8,209.3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1,519.5</w:t>
            </w:r>
          </w:p>
        </w:tc>
        <w:tc>
          <w:tcPr>
            <w:tcW w:w="120" w:type="dxa"/>
            <w:vAlign w:val="bottom"/>
          </w:tcPr>
          <w:p>
            <w:pPr>
              <w:spacing w:after="0"/>
              <w:rPr>
                <w:sz w:val="11"/>
                <w:szCs w:val="11"/>
                <w:color w:val="auto"/>
              </w:rPr>
            </w:pPr>
          </w:p>
        </w:tc>
        <w:tc>
          <w:tcPr>
            <w:tcW w:w="1360" w:type="dxa"/>
            <w:vAlign w:val="bottom"/>
            <w:gridSpan w:val="2"/>
          </w:tcPr>
          <w:p>
            <w:pPr>
              <w:jc w:val="right"/>
              <w:ind w:right="121"/>
              <w:spacing w:after="0" w:line="136" w:lineRule="exact"/>
              <w:rPr>
                <w:sz w:val="20"/>
                <w:szCs w:val="20"/>
                <w:color w:val="auto"/>
              </w:rPr>
            </w:pPr>
            <w:r>
              <w:rPr>
                <w:rFonts w:ascii="Times New Roman" w:cs="Times New Roman" w:eastAsia="Times New Roman" w:hAnsi="Times New Roman"/>
                <w:sz w:val="13"/>
                <w:szCs w:val="13"/>
                <w:color w:val="auto"/>
              </w:rPr>
              <w:t>(133.1)a,b</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(128.3)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9,467.4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Used vehicle</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4,972.7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882.2</w:t>
            </w:r>
          </w:p>
        </w:tc>
        <w:tc>
          <w:tcPr>
            <w:tcW w:w="1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1"/>
              <w:spacing w:after="0" w:line="136" w:lineRule="exact"/>
              <w:rPr>
                <w:sz w:val="20"/>
                <w:szCs w:val="20"/>
                <w:color w:val="auto"/>
              </w:rPr>
            </w:pPr>
            <w:r>
              <w:rPr>
                <w:rFonts w:ascii="Times New Roman" w:cs="Times New Roman" w:eastAsia="Times New Roman" w:hAnsi="Times New Roman"/>
                <w:sz w:val="13"/>
                <w:szCs w:val="13"/>
                <w:color w:val="auto"/>
              </w:rPr>
              <w:t>(70.1)a</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(77.4)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5,707.4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Parts and service</w:t>
            </w: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1,003.5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244.6</w:t>
            </w:r>
          </w:p>
        </w:tc>
        <w:tc>
          <w:tcPr>
            <w:tcW w:w="120" w:type="dxa"/>
            <w:vAlign w:val="bottom"/>
          </w:tcPr>
          <w:p>
            <w:pPr>
              <w:spacing w:after="0"/>
              <w:rPr>
                <w:sz w:val="11"/>
                <w:szCs w:val="11"/>
                <w:color w:val="auto"/>
              </w:rPr>
            </w:pPr>
          </w:p>
        </w:tc>
        <w:tc>
          <w:tcPr>
            <w:tcW w:w="1360" w:type="dxa"/>
            <w:vAlign w:val="bottom"/>
            <w:gridSpan w:val="2"/>
          </w:tcPr>
          <w:p>
            <w:pPr>
              <w:jc w:val="right"/>
              <w:ind w:right="221"/>
              <w:spacing w:after="0" w:line="136" w:lineRule="exact"/>
              <w:rPr>
                <w:sz w:val="20"/>
                <w:szCs w:val="20"/>
                <w:color w:val="auto"/>
              </w:rPr>
            </w:pPr>
            <w:r>
              <w:rPr>
                <w:rFonts w:ascii="Times New Roman" w:cs="Times New Roman" w:eastAsia="Times New Roman" w:hAnsi="Times New Roman"/>
                <w:sz w:val="13"/>
                <w:szCs w:val="13"/>
                <w:color w:val="auto"/>
              </w:rPr>
              <w:t>(18.7)a</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(21.0)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1,208.4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Finance and insurance</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54.4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COST OF SALES</w:t>
            </w:r>
          </w:p>
        </w:tc>
        <w:tc>
          <w:tcPr>
            <w:tcW w:w="1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14,240.0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2,646.3</w:t>
            </w:r>
          </w:p>
        </w:tc>
        <w:tc>
          <w:tcPr>
            <w:tcW w:w="2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(221.8</w:t>
            </w:r>
          </w:p>
        </w:tc>
        <w:tc>
          <w:tcPr>
            <w:tcW w:w="360" w:type="dxa"/>
            <w:vAlign w:val="bottom"/>
            <w:tcBorders>
              <w:bottom w:val="single" w:sz="8" w:color="CCEEFF"/>
            </w:tcBorders>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(226.7</w:t>
            </w:r>
          </w:p>
        </w:tc>
        <w:tc>
          <w:tcPr>
            <w:tcW w:w="16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16,437.6</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2,948.6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573.2</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81"/>
              <w:spacing w:after="0" w:line="129" w:lineRule="exact"/>
              <w:rPr>
                <w:sz w:val="20"/>
                <w:szCs w:val="20"/>
                <w:color w:val="auto"/>
              </w:rPr>
            </w:pPr>
            <w:r>
              <w:rPr>
                <w:rFonts w:ascii="Times New Roman" w:cs="Times New Roman" w:eastAsia="Times New Roman" w:hAnsi="Times New Roman"/>
                <w:sz w:val="13"/>
                <w:szCs w:val="13"/>
                <w:color w:val="auto"/>
              </w:rPr>
              <w:t>(53.0)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29" w:lineRule="exact"/>
              <w:rPr>
                <w:sz w:val="20"/>
                <w:szCs w:val="20"/>
                <w:color w:val="auto"/>
              </w:rPr>
            </w:pPr>
            <w:r>
              <w:rPr>
                <w:rFonts w:ascii="Times New Roman" w:cs="Times New Roman" w:eastAsia="Times New Roman" w:hAnsi="Times New Roman"/>
                <w:sz w:val="13"/>
                <w:szCs w:val="13"/>
                <w:color w:val="auto"/>
              </w:rPr>
              <w:t>(41.1)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3,427.7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OPERATING EXPENSES:</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1,888.5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487.5</w:t>
            </w:r>
          </w:p>
        </w:tc>
        <w:tc>
          <w:tcPr>
            <w:tcW w:w="1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1"/>
              <w:spacing w:after="0" w:line="136" w:lineRule="exact"/>
              <w:rPr>
                <w:sz w:val="20"/>
                <w:szCs w:val="20"/>
                <w:color w:val="auto"/>
              </w:rPr>
            </w:pPr>
            <w:r>
              <w:rPr>
                <w:rFonts w:ascii="Times New Roman" w:cs="Times New Roman" w:eastAsia="Times New Roman" w:hAnsi="Times New Roman"/>
                <w:sz w:val="13"/>
                <w:szCs w:val="13"/>
                <w:color w:val="auto"/>
              </w:rPr>
              <w:t>(95.2)a,d,g</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(29.6)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2,251.2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75.0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8.3</w:t>
            </w:r>
          </w:p>
        </w:tc>
        <w:tc>
          <w:tcPr>
            <w:tcW w:w="120" w:type="dxa"/>
            <w:vAlign w:val="bottom"/>
          </w:tcPr>
          <w:p>
            <w:pPr>
              <w:spacing w:after="0"/>
              <w:rPr>
                <w:sz w:val="11"/>
                <w:szCs w:val="11"/>
                <w:color w:val="auto"/>
              </w:rPr>
            </w:pPr>
          </w:p>
        </w:tc>
        <w:tc>
          <w:tcPr>
            <w:tcW w:w="1360" w:type="dxa"/>
            <w:vAlign w:val="bottom"/>
            <w:gridSpan w:val="2"/>
          </w:tcPr>
          <w:p>
            <w:pPr>
              <w:ind w:left="760"/>
              <w:spacing w:after="0" w:line="136" w:lineRule="exact"/>
              <w:rPr>
                <w:sz w:val="20"/>
                <w:szCs w:val="20"/>
                <w:color w:val="auto"/>
              </w:rPr>
            </w:pPr>
            <w:r>
              <w:rPr>
                <w:rFonts w:ascii="Times New Roman" w:cs="Times New Roman" w:eastAsia="Times New Roman" w:hAnsi="Times New Roman"/>
                <w:sz w:val="13"/>
                <w:szCs w:val="13"/>
                <w:color w:val="auto"/>
              </w:rPr>
              <w:t>16.7 a,c</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7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99.5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impairments</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835.6</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77.4</w:t>
            </w: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25.5</w:t>
            </w:r>
          </w:p>
        </w:tc>
        <w:tc>
          <w:tcPr>
            <w:tcW w:w="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29" w:lineRule="exact"/>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ind w:left="7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927.5</w:t>
            </w: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OTHER EXPENSES (INCOME):</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Floor plan interest expense</w:t>
            </w: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89.9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22.5</w:t>
            </w:r>
          </w:p>
        </w:tc>
        <w:tc>
          <w:tcPr>
            <w:tcW w:w="120" w:type="dxa"/>
            <w:vAlign w:val="bottom"/>
          </w:tcPr>
          <w:p>
            <w:pPr>
              <w:spacing w:after="0"/>
              <w:rPr>
                <w:sz w:val="11"/>
                <w:szCs w:val="11"/>
                <w:color w:val="auto"/>
              </w:rPr>
            </w:pPr>
          </w:p>
        </w:tc>
        <w:tc>
          <w:tcPr>
            <w:tcW w:w="1360" w:type="dxa"/>
            <w:vAlign w:val="bottom"/>
            <w:gridSpan w:val="2"/>
          </w:tcPr>
          <w:p>
            <w:pPr>
              <w:jc w:val="right"/>
              <w:ind w:right="161"/>
              <w:spacing w:after="0" w:line="136" w:lineRule="exact"/>
              <w:rPr>
                <w:sz w:val="20"/>
                <w:szCs w:val="20"/>
                <w:color w:val="auto"/>
              </w:rPr>
            </w:pPr>
            <w:r>
              <w:rPr>
                <w:rFonts w:ascii="Times New Roman" w:cs="Times New Roman" w:eastAsia="Times New Roman" w:hAnsi="Times New Roman"/>
                <w:sz w:val="13"/>
                <w:szCs w:val="13"/>
                <w:color w:val="auto"/>
              </w:rPr>
              <w:t>(22.5)a,i</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80"/>
              <w:spacing w:after="0" w:line="136" w:lineRule="exact"/>
              <w:rPr>
                <w:sz w:val="20"/>
                <w:szCs w:val="20"/>
                <w:color w:val="auto"/>
              </w:rPr>
            </w:pPr>
            <w:r>
              <w:rPr>
                <w:rFonts w:ascii="Times New Roman" w:cs="Times New Roman" w:eastAsia="Times New Roman" w:hAnsi="Times New Roman"/>
                <w:sz w:val="13"/>
                <w:szCs w:val="13"/>
                <w:color w:val="auto"/>
              </w:rPr>
              <w:t>34.8j,k,n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123.4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Other interest expense, net</w:t>
            </w:r>
          </w:p>
        </w:tc>
        <w:tc>
          <w:tcPr>
            <w:tcW w:w="1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179.1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321"/>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81"/>
              <w:spacing w:after="0" w:line="136"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ind w:left="680"/>
              <w:spacing w:after="0" w:line="136" w:lineRule="exact"/>
              <w:rPr>
                <w:sz w:val="20"/>
                <w:szCs w:val="20"/>
                <w:color w:val="auto"/>
              </w:rPr>
            </w:pPr>
            <w:r>
              <w:rPr>
                <w:rFonts w:ascii="Times New Roman" w:cs="Times New Roman" w:eastAsia="Times New Roman" w:hAnsi="Times New Roman"/>
                <w:sz w:val="13"/>
                <w:szCs w:val="13"/>
                <w:color w:val="auto"/>
              </w:rPr>
              <w:t>74.7l,m,n</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253.5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dealership divestitures, net</w:t>
            </w:r>
          </w:p>
        </w:tc>
        <w:tc>
          <w:tcPr>
            <w:tcW w:w="12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(13.2)</w:t>
            </w:r>
          </w:p>
        </w:tc>
        <w:tc>
          <w:tcPr>
            <w:tcW w:w="120" w:type="dxa"/>
            <w:vAlign w:val="bottom"/>
          </w:tcPr>
          <w:p>
            <w:pPr>
              <w:spacing w:after="0"/>
              <w:rPr>
                <w:sz w:val="12"/>
                <w:szCs w:val="12"/>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13.2 a</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29"/>
        </w:trPr>
        <w:tc>
          <w:tcPr>
            <w:tcW w:w="3280" w:type="dxa"/>
            <w:vAlign w:val="bottom"/>
            <w:tcBorders>
              <w:top w:val="single" w:sz="8" w:color="CCEEFF"/>
            </w:tcBorders>
            <w:shd w:val="clear" w:color="auto" w:fill="CCEEFF"/>
          </w:tcPr>
          <w:p>
            <w:pPr>
              <w:ind w:left="300"/>
              <w:spacing w:after="0" w:line="129" w:lineRule="exact"/>
              <w:rPr>
                <w:sz w:val="20"/>
                <w:szCs w:val="20"/>
                <w:color w:val="auto"/>
              </w:rPr>
            </w:pPr>
            <w:r>
              <w:rPr>
                <w:rFonts w:ascii="Times New Roman" w:cs="Times New Roman" w:eastAsia="Times New Roman" w:hAnsi="Times New Roman"/>
                <w:sz w:val="13"/>
                <w:szCs w:val="13"/>
                <w:color w:val="auto"/>
              </w:rPr>
              <w:t>Total other expenses (income), net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w:t>
            </w:r>
          </w:p>
        </w:tc>
        <w:tc>
          <w:tcPr>
            <w:tcW w:w="360" w:type="dxa"/>
            <w:vAlign w:val="bottom"/>
            <w:tcBorders>
              <w:top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109.5</w:t>
            </w: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368.3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INCOME BEFORE INCOME TAXES</w:t>
            </w:r>
          </w:p>
        </w:tc>
        <w:tc>
          <w:tcPr>
            <w:tcW w:w="12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575.3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34.8</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(9.5)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(109.5)</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559.2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17.4 h</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(2.4)h</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(28.0)h</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280" w:type="dxa"/>
            <w:vAlign w:val="bottom"/>
            <w:tcBorders>
              <w:bottom w:val="single" w:sz="8" w:color="CCEEFF"/>
            </w:tcBorders>
          </w:tcPr>
          <w:p>
            <w:pPr>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430.3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59.1</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17.5</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(7.1</w:t>
            </w:r>
          </w:p>
        </w:tc>
        <w:tc>
          <w:tcPr>
            <w:tcW w:w="16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(81.5</w:t>
            </w:r>
          </w:p>
        </w:tc>
        <w:tc>
          <w:tcPr>
            <w:tcW w:w="360" w:type="dxa"/>
            <w:vAlign w:val="bottom"/>
            <w:tcBorders>
              <w:bottom w:val="single" w:sz="8" w:color="CCEEFF"/>
            </w:tcBorders>
          </w:tcPr>
          <w:p>
            <w:pPr>
              <w:jc w:val="right"/>
              <w:ind w:right="234"/>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418.3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328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3"/>
                <w:szCs w:val="13"/>
                <w:color w:val="auto"/>
              </w:rPr>
              <w:t>EARNINGS PER SHARE:</w:t>
            </w:r>
          </w:p>
        </w:tc>
        <w:tc>
          <w:tcPr>
            <w:tcW w:w="1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income—Basic</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3280" w:type="dxa"/>
            <w:vAlign w:val="bottom"/>
            <w:tcBorders>
              <w:top w:val="single" w:sz="8" w:color="CCEEFF"/>
              <w:bottom w:val="single" w:sz="8" w:color="CCEEFF"/>
            </w:tcBorders>
            <w:shd w:val="clear" w:color="auto" w:fill="CCEEFF"/>
          </w:tcPr>
          <w:p>
            <w:pPr>
              <w:ind w:left="140"/>
              <w:spacing w:after="0" w:line="114" w:lineRule="exact"/>
              <w:rPr>
                <w:sz w:val="20"/>
                <w:szCs w:val="20"/>
                <w:color w:val="auto"/>
              </w:rPr>
            </w:pPr>
            <w:r>
              <w:rPr>
                <w:rFonts w:ascii="Times New Roman" w:cs="Times New Roman" w:eastAsia="Times New Roman" w:hAnsi="Times New Roman"/>
                <w:sz w:val="13"/>
                <w:szCs w:val="13"/>
                <w:color w:val="auto"/>
              </w:rPr>
              <w:t>Net income—Diluted</w:t>
            </w:r>
          </w:p>
        </w:tc>
        <w:tc>
          <w:tcPr>
            <w:tcW w:w="120" w:type="dxa"/>
            <w:vAlign w:val="bottom"/>
            <w:tcBorders>
              <w:top w:val="single" w:sz="8" w:color="auto"/>
              <w:bottom w:val="single" w:sz="8" w:color="auto"/>
            </w:tcBorders>
            <w:shd w:val="clear" w:color="auto" w:fill="CCEEFF"/>
          </w:tcPr>
          <w:p>
            <w:pPr>
              <w:jc w:val="right"/>
              <w:ind w:right="5"/>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3"/>
                <w:szCs w:val="13"/>
                <w:color w:val="auto"/>
              </w:rPr>
              <w:t>21.50</w:t>
            </w: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CCEEFF"/>
              <w:bottom w:val="single" w:sz="8" w:color="CCEEFF"/>
            </w:tcBorders>
            <w:shd w:val="clear" w:color="auto" w:fill="CCEEFF"/>
          </w:tcPr>
          <w:p>
            <w:pPr>
              <w:spacing w:after="0"/>
              <w:rPr>
                <w:sz w:val="9"/>
                <w:szCs w:val="9"/>
                <w:color w:val="auto"/>
              </w:rPr>
            </w:pPr>
          </w:p>
        </w:tc>
        <w:tc>
          <w:tcPr>
            <w:tcW w:w="98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100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88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900" w:type="dxa"/>
            <w:vAlign w:val="bottom"/>
            <w:tcBorders>
              <w:top w:val="single" w:sz="8" w:color="CCEEFF"/>
              <w:bottom w:val="single" w:sz="8" w:color="CCEEFF"/>
            </w:tcBorders>
            <w:shd w:val="clear" w:color="auto" w:fill="CCEEFF"/>
          </w:tcPr>
          <w:p>
            <w:pPr>
              <w:spacing w:after="0"/>
              <w:rPr>
                <w:sz w:val="9"/>
                <w:szCs w:val="9"/>
                <w:color w:val="auto"/>
              </w:rPr>
            </w:pPr>
          </w:p>
        </w:tc>
        <w:tc>
          <w:tcPr>
            <w:tcW w:w="3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5"/>
              <w:spacing w:after="0" w:line="114"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3"/>
                <w:szCs w:val="13"/>
                <w:color w:val="auto"/>
              </w:rPr>
              <w:t>20.92</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WEIGHTED AVERAGE SHARES OUTSTANDING:</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80" w:type="dxa"/>
            <w:vAlign w:val="bottom"/>
          </w:tcPr>
          <w:p>
            <w:pPr>
              <w:ind w:left="140"/>
              <w:spacing w:after="0" w:line="136" w:lineRule="exact"/>
              <w:rPr>
                <w:sz w:val="20"/>
                <w:szCs w:val="20"/>
                <w:color w:val="auto"/>
              </w:rPr>
            </w:pPr>
            <w:r>
              <w:rPr>
                <w:rFonts w:ascii="Times New Roman" w:cs="Times New Roman" w:eastAsia="Times New Roman" w:hAnsi="Times New Roman"/>
                <w:sz w:val="13"/>
                <w:szCs w:val="13"/>
                <w:color w:val="auto"/>
              </w:rPr>
              <w:t>Basic</w:t>
            </w:r>
          </w:p>
        </w:tc>
        <w:tc>
          <w:tcPr>
            <w:tcW w:w="120" w:type="dxa"/>
            <w:vAlign w:val="bottom"/>
          </w:tcPr>
          <w:p>
            <w:pPr>
              <w:spacing w:after="0"/>
              <w:rPr>
                <w:sz w:val="11"/>
                <w:szCs w:val="11"/>
                <w:color w:val="auto"/>
              </w:rPr>
            </w:pP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19.9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Performance share units</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auto"/>
              </w:rPr>
              <w:t>Diluted</w:t>
            </w: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20.0</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7" w:name="page98"/>
    <w:bookmarkEnd w:id="97"/>
    <w:p>
      <w:pPr>
        <w:ind w:left="301" w:hanging="301"/>
        <w:spacing w:after="0"/>
        <w:tabs>
          <w:tab w:leader="none" w:pos="301"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w:t>
      </w:r>
    </w:p>
    <w:p>
      <w:pPr>
        <w:spacing w:after="0" w:line="205" w:lineRule="exact"/>
        <w:rPr>
          <w:sz w:val="20"/>
          <w:szCs w:val="20"/>
          <w:color w:val="auto"/>
        </w:rPr>
      </w:pPr>
    </w:p>
    <w:p>
      <w:pPr>
        <w:ind w:left="1" w:right="280" w:firstLine="297"/>
        <w:spacing w:after="0" w:line="247"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has been prepared in accordance with Article 11 of SEC Regulation S-X. The unaudited pro forma condensed combined information depicts the accounting for the Acquisition ("Pro Forma Adjustments"), along with the Acquisition financing ("Financing Adjustments") and present reasonably estimable synergies and other transaction effects that have occurred or are reasonably expected to occur ("Management's Adjustments"). In addition, the unaudited pro forma condensed combined information depicts the divestiture of two Lexus dealerships and two General Motors dealerships (the "Divestitures") due to manufacturer requirements upon the consummation of the Acquisition. The adjustments presented in the unaudited pro forma condensed combined financial information have been identified and presented to provide relevant information necessary to assist in understanding the Combined Company.</w:t>
      </w:r>
    </w:p>
    <w:p>
      <w:pPr>
        <w:spacing w:after="0" w:line="178" w:lineRule="exact"/>
        <w:rPr>
          <w:sz w:val="20"/>
          <w:szCs w:val="20"/>
          <w:color w:val="auto"/>
        </w:rPr>
      </w:pPr>
    </w:p>
    <w:p>
      <w:pPr>
        <w:ind w:left="1" w:right="80" w:firstLine="297"/>
        <w:spacing w:after="0" w:line="248" w:lineRule="auto"/>
        <w:rPr>
          <w:sz w:val="20"/>
          <w:szCs w:val="20"/>
          <w:color w:val="auto"/>
        </w:rPr>
      </w:pPr>
      <w:r>
        <w:rPr>
          <w:rFonts w:ascii="Times New Roman" w:cs="Times New Roman" w:eastAsia="Times New Roman" w:hAnsi="Times New Roman"/>
          <w:sz w:val="17"/>
          <w:szCs w:val="17"/>
          <w:color w:val="auto"/>
        </w:rPr>
        <w:t xml:space="preserve">The acquisition of the Herb Chambers Dealerships is accounted for as a business combination using the acquisition method of accounting under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Under the acquisition method of accounting, the purchase price is allocated to the underlying tangible and intangible assets acquired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assumed based on their respective fair values at the date of acquisition, with any excess purchase price allocated to goodwill. To date, the Company has estimated a preliminary allocation of the purchase price to the assets acquired and liabilities assumed based on available information, and will complete the allocation of such purchase price as further information becomes available. The final purchase price allocation may differ from that reflected in the unaudited pro forma condensed combined financial information and these differences may be material.</w:t>
      </w:r>
    </w:p>
    <w:p>
      <w:pPr>
        <w:spacing w:after="0" w:line="176" w:lineRule="exact"/>
        <w:rPr>
          <w:sz w:val="20"/>
          <w:szCs w:val="20"/>
          <w:color w:val="auto"/>
        </w:rPr>
      </w:pPr>
    </w:p>
    <w:p>
      <w:pPr>
        <w:ind w:left="1" w:right="40" w:firstLine="297"/>
        <w:spacing w:after="0" w:line="267" w:lineRule="auto"/>
        <w:rPr>
          <w:sz w:val="20"/>
          <w:szCs w:val="20"/>
          <w:color w:val="auto"/>
        </w:rPr>
      </w:pPr>
      <w:r>
        <w:rPr>
          <w:rFonts w:ascii="Times New Roman" w:cs="Times New Roman" w:eastAsia="Times New Roman" w:hAnsi="Times New Roman"/>
          <w:sz w:val="17"/>
          <w:szCs w:val="17"/>
          <w:color w:val="auto"/>
        </w:rPr>
        <w:t>The unaudited pro forma condensed combined statements of income for the year ended December 31, 2024 and the three months ended March 31, 2025 assume that the Acquisition and the related financing, along with the Divestitures, occurred on January 1, 2024.</w:t>
      </w:r>
    </w:p>
    <w:p>
      <w:pPr>
        <w:spacing w:after="0" w:line="160" w:lineRule="exact"/>
        <w:rPr>
          <w:sz w:val="20"/>
          <w:szCs w:val="20"/>
          <w:color w:val="auto"/>
        </w:rPr>
      </w:pPr>
    </w:p>
    <w:p>
      <w:pPr>
        <w:ind w:left="1" w:right="180" w:firstLine="297"/>
        <w:spacing w:after="0" w:line="267" w:lineRule="auto"/>
        <w:rPr>
          <w:sz w:val="20"/>
          <w:szCs w:val="20"/>
          <w:color w:val="auto"/>
        </w:rPr>
      </w:pPr>
      <w:r>
        <w:rPr>
          <w:rFonts w:ascii="Times New Roman" w:cs="Times New Roman" w:eastAsia="Times New Roman" w:hAnsi="Times New Roman"/>
          <w:sz w:val="17"/>
          <w:szCs w:val="17"/>
          <w:color w:val="auto"/>
        </w:rPr>
        <w:t>The unaudited pro forma condensed combined consolidated balance sheet as of March 31, 2025 assumes that the Transaction and the related financing, along with the Divestitures, occurred on March 31, 2025.</w:t>
      </w:r>
    </w:p>
    <w:p>
      <w:pPr>
        <w:spacing w:after="0" w:line="160" w:lineRule="exact"/>
        <w:rPr>
          <w:sz w:val="20"/>
          <w:szCs w:val="20"/>
          <w:color w:val="auto"/>
        </w:rPr>
      </w:pPr>
    </w:p>
    <w:p>
      <w:pPr>
        <w:ind w:left="1" w:right="140" w:firstLine="297"/>
        <w:spacing w:after="0" w:line="267" w:lineRule="auto"/>
        <w:rPr>
          <w:sz w:val="20"/>
          <w:szCs w:val="20"/>
          <w:color w:val="auto"/>
        </w:rPr>
      </w:pPr>
      <w:r>
        <w:rPr>
          <w:rFonts w:ascii="Times New Roman" w:cs="Times New Roman" w:eastAsia="Times New Roman" w:hAnsi="Times New Roman"/>
          <w:sz w:val="17"/>
          <w:szCs w:val="17"/>
          <w:color w:val="auto"/>
        </w:rPr>
        <w:t>Additionally, the assets, liabilities and financial results of Herb Chambers I-93, Inc., and Herb Chambers Route 9, Inc. have also been excluded from the pro forma financial information since they were excluded from the Acquisition.</w:t>
      </w:r>
    </w:p>
    <w:p>
      <w:pPr>
        <w:spacing w:after="0" w:line="160" w:lineRule="exact"/>
        <w:rPr>
          <w:sz w:val="20"/>
          <w:szCs w:val="20"/>
          <w:color w:val="auto"/>
        </w:rPr>
      </w:pPr>
    </w:p>
    <w:p>
      <w:pPr>
        <w:ind w:left="1" w:firstLine="297"/>
        <w:spacing w:after="0" w:line="251" w:lineRule="auto"/>
        <w:rPr>
          <w:sz w:val="20"/>
          <w:szCs w:val="20"/>
          <w:color w:val="auto"/>
        </w:rPr>
      </w:pPr>
      <w:r>
        <w:rPr>
          <w:rFonts w:ascii="Times New Roman" w:cs="Times New Roman" w:eastAsia="Times New Roman" w:hAnsi="Times New Roman"/>
          <w:sz w:val="17"/>
          <w:szCs w:val="17"/>
          <w:color w:val="auto"/>
        </w:rPr>
        <w:t>Management of the Company is currently in the process of conducting a more detailed review of accounting policies used in the historical financial statements of the Herb Chambers Dealerships to determine if differences in accounting policies require any reclassification to conform to the Company’s accounting policies and classifications. As a result, we may identify differences between the accounting policies of the two companies that, when conformed, could have a material impact on the unaudited pro forma condensed combined financial information.</w:t>
      </w:r>
    </w:p>
    <w:p>
      <w:pPr>
        <w:spacing w:after="0" w:line="173" w:lineRule="exact"/>
        <w:rPr>
          <w:sz w:val="20"/>
          <w:szCs w:val="20"/>
          <w:color w:val="auto"/>
        </w:rPr>
      </w:pPr>
    </w:p>
    <w:p>
      <w:pPr>
        <w:ind w:left="1" w:right="60" w:firstLine="297"/>
        <w:spacing w:after="0" w:line="246" w:lineRule="auto"/>
        <w:rPr>
          <w:sz w:val="20"/>
          <w:szCs w:val="20"/>
          <w:color w:val="auto"/>
        </w:rPr>
      </w:pPr>
      <w:r>
        <w:rPr>
          <w:rFonts w:ascii="Times New Roman" w:cs="Times New Roman" w:eastAsia="Times New Roman" w:hAnsi="Times New Roman"/>
          <w:sz w:val="17"/>
          <w:szCs w:val="17"/>
          <w:color w:val="auto"/>
        </w:rPr>
        <w:t>The pro forma adjustments reported in these financial statements are based upon available information and certain assumptions that the Company’s management believe are reasonable. The unaudited pro forma condensed combined financial information is presented for informational purposes only and is not intended to represent or be indicative of what the results of operations or financial condition would have been had the Pro Forma Transaction actually occurred on the date indicated, nor is it meant to be indicative of future results of operations or financial condition for any future period or as of any future date. The unaudited pro forma condensed combined financial information does not reflect the realization of any expected cost savings or other synergies from the Acquisition. See the accompanying Note 6, Management's Adjustments, for details on expected cost savings. The unaudited pro forma condensed combined financial information of the Combined Company should be read in conjunction with the audited and unaudited historical financial statements and related notes of the Company and the Herb Chambers Dealerships for the year ended December 31, 2024 and the three months ended March 31, 2025.</w:t>
      </w:r>
    </w:p>
    <w:p>
      <w:pPr>
        <w:spacing w:after="0" w:line="3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01"/>
          </w:cols>
          <w:pgMar w:left="319" w:top="838"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color w:val="auto"/>
        </w:rPr>
        <w:t>2. Reclassifications</w:t>
      </w:r>
    </w:p>
    <w:p>
      <w:pPr>
        <w:spacing w:after="0" w:line="205" w:lineRule="exact"/>
        <w:rPr>
          <w:sz w:val="20"/>
          <w:szCs w:val="20"/>
          <w:color w:val="auto"/>
        </w:rPr>
      </w:pPr>
    </w:p>
    <w:p>
      <w:pPr>
        <w:ind w:right="540" w:firstLine="297"/>
        <w:spacing w:after="0" w:line="267" w:lineRule="auto"/>
        <w:rPr>
          <w:sz w:val="20"/>
          <w:szCs w:val="20"/>
          <w:color w:val="auto"/>
        </w:rPr>
      </w:pPr>
      <w:r>
        <w:rPr>
          <w:rFonts w:ascii="Times New Roman" w:cs="Times New Roman" w:eastAsia="Times New Roman" w:hAnsi="Times New Roman"/>
          <w:sz w:val="17"/>
          <w:szCs w:val="17"/>
          <w:color w:val="auto"/>
        </w:rPr>
        <w:t>The following reclassification adjustments were made to conform the presentation of the Herb Chambers Dealerships financial information to the Company’s presentation:</w:t>
      </w:r>
    </w:p>
    <w:p>
      <w:pPr>
        <w:spacing w:after="0" w:line="156" w:lineRule="exact"/>
        <w:rPr>
          <w:sz w:val="20"/>
          <w:szCs w:val="20"/>
          <w:color w:val="auto"/>
        </w:rPr>
      </w:pPr>
    </w:p>
    <w:tbl>
      <w:tblPr>
        <w:tblLayout w:type="fixed"/>
        <w:tblInd w:w="600" w:type="dxa"/>
        <w:tblCellMar>
          <w:top w:w="0" w:type="dxa"/>
          <w:left w:w="0" w:type="dxa"/>
          <w:bottom w:w="0" w:type="dxa"/>
          <w:right w:w="0" w:type="dxa"/>
        </w:tblCellMar>
      </w:tblPr>
      <w:tr>
        <w:trPr>
          <w:trHeight w:val="198"/>
        </w:trPr>
        <w:tc>
          <w:tcPr>
            <w:tcW w:w="3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Presentation in Herb Chambers</w:t>
            </w:r>
          </w:p>
        </w:tc>
        <w:tc>
          <w:tcPr>
            <w:tcW w:w="12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Presentation in Unaudited Pro</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317"/>
              <w:spacing w:after="0"/>
              <w:rPr>
                <w:sz w:val="20"/>
                <w:szCs w:val="20"/>
                <w:color w:val="auto"/>
              </w:rPr>
            </w:pPr>
            <w:r>
              <w:rPr>
                <w:rFonts w:ascii="Times New Roman" w:cs="Times New Roman" w:eastAsia="Times New Roman" w:hAnsi="Times New Roman"/>
                <w:sz w:val="17"/>
                <w:szCs w:val="17"/>
                <w:b w:val="1"/>
                <w:bCs w:val="1"/>
                <w:color w:val="auto"/>
                <w:w w:val="96"/>
              </w:rPr>
              <w:t>Three Months</w:t>
            </w: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Year Ended</w:t>
            </w:r>
          </w:p>
        </w:tc>
        <w:tc>
          <w:tcPr>
            <w:tcW w:w="0" w:type="dxa"/>
            <w:vAlign w:val="bottom"/>
          </w:tcPr>
          <w:p>
            <w:pPr>
              <w:spacing w:after="0"/>
              <w:rPr>
                <w:sz w:val="1"/>
                <w:szCs w:val="1"/>
                <w:color w:val="auto"/>
              </w:rPr>
            </w:pPr>
          </w:p>
        </w:tc>
      </w:tr>
      <w:tr>
        <w:trPr>
          <w:trHeight w:val="198"/>
        </w:trPr>
        <w:tc>
          <w:tcPr>
            <w:tcW w:w="3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Dealerships Combined Statements of</w:t>
            </w:r>
          </w:p>
        </w:tc>
        <w:tc>
          <w:tcPr>
            <w:tcW w:w="12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Forma Condensed Combined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97"/>
              <w:spacing w:after="0"/>
              <w:rPr>
                <w:sz w:val="20"/>
                <w:szCs w:val="20"/>
                <w:color w:val="auto"/>
              </w:rPr>
            </w:pPr>
            <w:r>
              <w:rPr>
                <w:rFonts w:ascii="Times New Roman" w:cs="Times New Roman" w:eastAsia="Times New Roman" w:hAnsi="Times New Roman"/>
                <w:sz w:val="17"/>
                <w:szCs w:val="17"/>
                <w:b w:val="1"/>
                <w:bCs w:val="1"/>
                <w:color w:val="auto"/>
                <w:w w:val="96"/>
              </w:rPr>
              <w:t>Ended March 31,</w:t>
            </w: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0" w:type="dxa"/>
            <w:vAlign w:val="bottom"/>
          </w:tcPr>
          <w:p>
            <w:pPr>
              <w:spacing w:after="0"/>
              <w:rPr>
                <w:sz w:val="1"/>
                <w:szCs w:val="1"/>
                <w:color w:val="auto"/>
              </w:rPr>
            </w:pPr>
          </w:p>
        </w:tc>
      </w:tr>
      <w:tr>
        <w:trPr>
          <w:trHeight w:val="219"/>
        </w:trPr>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Operations and Comprehensive Income</w:t>
            </w:r>
          </w:p>
        </w:tc>
        <w:tc>
          <w:tcPr>
            <w:tcW w:w="120" w:type="dxa"/>
            <w:vAlign w:val="bottom"/>
          </w:tcPr>
          <w:p>
            <w:pPr>
              <w:spacing w:after="0"/>
              <w:rPr>
                <w:sz w:val="19"/>
                <w:szCs w:val="19"/>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Statements of Income</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3"/>
              </w:rPr>
              <w:t>2025</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(Dollars</w:t>
            </w:r>
          </w:p>
        </w:tc>
        <w:tc>
          <w:tcPr>
            <w:tcW w:w="200" w:type="dxa"/>
            <w:vAlign w:val="bottom"/>
            <w:vMerge w:val="continue"/>
          </w:tcPr>
          <w:p>
            <w:pPr>
              <w:spacing w:after="0"/>
              <w:rPr>
                <w:sz w:val="16"/>
                <w:szCs w:val="16"/>
                <w:color w:val="auto"/>
              </w:rPr>
            </w:pPr>
          </w:p>
        </w:tc>
        <w:tc>
          <w:tcPr>
            <w:tcW w:w="166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Floor plan interest expense</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115.9</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468.5</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income, net</w:t>
            </w:r>
          </w:p>
        </w:tc>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Revenue—Finance and insurance, net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Gain on sale of franchise</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Gain on dealership divestitures, net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 expense</w:t>
            </w:r>
          </w:p>
        </w:tc>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198"/>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Revenue—New vehicle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98"/>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3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Revenue—Used vehicle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0.5</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5"/>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bl>
    <w:p>
      <w:pPr>
        <w:spacing w:after="0" w:line="161" w:lineRule="exact"/>
        <w:rPr>
          <w:sz w:val="20"/>
          <w:szCs w:val="20"/>
          <w:color w:val="auto"/>
        </w:rPr>
      </w:pPr>
    </w:p>
    <w:tbl>
      <w:tblPr>
        <w:tblLayout w:type="fixed"/>
        <w:tblInd w:w="600" w:type="dxa"/>
        <w:tblCellMar>
          <w:top w:w="0" w:type="dxa"/>
          <w:left w:w="0" w:type="dxa"/>
          <w:bottom w:w="0" w:type="dxa"/>
          <w:right w:w="0" w:type="dxa"/>
        </w:tblCellMar>
      </w:tblPr>
      <w:tr>
        <w:trPr>
          <w:trHeight w:val="198"/>
        </w:trPr>
        <w:tc>
          <w:tcPr>
            <w:tcW w:w="366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Presentation in Herb Chambers</w:t>
            </w:r>
          </w:p>
        </w:tc>
        <w:tc>
          <w:tcPr>
            <w:tcW w:w="120" w:type="dxa"/>
            <w:vAlign w:val="bottom"/>
          </w:tcPr>
          <w:p>
            <w:pPr>
              <w:spacing w:after="0"/>
              <w:rPr>
                <w:sz w:val="17"/>
                <w:szCs w:val="17"/>
                <w:color w:val="auto"/>
              </w:rPr>
            </w:pPr>
          </w:p>
        </w:tc>
        <w:tc>
          <w:tcPr>
            <w:tcW w:w="44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Presentation in Unaudited Pro Forma</w:t>
            </w: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366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Dealerships Combined Balance Sheet</w:t>
            </w:r>
          </w:p>
        </w:tc>
        <w:tc>
          <w:tcPr>
            <w:tcW w:w="120" w:type="dxa"/>
            <w:vAlign w:val="bottom"/>
          </w:tcPr>
          <w:p>
            <w:pPr>
              <w:spacing w:after="0"/>
              <w:rPr>
                <w:sz w:val="19"/>
                <w:szCs w:val="19"/>
                <w:color w:val="auto"/>
              </w:rPr>
            </w:pPr>
          </w:p>
        </w:tc>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Condensed Combined Balance Sheet</w:t>
            </w:r>
          </w:p>
        </w:tc>
        <w:tc>
          <w:tcPr>
            <w:tcW w:w="20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As of March 31, 2025</w:t>
            </w:r>
          </w:p>
        </w:tc>
      </w:tr>
      <w:tr>
        <w:trPr>
          <w:trHeight w:val="191"/>
        </w:trPr>
        <w:tc>
          <w:tcPr>
            <w:tcW w:w="3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jc w:val="right"/>
              <w:ind w:right="337"/>
              <w:spacing w:after="0" w:line="191" w:lineRule="exact"/>
              <w:rPr>
                <w:sz w:val="20"/>
                <w:szCs w:val="20"/>
                <w:color w:val="auto"/>
              </w:rPr>
            </w:pPr>
            <w:r>
              <w:rPr>
                <w:rFonts w:ascii="Times New Roman" w:cs="Times New Roman" w:eastAsia="Times New Roman" w:hAnsi="Times New Roman"/>
                <w:sz w:val="17"/>
                <w:szCs w:val="17"/>
                <w:color w:val="auto"/>
              </w:rPr>
              <w:t>(Dollars in millions)</w:t>
            </w:r>
          </w:p>
        </w:tc>
        <w:tc>
          <w:tcPr>
            <w:tcW w:w="100" w:type="dxa"/>
            <w:vAlign w:val="bottom"/>
          </w:tcPr>
          <w:p>
            <w:pPr>
              <w:spacing w:after="0"/>
              <w:rPr>
                <w:sz w:val="16"/>
                <w:szCs w:val="16"/>
                <w:color w:val="auto"/>
              </w:rPr>
            </w:pPr>
          </w:p>
        </w:tc>
      </w:tr>
      <w:tr>
        <w:trPr>
          <w:trHeight w:val="19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Contracts-in-transit, net</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50.5</w:t>
            </w:r>
          </w:p>
        </w:tc>
      </w:tr>
      <w:tr>
        <w:trPr>
          <w:trHeight w:val="19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Due from related parties</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Pr>
          <w:p>
            <w:pPr>
              <w:spacing w:after="0"/>
              <w:rPr>
                <w:sz w:val="17"/>
                <w:szCs w:val="17"/>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w:t>
            </w:r>
          </w:p>
        </w:tc>
      </w:tr>
      <w:tr>
        <w:trPr>
          <w:trHeight w:val="19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taxes and expenses</w:t>
            </w: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w:t>
            </w:r>
          </w:p>
        </w:tc>
      </w:tr>
      <w:tr>
        <w:trPr>
          <w:trHeight w:val="19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Pr>
          <w:p>
            <w:pPr>
              <w:spacing w:after="0"/>
              <w:rPr>
                <w:sz w:val="17"/>
                <w:szCs w:val="17"/>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52.9</w:t>
            </w:r>
          </w:p>
        </w:tc>
      </w:tr>
      <w:tr>
        <w:trPr>
          <w:trHeight w:val="19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partnerships</w:t>
            </w: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Investments</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r>
      <w:tr>
        <w:trPr>
          <w:trHeight w:val="19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Due from owner</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Other long-term assets</w:t>
            </w:r>
          </w:p>
        </w:tc>
        <w:tc>
          <w:tcPr>
            <w:tcW w:w="200" w:type="dxa"/>
            <w:vAlign w:val="bottom"/>
          </w:tcPr>
          <w:p>
            <w:pPr>
              <w:spacing w:after="0"/>
              <w:rPr>
                <w:sz w:val="17"/>
                <w:szCs w:val="17"/>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105.3</w:t>
            </w:r>
          </w:p>
        </w:tc>
      </w:tr>
      <w:tr>
        <w:trPr>
          <w:trHeight w:val="19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finance lease liability</w:t>
            </w: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0.4</w:t>
            </w:r>
          </w:p>
        </w:tc>
      </w:tr>
      <w:tr>
        <w:trPr>
          <w:trHeight w:val="19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Floor plan notes payable</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tcPr>
          <w:p>
            <w:pPr>
              <w:spacing w:after="0"/>
              <w:rPr>
                <w:sz w:val="17"/>
                <w:szCs w:val="17"/>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51.5</w:t>
            </w:r>
          </w:p>
        </w:tc>
      </w:tr>
      <w:tr>
        <w:trPr>
          <w:trHeight w:val="19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Floor plan notes payable</w:t>
            </w: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Floor plan notes payable—trade, net</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114.5</w:t>
            </w:r>
          </w:p>
        </w:tc>
      </w:tr>
      <w:tr>
        <w:trPr>
          <w:trHeight w:val="19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Floor plan notes payable</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Floor plan notes payable—non-trade, net</w:t>
            </w:r>
          </w:p>
        </w:tc>
        <w:tc>
          <w:tcPr>
            <w:tcW w:w="200" w:type="dxa"/>
            <w:vAlign w:val="bottom"/>
          </w:tcPr>
          <w:p>
            <w:pPr>
              <w:spacing w:after="0"/>
              <w:rPr>
                <w:sz w:val="17"/>
                <w:szCs w:val="17"/>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290.3</w:t>
            </w:r>
          </w:p>
        </w:tc>
      </w:tr>
      <w:tr>
        <w:trPr>
          <w:trHeight w:val="198"/>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 loss fund</w:t>
            </w:r>
          </w:p>
        </w:tc>
        <w:tc>
          <w:tcPr>
            <w:tcW w:w="4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r>
      <w:tr>
        <w:trPr>
          <w:trHeight w:val="215"/>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liability, net of current portion</w:t>
            </w:r>
          </w:p>
        </w:tc>
        <w:tc>
          <w:tcPr>
            <w:tcW w:w="45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8"/>
                <w:szCs w:val="18"/>
                <w:color w:val="auto"/>
              </w:rPr>
            </w:pPr>
          </w:p>
        </w:tc>
        <w:tc>
          <w:tcPr>
            <w:tcW w:w="2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Pro Forma Adjustments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pro forma adjustments set forth in the unaudited pro forma condensed combined financial information reflect the following:</w:t>
      </w:r>
    </w:p>
    <w:p>
      <w:pPr>
        <w:spacing w:after="0" w:line="201" w:lineRule="exact"/>
        <w:rPr>
          <w:sz w:val="20"/>
          <w:szCs w:val="20"/>
          <w:color w:val="auto"/>
        </w:rPr>
      </w:pPr>
    </w:p>
    <w:p>
      <w:pPr>
        <w:ind w:left="1180" w:hanging="586"/>
        <w:spacing w:after="0" w:line="255" w:lineRule="auto"/>
        <w:tabs>
          <w:tab w:leader="none" w:pos="11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elimination of assets and liabilities not assumed in connection with the Acquisition and the related income and expense items. These adjustments include the elimination of rent expense of $16.4 million and $51.3 million for the three months ended March 31, 2025 and the year ended December 31, 2024, respectively, related to real property acquired by the Company.</w:t>
      </w:r>
    </w:p>
    <w:p>
      <w:pPr>
        <w:spacing w:after="0" w:line="169" w:lineRule="exact"/>
        <w:rPr>
          <w:rFonts w:ascii="Times New Roman" w:cs="Times New Roman" w:eastAsia="Times New Roman" w:hAnsi="Times New Roman"/>
          <w:sz w:val="17"/>
          <w:szCs w:val="17"/>
          <w:color w:val="auto"/>
        </w:rPr>
      </w:pPr>
    </w:p>
    <w:p>
      <w:pPr>
        <w:ind w:left="1180" w:right="20" w:hanging="586"/>
        <w:spacing w:after="0" w:line="281" w:lineRule="auto"/>
        <w:tabs>
          <w:tab w:leader="none" w:pos="11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Recording the preliminary fair value estimate of inventory acquired of $406.1 million adjusted to exclude a last-in, first-out ("LIFO") reserve of $28.1 million. Based on the preliminary fair value estimate, no significant future income statement impact is anticipated related to this fair value adjustment. In addition, the impact of the LIFO reserve within the historical Herb Chambers Dealerships was eliminated from the Unaudited Pro Forma Condensed Combined Statements of Income for the year ended December 31, 2024 and the three months ended March 31, 2025, resulting in a</w:t>
      </w:r>
    </w:p>
    <w:p>
      <w:pPr>
        <w:spacing w:after="0" w:line="2" w:lineRule="exact"/>
        <w:rPr>
          <w:rFonts w:ascii="Times New Roman" w:cs="Times New Roman" w:eastAsia="Times New Roman" w:hAnsi="Times New Roman"/>
          <w:sz w:val="15"/>
          <w:szCs w:val="15"/>
          <w:color w:val="auto"/>
        </w:rPr>
      </w:pPr>
    </w:p>
    <w:p>
      <w:pPr>
        <w:ind w:left="11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$2.3 million and $0.6 million increase, respectively, to income before taxes.</w:t>
      </w:r>
    </w:p>
    <w:p>
      <w:pPr>
        <w:spacing w:after="0" w:line="184" w:lineRule="exact"/>
        <w:rPr>
          <w:rFonts w:ascii="Times New Roman" w:cs="Times New Roman" w:eastAsia="Times New Roman" w:hAnsi="Times New Roman"/>
          <w:sz w:val="15"/>
          <w:szCs w:val="15"/>
          <w:color w:val="auto"/>
        </w:rPr>
      </w:pPr>
    </w:p>
    <w:p>
      <w:pPr>
        <w:ind w:left="1180" w:right="20" w:hanging="586"/>
        <w:spacing w:after="0" w:line="255" w:lineRule="auto"/>
        <w:tabs>
          <w:tab w:leader="none" w:pos="11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preliminary adjustment of $610.0 million to reflect the fair value of real property and leasehold improvements acquired. The estimated fair value of property and equipment is expected to be depreciated over their estimated useful lives as shown below. Depreciation expense of $4.4 million and $17.5 million for the three months ended March 31, 2025 and the year ended December 31, 2024, respectively, was recorded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99" w:name="page100"/>
    <w:bookmarkEnd w:id="99"/>
    <w:p>
      <w:pPr>
        <w:ind w:left="1181"/>
        <w:spacing w:after="0"/>
        <w:rPr>
          <w:sz w:val="20"/>
          <w:szCs w:val="20"/>
          <w:color w:val="auto"/>
        </w:rPr>
      </w:pPr>
      <w:r>
        <w:rPr>
          <w:rFonts w:ascii="Times New Roman" w:cs="Times New Roman" w:eastAsia="Times New Roman" w:hAnsi="Times New Roman"/>
          <w:sz w:val="17"/>
          <w:szCs w:val="17"/>
          <w:color w:val="auto"/>
        </w:rPr>
        <w:t>using the adjusted fair values and is reflected in the Unaudited Pro Forma Condensed Combined Statements of Income.</w:t>
      </w:r>
    </w:p>
    <w:p>
      <w:pPr>
        <w:spacing w:after="0" w:line="201" w:lineRule="exact"/>
        <w:rPr>
          <w:sz w:val="20"/>
          <w:szCs w:val="20"/>
          <w:color w:val="auto"/>
        </w:rPr>
      </w:pPr>
    </w:p>
    <w:tbl>
      <w:tblPr>
        <w:tblLayout w:type="fixed"/>
        <w:tblInd w:w="821" w:type="dxa"/>
        <w:tblCellMar>
          <w:top w:w="0" w:type="dxa"/>
          <w:left w:w="0" w:type="dxa"/>
          <w:bottom w:w="0" w:type="dxa"/>
          <w:right w:w="0" w:type="dxa"/>
        </w:tblCellMar>
      </w:tblPr>
      <w:tr>
        <w:trPr>
          <w:trHeight w:val="215"/>
        </w:trPr>
        <w:tc>
          <w:tcPr>
            <w:tcW w:w="64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asset classes and estimated useful lives are summarized below:</w:t>
            </w:r>
          </w:p>
        </w:tc>
        <w:tc>
          <w:tcPr>
            <w:tcW w:w="3140" w:type="dxa"/>
            <w:vAlign w:val="bottom"/>
          </w:tcPr>
          <w:p>
            <w:pPr>
              <w:spacing w:after="0"/>
              <w:rPr>
                <w:sz w:val="18"/>
                <w:szCs w:val="18"/>
                <w:color w:val="auto"/>
              </w:rPr>
            </w:pPr>
          </w:p>
        </w:tc>
      </w:tr>
      <w:tr>
        <w:trPr>
          <w:trHeight w:val="396"/>
        </w:trPr>
        <w:tc>
          <w:tcPr>
            <w:tcW w:w="6420" w:type="dxa"/>
            <w:vAlign w:val="bottom"/>
            <w:gridSpan w:val="2"/>
          </w:tcPr>
          <w:p>
            <w:pPr>
              <w:ind w:left="2760"/>
              <w:spacing w:after="0"/>
              <w:rPr>
                <w:sz w:val="20"/>
                <w:szCs w:val="20"/>
                <w:color w:val="auto"/>
              </w:rPr>
            </w:pPr>
            <w:r>
              <w:rPr>
                <w:rFonts w:ascii="Times New Roman" w:cs="Times New Roman" w:eastAsia="Times New Roman" w:hAnsi="Times New Roman"/>
                <w:sz w:val="17"/>
                <w:szCs w:val="17"/>
                <w:b w:val="1"/>
                <w:bCs w:val="1"/>
                <w:color w:val="auto"/>
              </w:rPr>
              <w:t>Asset Class</w:t>
            </w:r>
          </w:p>
        </w:tc>
        <w:tc>
          <w:tcPr>
            <w:tcW w:w="3140" w:type="dxa"/>
            <w:vAlign w:val="bottom"/>
          </w:tcPr>
          <w:p>
            <w:pPr>
              <w:ind w:left="860"/>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191"/>
        </w:trPr>
        <w:tc>
          <w:tcPr>
            <w:tcW w:w="63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Land</w:t>
            </w:r>
          </w:p>
        </w:tc>
        <w:tc>
          <w:tcPr>
            <w:tcW w:w="10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N/A</w:t>
            </w:r>
          </w:p>
        </w:tc>
      </w:tr>
      <w:tr>
        <w:trPr>
          <w:trHeight w:val="198"/>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10-40 years</w:t>
            </w:r>
          </w:p>
        </w:tc>
      </w:tr>
      <w:tr>
        <w:trPr>
          <w:trHeight w:val="198"/>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Parts and service equipment</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5-10 years</w:t>
            </w:r>
          </w:p>
        </w:tc>
      </w:tr>
      <w:tr>
        <w:trPr>
          <w:trHeight w:val="198"/>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3-10 years</w:t>
            </w:r>
          </w:p>
        </w:tc>
      </w:tr>
      <w:tr>
        <w:trPr>
          <w:trHeight w:val="198"/>
        </w:trPr>
        <w:tc>
          <w:tcPr>
            <w:tcW w:w="6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 vehicles and other transportation equipment</w:t>
            </w: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3-5 years</w:t>
            </w:r>
          </w:p>
        </w:tc>
      </w:tr>
      <w:tr>
        <w:trPr>
          <w:trHeight w:val="215"/>
        </w:trPr>
        <w:tc>
          <w:tcPr>
            <w:tcW w:w="6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N/A</w:t>
            </w:r>
          </w:p>
        </w:tc>
      </w:tr>
    </w:tbl>
    <w:p>
      <w:pPr>
        <w:spacing w:after="0" w:line="190" w:lineRule="exact"/>
        <w:rPr>
          <w:sz w:val="20"/>
          <w:szCs w:val="20"/>
          <w:color w:val="auto"/>
        </w:rPr>
      </w:pPr>
    </w:p>
    <w:p>
      <w:pPr>
        <w:jc w:val="both"/>
        <w:ind w:left="1181" w:right="80" w:hanging="586"/>
        <w:spacing w:after="0" w:line="251" w:lineRule="auto"/>
        <w:tabs>
          <w:tab w:leader="none" w:pos="118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preliminary adjustment to record the right-of-use assets for the operating leases assumed in the Acquisition was $27.7 million, with corresponding adjustments to the long-term lease liability. In addition, an adjustment to selling, general, and administrative expenses of $1.5 million and $5.9 million for the three months ended March 31, 2025 and the year ended December 31, 2024, respectively, was recorded in the Unaudited Pro Forma Condensed Combined Statements of Income in connection with lease rent expense for the assumed leases.</w:t>
      </w:r>
    </w:p>
    <w:p>
      <w:pPr>
        <w:spacing w:after="0" w:line="173" w:lineRule="exact"/>
        <w:rPr>
          <w:rFonts w:ascii="Times New Roman" w:cs="Times New Roman" w:eastAsia="Times New Roman" w:hAnsi="Times New Roman"/>
          <w:sz w:val="17"/>
          <w:szCs w:val="17"/>
          <w:color w:val="auto"/>
        </w:rPr>
      </w:pPr>
    </w:p>
    <w:p>
      <w:pPr>
        <w:ind w:left="1181" w:right="40" w:hanging="586"/>
        <w:spacing w:after="0" w:line="255" w:lineRule="auto"/>
        <w:tabs>
          <w:tab w:leader="none" w:pos="118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recording of $286.8 million of goodwill and $463.2 million of franchise rights acquired. Goodwill represents the excess cost of the Herb Chambers Dealerships over the estimated fair value of the identifiable net assets acquired. Indefinite-lived franchise rights intangible assets represent the Company's rights under franchise agreements with manufacturers, which are recorded at an individual franchise level.</w:t>
      </w:r>
    </w:p>
    <w:p>
      <w:pPr>
        <w:spacing w:after="0" w:line="169" w:lineRule="exact"/>
        <w:rPr>
          <w:rFonts w:ascii="Times New Roman" w:cs="Times New Roman" w:eastAsia="Times New Roman" w:hAnsi="Times New Roman"/>
          <w:sz w:val="17"/>
          <w:szCs w:val="17"/>
          <w:color w:val="auto"/>
        </w:rPr>
      </w:pPr>
    </w:p>
    <w:p>
      <w:pPr>
        <w:ind w:left="1181" w:hanging="586"/>
        <w:spacing w:after="0"/>
        <w:tabs>
          <w:tab w:leader="none" w:pos="118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recording of assumed other current assets and accounts payable and accrued liabilities.</w:t>
      </w:r>
    </w:p>
    <w:p>
      <w:pPr>
        <w:spacing w:after="0" w:line="200" w:lineRule="exact"/>
        <w:rPr>
          <w:rFonts w:ascii="Times New Roman" w:cs="Times New Roman" w:eastAsia="Times New Roman" w:hAnsi="Times New Roman"/>
          <w:sz w:val="17"/>
          <w:szCs w:val="17"/>
          <w:color w:val="auto"/>
        </w:rPr>
      </w:pPr>
    </w:p>
    <w:p>
      <w:pPr>
        <w:ind w:left="1181" w:right="220" w:hanging="586"/>
        <w:spacing w:after="0" w:line="267" w:lineRule="auto"/>
        <w:tabs>
          <w:tab w:leader="none" w:pos="118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recording of $2.2 million in additional transaction costs incurred by the Company subsequent to March 31, 2025. These costs will not affect the Company's income statement beyond 12 months after the acquisition date.</w:t>
      </w:r>
    </w:p>
    <w:p>
      <w:pPr>
        <w:spacing w:after="0" w:line="159" w:lineRule="exact"/>
        <w:rPr>
          <w:rFonts w:ascii="Times New Roman" w:cs="Times New Roman" w:eastAsia="Times New Roman" w:hAnsi="Times New Roman"/>
          <w:sz w:val="17"/>
          <w:szCs w:val="17"/>
          <w:color w:val="auto"/>
        </w:rPr>
      </w:pPr>
    </w:p>
    <w:p>
      <w:pPr>
        <w:ind w:left="1181" w:right="120" w:hanging="586"/>
        <w:spacing w:after="0" w:line="335" w:lineRule="auto"/>
        <w:tabs>
          <w:tab w:leader="none" w:pos="1181" w:val="left"/>
        </w:tabs>
        <w:numPr>
          <w:ilvl w:val="1"/>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 adjustment to income tax expense as a result of the Herb Chambers Dealerships historically being pass-through entities. The income tax rate of 25.6% used in this adjustment is based on the Company's expected blended statutory rate incorporating the Herb Chambers Dealerships.</w:t>
      </w:r>
    </w:p>
    <w:p>
      <w:pPr>
        <w:spacing w:after="0" w:line="113" w:lineRule="exact"/>
        <w:rPr>
          <w:rFonts w:ascii="Times New Roman" w:cs="Times New Roman" w:eastAsia="Times New Roman" w:hAnsi="Times New Roman"/>
          <w:sz w:val="15"/>
          <w:szCs w:val="15"/>
          <w:color w:val="auto"/>
        </w:rPr>
      </w:pPr>
    </w:p>
    <w:p>
      <w:pPr>
        <w:ind w:left="1181" w:hanging="586"/>
        <w:spacing w:after="0"/>
        <w:tabs>
          <w:tab w:leader="none" w:pos="118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floor plan interest expense associated with floor plan liabilities not assumed.</w:t>
      </w:r>
    </w:p>
    <w:p>
      <w:pPr>
        <w:spacing w:after="0" w:line="196"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Divestitures</w:t>
      </w:r>
    </w:p>
    <w:p>
      <w:pPr>
        <w:spacing w:after="0" w:line="205" w:lineRule="exact"/>
        <w:rPr>
          <w:sz w:val="20"/>
          <w:szCs w:val="20"/>
          <w:color w:val="auto"/>
        </w:rPr>
      </w:pPr>
    </w:p>
    <w:p>
      <w:pPr>
        <w:ind w:left="301" w:right="420" w:firstLine="297"/>
        <w:spacing w:after="0" w:line="267" w:lineRule="auto"/>
        <w:rPr>
          <w:sz w:val="20"/>
          <w:szCs w:val="20"/>
          <w:color w:val="auto"/>
        </w:rPr>
      </w:pPr>
      <w:r>
        <w:rPr>
          <w:rFonts w:ascii="Times New Roman" w:cs="Times New Roman" w:eastAsia="Times New Roman" w:hAnsi="Times New Roman"/>
          <w:sz w:val="17"/>
          <w:szCs w:val="17"/>
          <w:color w:val="auto"/>
        </w:rPr>
        <w:t>The divestiture adjustments set forth in the unaudited pro forma condensed combined financial information reflect the pending disposal of stores driven by manufacturer requirements arising from the Acquisition.</w:t>
      </w:r>
    </w:p>
    <w:p>
      <w:pPr>
        <w:spacing w:after="0" w:line="160" w:lineRule="exact"/>
        <w:rPr>
          <w:sz w:val="20"/>
          <w:szCs w:val="20"/>
          <w:color w:val="auto"/>
        </w:rPr>
      </w:pPr>
    </w:p>
    <w:p>
      <w:pPr>
        <w:ind w:left="301" w:firstLine="297"/>
        <w:spacing w:after="0" w:line="248" w:lineRule="auto"/>
        <w:rPr>
          <w:sz w:val="20"/>
          <w:szCs w:val="20"/>
          <w:color w:val="auto"/>
        </w:rPr>
      </w:pPr>
      <w:r>
        <w:rPr>
          <w:rFonts w:ascii="Times New Roman" w:cs="Times New Roman" w:eastAsia="Times New Roman" w:hAnsi="Times New Roman"/>
          <w:sz w:val="17"/>
          <w:szCs w:val="17"/>
          <w:color w:val="auto"/>
        </w:rPr>
        <w:t>The Company expects to sell four stores for an estimated $202.6 million to satisfy these manufacturer requirements. As of March 31, 2025, two stores met the criteria to be classified as assets held for sale in the Unaudited Pro Forma Condensed Combined Balance Sheet. The $119.8 million adjustment to assets held for sale relates to these two stores and is inclusive of approximately $86.8 million carrying value of goodwill and franchise rights intangible assets and $22.9 million carrying value of real property. The carrying value of goodwill and franchise rights intangible assets of $6.9 million and of real property of $13.3 million associated with the remaining two stores that did not meet the criteria for assets held for sale as of March 31, 2025 have been adjusted in the Unaudited Pro Forma Condensed Combined Balance Sheet.</w:t>
      </w:r>
    </w:p>
    <w:p>
      <w:pPr>
        <w:spacing w:after="0" w:line="176"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7"/>
          <w:szCs w:val="17"/>
          <w:color w:val="auto"/>
        </w:rPr>
        <w:t>The Company estimates a pre-tax gain of $52.8 million as a result of the divestitures of these four dealerships.</w:t>
      </w:r>
    </w:p>
    <w:p>
      <w:pPr>
        <w:spacing w:after="0" w:line="201" w:lineRule="exact"/>
        <w:rPr>
          <w:sz w:val="20"/>
          <w:szCs w:val="20"/>
          <w:color w:val="auto"/>
        </w:rPr>
      </w:pPr>
    </w:p>
    <w:p>
      <w:pPr>
        <w:ind w:left="301" w:right="320" w:firstLine="297"/>
        <w:spacing w:after="0" w:line="267" w:lineRule="auto"/>
        <w:rPr>
          <w:sz w:val="20"/>
          <w:szCs w:val="20"/>
          <w:color w:val="auto"/>
        </w:rPr>
      </w:pPr>
      <w:r>
        <w:rPr>
          <w:rFonts w:ascii="Times New Roman" w:cs="Times New Roman" w:eastAsia="Times New Roman" w:hAnsi="Times New Roman"/>
          <w:sz w:val="17"/>
          <w:szCs w:val="17"/>
          <w:color w:val="auto"/>
        </w:rPr>
        <w:t>The Unaudited Pro Forma Condensed Combined Statements of Income have been adjusted to remove all income and expense items associated with the four stores for the year ended December 31, 2024 and the three months ended March 31, 2025.</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375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42" w:right="339" w:bottom="1440" w:gutter="0" w:footer="0" w:header="0"/>
        </w:sectPr>
      </w:pPr>
    </w:p>
    <w:bookmarkStart w:id="100" w:name="page101"/>
    <w:bookmarkEnd w:id="100"/>
    <w:p>
      <w:pPr>
        <w:ind w:left="1"/>
        <w:spacing w:after="0"/>
        <w:rPr>
          <w:sz w:val="20"/>
          <w:szCs w:val="20"/>
          <w:color w:val="auto"/>
        </w:rPr>
      </w:pPr>
      <w:r>
        <w:rPr>
          <w:rFonts w:ascii="Times New Roman" w:cs="Times New Roman" w:eastAsia="Times New Roman" w:hAnsi="Times New Roman"/>
          <w:sz w:val="17"/>
          <w:szCs w:val="17"/>
          <w:b w:val="1"/>
          <w:bCs w:val="1"/>
          <w:color w:val="auto"/>
        </w:rPr>
        <w:t>5. Financing Adjustments</w:t>
      </w:r>
    </w:p>
    <w:p>
      <w:pPr>
        <w:spacing w:after="0" w:line="205" w:lineRule="exact"/>
        <w:rPr>
          <w:sz w:val="20"/>
          <w:szCs w:val="20"/>
          <w:color w:val="auto"/>
        </w:rPr>
      </w:pPr>
    </w:p>
    <w:p>
      <w:pPr>
        <w:ind w:left="301" w:right="40" w:firstLine="297"/>
        <w:spacing w:after="0" w:line="248" w:lineRule="auto"/>
        <w:rPr>
          <w:sz w:val="20"/>
          <w:szCs w:val="20"/>
          <w:color w:val="auto"/>
        </w:rPr>
      </w:pPr>
      <w:r>
        <w:rPr>
          <w:rFonts w:ascii="Times New Roman" w:cs="Times New Roman" w:eastAsia="Times New Roman" w:hAnsi="Times New Roman"/>
          <w:sz w:val="17"/>
          <w:szCs w:val="17"/>
          <w:color w:val="auto"/>
        </w:rPr>
        <w:t>The financing adjustments set forth in the unaudited pro forma condensed combined financial information reflect the resultant changes in the Company's cash, indebtedness and interest expense that have occurred in conjunction with the Acquisition. As it relates to the financings noted in (j), (k), (l) and (m) below for which interest expense is based on a variable interest rate, a change in the interest rate of 0.125% would result in an increase or decrease in floor plan interest expense of $0.2 million and $0.7 million for the three months ended March 31, 2025 and the year ended December 31, 2024, respectively, and in other interest expense, net of $0.4 million and $1.6 million for the three months ended March 31, 2025 and the year ended December 31, 2024, respectively.The financing adjustments include the following:</w:t>
      </w:r>
    </w:p>
    <w:p>
      <w:pPr>
        <w:spacing w:after="0" w:line="176" w:lineRule="exact"/>
        <w:rPr>
          <w:sz w:val="20"/>
          <w:szCs w:val="20"/>
          <w:color w:val="auto"/>
        </w:rPr>
      </w:pPr>
    </w:p>
    <w:p>
      <w:pPr>
        <w:ind w:left="1181" w:right="700" w:hanging="586"/>
        <w:spacing w:after="0" w:line="267" w:lineRule="auto"/>
        <w:tabs>
          <w:tab w:leader="none" w:pos="11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Floor plan interest expense of $4.2 million and $16.7 million for the three months ended March 31, 2025 and year ended December 31, 2024, respectively, related to the $298.4 million financing of new vehicle inventory acquired from the Herb Chambers Dealerships.</w:t>
      </w:r>
    </w:p>
    <w:p>
      <w:pPr>
        <w:spacing w:after="0" w:line="159" w:lineRule="exact"/>
        <w:rPr>
          <w:rFonts w:ascii="Times New Roman" w:cs="Times New Roman" w:eastAsia="Times New Roman" w:hAnsi="Times New Roman"/>
          <w:sz w:val="17"/>
          <w:szCs w:val="17"/>
          <w:color w:val="auto"/>
        </w:rPr>
      </w:pPr>
    </w:p>
    <w:p>
      <w:pPr>
        <w:ind w:left="1181" w:hanging="586"/>
        <w:spacing w:after="0" w:line="267" w:lineRule="auto"/>
        <w:tabs>
          <w:tab w:leader="none" w:pos="11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Floor plan interest expense of $4.4 million and $17.7 million for the three months ended March 31, 2025 and year ended December 31, 2024, as a result of a $300.0 million drawdown on the Company's Used Vehicle Floor Plan Facility used to finance the transaction.</w:t>
      </w:r>
    </w:p>
    <w:p>
      <w:pPr>
        <w:spacing w:after="0" w:line="159" w:lineRule="exact"/>
        <w:rPr>
          <w:rFonts w:ascii="Times New Roman" w:cs="Times New Roman" w:eastAsia="Times New Roman" w:hAnsi="Times New Roman"/>
          <w:sz w:val="17"/>
          <w:szCs w:val="17"/>
          <w:color w:val="auto"/>
        </w:rPr>
      </w:pPr>
    </w:p>
    <w:p>
      <w:pPr>
        <w:ind w:left="1181" w:right="140" w:hanging="586"/>
        <w:spacing w:after="0" w:line="267" w:lineRule="auto"/>
        <w:tabs>
          <w:tab w:leader="none" w:pos="11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 expense of $8.8 million and $35.0 million for the three months ended March 31, 2025 and year ended December 31, 2024, respectively, as a result of borrowings of $546.5 million on the Company's Real Estate Credit Agreement.</w:t>
      </w:r>
    </w:p>
    <w:p>
      <w:pPr>
        <w:spacing w:after="0" w:line="159" w:lineRule="exact"/>
        <w:rPr>
          <w:rFonts w:ascii="Times New Roman" w:cs="Times New Roman" w:eastAsia="Times New Roman" w:hAnsi="Times New Roman"/>
          <w:sz w:val="17"/>
          <w:szCs w:val="17"/>
          <w:color w:val="auto"/>
        </w:rPr>
      </w:pPr>
    </w:p>
    <w:p>
      <w:pPr>
        <w:ind w:left="1181" w:right="140" w:hanging="586"/>
        <w:spacing w:after="0" w:line="267" w:lineRule="auto"/>
        <w:tabs>
          <w:tab w:leader="none" w:pos="11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interest expense of $9.8 million and $39.1 million for the three months ended March 31, 2025 and year ended December 31, 2024, respectively, as a result of borrowings of $650.0 million on the Company's Revolving Credit Facility.</w:t>
      </w:r>
    </w:p>
    <w:p>
      <w:pPr>
        <w:spacing w:after="0" w:line="159" w:lineRule="exact"/>
        <w:rPr>
          <w:rFonts w:ascii="Times New Roman" w:cs="Times New Roman" w:eastAsia="Times New Roman" w:hAnsi="Times New Roman"/>
          <w:sz w:val="17"/>
          <w:szCs w:val="17"/>
          <w:color w:val="auto"/>
        </w:rPr>
      </w:pPr>
    </w:p>
    <w:p>
      <w:pPr>
        <w:ind w:left="1181" w:right="120" w:hanging="586"/>
        <w:spacing w:after="0" w:line="248" w:lineRule="auto"/>
        <w:tabs>
          <w:tab w:leader="none" w:pos="11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debt issuance costs of $1.6 million and $5.7 million related to the borrowings on the Revolving Credit Facility and the Real Estate Credit Agreement, respectively. These costs are reflected as a $1.6 million increase to other long-term assets and a $5.7 million offset to the associated Real Estate Credit Agreement liability on the balance sheet. The Company estimates additional floor plan interest expense of $0.1 million and $0.3 million for the three months ended March 31, 2025 and year ended December 31, 2024, respectively, and other interest expense, net of $0.1 million and $0.6 million for the three months ended March 31, 2025 and year ended December 31, 2024, respectively, related to the amortization of these deferred financing fees.</w:t>
      </w:r>
    </w:p>
    <w:p>
      <w:pPr>
        <w:spacing w:after="0" w:line="175" w:lineRule="exact"/>
        <w:rPr>
          <w:rFonts w:ascii="Times New Roman" w:cs="Times New Roman" w:eastAsia="Times New Roman" w:hAnsi="Times New Roman"/>
          <w:sz w:val="17"/>
          <w:szCs w:val="17"/>
          <w:color w:val="auto"/>
        </w:rPr>
      </w:pPr>
    </w:p>
    <w:p>
      <w:pPr>
        <w:jc w:val="both"/>
        <w:ind w:left="1181" w:right="20" w:hanging="586"/>
        <w:spacing w:after="0" w:line="255" w:lineRule="auto"/>
        <w:tabs>
          <w:tab w:leader="none" w:pos="1181"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balance sheet impact of the financing adjustments described above was a decrease in cash of $46.3 million, an increase in other long-term assets of $1.6 million, a $598.4 million increase in new and used floor plan liabilities, and a $1,190.8 million increase in long term debt related to the Real Estate Credit Agreement and Revolving Credit Facility borrowings.</w:t>
      </w:r>
    </w:p>
    <w:p>
      <w:pPr>
        <w:spacing w:after="0" w:line="165" w:lineRule="exact"/>
        <w:rPr>
          <w:rFonts w:ascii="Times New Roman" w:cs="Times New Roman" w:eastAsia="Times New Roman" w:hAnsi="Times New Roman"/>
          <w:sz w:val="17"/>
          <w:szCs w:val="17"/>
          <w:color w:val="auto"/>
        </w:rPr>
      </w:pPr>
    </w:p>
    <w:p>
      <w:pPr>
        <w:ind w:left="161" w:hanging="161"/>
        <w:spacing w:after="0"/>
        <w:tabs>
          <w:tab w:leader="none" w:pos="161"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Management's Adjustments</w:t>
      </w:r>
    </w:p>
    <w:p>
      <w:pPr>
        <w:spacing w:after="0" w:line="205" w:lineRule="exact"/>
        <w:rPr>
          <w:sz w:val="20"/>
          <w:szCs w:val="20"/>
          <w:color w:val="auto"/>
        </w:rPr>
      </w:pPr>
    </w:p>
    <w:p>
      <w:pPr>
        <w:jc w:val="both"/>
        <w:ind w:left="601" w:right="420" w:firstLine="297"/>
        <w:spacing w:after="0" w:line="255" w:lineRule="auto"/>
        <w:rPr>
          <w:sz w:val="20"/>
          <w:szCs w:val="20"/>
          <w:color w:val="auto"/>
        </w:rPr>
      </w:pPr>
      <w:r>
        <w:rPr>
          <w:rFonts w:ascii="Times New Roman" w:cs="Times New Roman" w:eastAsia="Times New Roman" w:hAnsi="Times New Roman"/>
          <w:sz w:val="17"/>
          <w:szCs w:val="17"/>
          <w:color w:val="auto"/>
        </w:rPr>
        <w:t>The tables below reflect estimated cost savings consisting of a reduction of executive compensation based on historical amounts reflected in the Herb Chambers Dealerships financial statements and transaction costs incurred by the Company and the Herb Chambers Dealerships directly related to the Herb Chambers Dealerships acquisition.</w:t>
      </w:r>
    </w:p>
    <w:p>
      <w:pPr>
        <w:spacing w:after="0" w:line="170" w:lineRule="exact"/>
        <w:rPr>
          <w:sz w:val="20"/>
          <w:szCs w:val="20"/>
          <w:color w:val="auto"/>
        </w:rPr>
      </w:pPr>
    </w:p>
    <w:p>
      <w:pPr>
        <w:ind w:left="601" w:right="240" w:firstLine="297"/>
        <w:spacing w:after="0" w:line="255" w:lineRule="auto"/>
        <w:rPr>
          <w:sz w:val="20"/>
          <w:szCs w:val="20"/>
          <w:color w:val="auto"/>
        </w:rPr>
      </w:pPr>
      <w:r>
        <w:rPr>
          <w:rFonts w:ascii="Times New Roman" w:cs="Times New Roman" w:eastAsia="Times New Roman" w:hAnsi="Times New Roman"/>
          <w:sz w:val="17"/>
          <w:szCs w:val="17"/>
          <w:color w:val="auto"/>
        </w:rPr>
        <w:t>These items below reflect Management's Adjustments that are, in the opinion of management, deemed necessary for a fair statement of the unaudited pro forma combined financial information presented. The adjustments presented in the table below include forward-looking information subject to safe-harbor protections of the Securities Exchange Act of 1934, and future results may vary to what is presented below.</w:t>
      </w:r>
    </w:p>
    <w:p>
      <w:pPr>
        <w:sectPr>
          <w:pgSz w:w="11900" w:h="16838" w:orient="portrait"/>
          <w:cols w:equalWidth="0" w:num="1">
            <w:col w:w="11241"/>
          </w:cols>
          <w:pgMar w:left="319" w:top="8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7"/>
          <w:szCs w:val="17"/>
          <w:color w:val="auto"/>
        </w:rPr>
        <w:t>Pro forma combined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-113030</wp:posOffset>
            </wp:positionV>
            <wp:extent cx="6640195" cy="1257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40195" cy="125730"/>
                    </a:xfrm>
                    <a:prstGeom prst="rect">
                      <a:avLst/>
                    </a:prstGeom>
                    <a:noFill/>
                  </pic:spPr>
                </pic:pic>
              </a:graphicData>
            </a:graphic>
          </wp:anchor>
        </w:drawing>
      </w:r>
    </w:p>
    <w:p>
      <w:pPr>
        <w:ind w:left="601"/>
        <w:spacing w:after="0"/>
        <w:rPr>
          <w:sz w:val="20"/>
          <w:szCs w:val="20"/>
          <w:color w:val="auto"/>
        </w:rPr>
      </w:pPr>
      <w:r>
        <w:rPr>
          <w:rFonts w:ascii="Times New Roman" w:cs="Times New Roman" w:eastAsia="Times New Roman" w:hAnsi="Times New Roman"/>
          <w:sz w:val="17"/>
          <w:szCs w:val="17"/>
          <w:color w:val="auto"/>
        </w:rPr>
        <w:t>Management's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1270</wp:posOffset>
            </wp:positionV>
            <wp:extent cx="6640195" cy="1257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40195" cy="125730"/>
                    </a:xfrm>
                    <a:prstGeom prst="rect">
                      <a:avLst/>
                    </a:prstGeom>
                    <a:noFill/>
                  </pic:spPr>
                </pic:pic>
              </a:graphicData>
            </a:graphic>
          </wp:anchor>
        </w:drawing>
      </w:r>
    </w:p>
    <w:p>
      <w:pPr>
        <w:ind w:left="741"/>
        <w:spacing w:after="0"/>
        <w:rPr>
          <w:sz w:val="20"/>
          <w:szCs w:val="20"/>
          <w:color w:val="auto"/>
        </w:rPr>
      </w:pPr>
      <w:r>
        <w:rPr>
          <w:rFonts w:ascii="Times New Roman" w:cs="Times New Roman" w:eastAsia="Times New Roman" w:hAnsi="Times New Roman"/>
          <w:sz w:val="17"/>
          <w:szCs w:val="17"/>
          <w:color w:val="auto"/>
        </w:rPr>
        <w:t>Executive compensation savings</w:t>
      </w:r>
    </w:p>
    <w:p>
      <w:pPr>
        <w:spacing w:after="0" w:line="3" w:lineRule="exact"/>
        <w:rPr>
          <w:sz w:val="20"/>
          <w:szCs w:val="20"/>
          <w:color w:val="auto"/>
        </w:rPr>
      </w:pPr>
    </w:p>
    <w:p>
      <w:pPr>
        <w:ind w:left="741"/>
        <w:spacing w:after="0"/>
        <w:rPr>
          <w:sz w:val="20"/>
          <w:szCs w:val="20"/>
          <w:color w:val="auto"/>
        </w:rPr>
      </w:pPr>
      <w:r>
        <w:rPr>
          <w:rFonts w:ascii="Times New Roman" w:cs="Times New Roman" w:eastAsia="Times New Roman" w:hAnsi="Times New Roman"/>
          <w:sz w:val="17"/>
          <w:szCs w:val="17"/>
          <w:color w:val="auto"/>
        </w:rPr>
        <w:t>Transaction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1270</wp:posOffset>
            </wp:positionV>
            <wp:extent cx="6640195" cy="133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40195" cy="133985"/>
                    </a:xfrm>
                    <a:prstGeom prst="rect">
                      <a:avLst/>
                    </a:prstGeom>
                    <a:noFill/>
                  </pic:spPr>
                </pic:pic>
              </a:graphicData>
            </a:graphic>
          </wp:anchor>
        </w:drawing>
      </w:r>
    </w:p>
    <w:p>
      <w:pPr>
        <w:ind w:left="741"/>
        <w:spacing w:after="0"/>
        <w:rPr>
          <w:sz w:val="20"/>
          <w:szCs w:val="20"/>
          <w:color w:val="auto"/>
        </w:rPr>
      </w:pPr>
      <w:r>
        <w:rPr>
          <w:rFonts w:ascii="Times New Roman" w:cs="Times New Roman" w:eastAsia="Times New Roman" w:hAnsi="Times New Roman"/>
          <w:sz w:val="17"/>
          <w:szCs w:val="17"/>
          <w:color w:val="auto"/>
        </w:rPr>
        <w:t>Income tax expense</w:t>
      </w:r>
    </w:p>
    <w:p>
      <w:pPr>
        <w:spacing w:after="0" w:line="3" w:lineRule="exact"/>
        <w:rPr>
          <w:sz w:val="20"/>
          <w:szCs w:val="20"/>
          <w:color w:val="auto"/>
        </w:rPr>
      </w:pPr>
    </w:p>
    <w:p>
      <w:pPr>
        <w:ind w:left="601"/>
        <w:spacing w:after="0"/>
        <w:rPr>
          <w:sz w:val="20"/>
          <w:szCs w:val="20"/>
          <w:color w:val="auto"/>
        </w:rPr>
      </w:pPr>
      <w:r>
        <w:rPr>
          <w:rFonts w:ascii="Times New Roman" w:cs="Times New Roman" w:eastAsia="Times New Roman" w:hAnsi="Times New Roman"/>
          <w:sz w:val="15"/>
          <w:szCs w:val="15"/>
          <w:color w:val="auto"/>
        </w:rPr>
        <w:t>Pro forma combined net income after management's adjustments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For the Three Months</w:t>
            </w:r>
          </w:p>
        </w:tc>
        <w:tc>
          <w:tcPr>
            <w:tcW w:w="180" w:type="dxa"/>
            <w:vAlign w:val="bottom"/>
          </w:tcPr>
          <w:p>
            <w:pPr>
              <w:spacing w:after="0"/>
              <w:rPr>
                <w:sz w:val="17"/>
                <w:szCs w:val="17"/>
                <w:color w:val="auto"/>
              </w:rPr>
            </w:pPr>
          </w:p>
        </w:tc>
        <w:tc>
          <w:tcPr>
            <w:tcW w:w="18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For the Year Ended</w:t>
            </w:r>
          </w:p>
        </w:tc>
      </w:tr>
      <w:tr>
        <w:trPr>
          <w:trHeight w:val="219"/>
        </w:trPr>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Ended March 31, 2025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40" w:type="dxa"/>
            <w:vAlign w:val="bottom"/>
            <w:gridSpan w:val="2"/>
          </w:tcPr>
          <w:p>
            <w:pPr>
              <w:spacing w:after="0"/>
              <w:rPr>
                <w:sz w:val="19"/>
                <w:szCs w:val="19"/>
                <w:color w:val="auto"/>
              </w:rPr>
            </w:pPr>
          </w:p>
        </w:tc>
      </w:tr>
      <w:tr>
        <w:trPr>
          <w:trHeight w:val="174"/>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40" w:type="dxa"/>
            <w:vAlign w:val="bottom"/>
            <w:gridSpan w:val="4"/>
          </w:tcPr>
          <w:p>
            <w:pPr>
              <w:jc w:val="right"/>
              <w:ind w:right="1577"/>
              <w:spacing w:after="0" w:line="174"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0" w:type="dxa"/>
            <w:vAlign w:val="bottom"/>
            <w:gridSpan w:val="2"/>
          </w:tcPr>
          <w:p>
            <w:pPr>
              <w:spacing w:after="0"/>
              <w:rPr>
                <w:sz w:val="15"/>
                <w:szCs w:val="15"/>
                <w:color w:val="auto"/>
              </w:rPr>
            </w:pPr>
          </w:p>
        </w:tc>
      </w:tr>
      <w:tr>
        <w:trPr>
          <w:trHeight w:val="215"/>
        </w:trPr>
        <w:tc>
          <w:tcPr>
            <w:tcW w:w="140" w:type="dxa"/>
            <w:vAlign w:val="bottom"/>
            <w:gridSpan w:val="2"/>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129.3</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418.3</w:t>
            </w:r>
          </w:p>
        </w:tc>
        <w:tc>
          <w:tcPr>
            <w:tcW w:w="20" w:type="dxa"/>
            <w:vAlign w:val="bottom"/>
          </w:tcPr>
          <w:p>
            <w:pPr>
              <w:spacing w:after="0"/>
              <w:rPr>
                <w:sz w:val="18"/>
                <w:szCs w:val="18"/>
                <w:color w:val="auto"/>
              </w:rPr>
            </w:pPr>
          </w:p>
        </w:tc>
      </w:tr>
      <w:tr>
        <w:trPr>
          <w:trHeight w:val="3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12.0</w:t>
            </w:r>
          </w:p>
        </w:tc>
        <w:tc>
          <w:tcPr>
            <w:tcW w:w="180" w:type="dxa"/>
            <w:vAlign w:val="bottom"/>
          </w:tcPr>
          <w:p>
            <w:pPr>
              <w:spacing w:after="0"/>
              <w:rPr>
                <w:sz w:val="24"/>
                <w:szCs w:val="24"/>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65.6</w:t>
            </w:r>
          </w:p>
        </w:tc>
        <w:tc>
          <w:tcPr>
            <w:tcW w:w="2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Pr>
          <w:p>
            <w:pPr>
              <w:spacing w:after="0"/>
              <w:rPr>
                <w:sz w:val="17"/>
                <w:szCs w:val="17"/>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9"/>
                <w:szCs w:val="19"/>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03"/>
        </w:trPr>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467.1</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1" w:space="720"/>
            <w:col w:w="4460"/>
          </w:cols>
          <w:pgMar w:left="319" w:top="838" w:right="339" w:bottom="1440" w:gutter="0" w:footer="0" w:header="0"/>
          <w:type w:val="continuous"/>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437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ectPr>
          <w:pgSz w:w="11900" w:h="16838" w:orient="portrait"/>
          <w:cols w:equalWidth="0" w:num="1">
            <w:col w:w="11241"/>
          </w:cols>
          <w:pgMar w:left="319" w:top="838" w:right="339" w:bottom="1440" w:gutter="0" w:footer="0" w:header="0"/>
          <w:type w:val="continuous"/>
        </w:sectPr>
      </w:pPr>
    </w:p>
    <w:bookmarkStart w:id="101" w:name="page102"/>
    <w:bookmarkEnd w:id="101"/>
    <w:tbl>
      <w:tblPr>
        <w:tblLayout w:type="fixed"/>
        <w:tblInd w:w="60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20" w:type="dxa"/>
            <w:vAlign w:val="bottom"/>
            <w:gridSpan w:val="9"/>
          </w:tcPr>
          <w:p>
            <w:pPr>
              <w:ind w:left="420"/>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20"/>
              <w:spacing w:after="0" w:line="170" w:lineRule="exact"/>
              <w:rPr>
                <w:sz w:val="20"/>
                <w:szCs w:val="20"/>
                <w:color w:val="auto"/>
              </w:rPr>
            </w:pPr>
            <w:r>
              <w:rPr>
                <w:rFonts w:ascii="Times New Roman" w:cs="Times New Roman" w:eastAsia="Times New Roman" w:hAnsi="Times New Roman"/>
                <w:sz w:val="17"/>
                <w:szCs w:val="17"/>
                <w:b w:val="1"/>
                <w:bCs w:val="1"/>
                <w:color w:val="auto"/>
                <w:w w:val="97"/>
              </w:rPr>
              <w:t>Pro forma combined,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5"/>
              </w:rPr>
              <w:t>Pro forma combined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Cost savings, net of tax</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after cost savings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3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Earnings per share</w:t>
            </w:r>
          </w:p>
        </w:tc>
        <w:tc>
          <w:tcPr>
            <w:tcW w:w="4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48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6.60</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0.63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4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6.56</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0.63</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shares (in millions)</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4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19.6</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19.7</w:t>
            </w: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520" w:type="dxa"/>
            <w:vAlign w:val="bottom"/>
            <w:gridSpan w:val="9"/>
          </w:tcPr>
          <w:p>
            <w:pPr>
              <w:ind w:left="540"/>
              <w:spacing w:after="0"/>
              <w:rPr>
                <w:sz w:val="20"/>
                <w:szCs w:val="20"/>
                <w:color w:val="auto"/>
              </w:rPr>
            </w:pPr>
            <w:r>
              <w:rPr>
                <w:rFonts w:ascii="Times New Roman" w:cs="Times New Roman" w:eastAsia="Times New Roman" w:hAnsi="Times New Roman"/>
                <w:sz w:val="17"/>
                <w:szCs w:val="17"/>
                <w:b w:val="1"/>
                <w:bCs w:val="1"/>
                <w:color w:val="auto"/>
              </w:rPr>
              <w:t>For the Year Ended December 31, 2024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20"/>
              <w:spacing w:after="0" w:line="170" w:lineRule="exact"/>
              <w:rPr>
                <w:sz w:val="20"/>
                <w:szCs w:val="20"/>
                <w:color w:val="auto"/>
              </w:rPr>
            </w:pPr>
            <w:r>
              <w:rPr>
                <w:rFonts w:ascii="Times New Roman" w:cs="Times New Roman" w:eastAsia="Times New Roman" w:hAnsi="Times New Roman"/>
                <w:sz w:val="17"/>
                <w:szCs w:val="17"/>
                <w:b w:val="1"/>
                <w:bCs w:val="1"/>
                <w:color w:val="auto"/>
                <w:w w:val="97"/>
              </w:rPr>
              <w:t>Pro forma combined,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Pro forma combined</w:t>
            </w:r>
          </w:p>
        </w:tc>
        <w:tc>
          <w:tcPr>
            <w:tcW w:w="1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Cost savings, net of tax</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after cost savings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0" w:type="dxa"/>
            <w:vAlign w:val="bottom"/>
          </w:tcPr>
          <w:p>
            <w:pPr>
              <w:spacing w:after="0"/>
              <w:rPr>
                <w:sz w:val="16"/>
                <w:szCs w:val="16"/>
                <w:color w:val="auto"/>
              </w:rPr>
            </w:pPr>
          </w:p>
        </w:tc>
        <w:tc>
          <w:tcPr>
            <w:tcW w:w="41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Earnings per share</w:t>
            </w:r>
          </w:p>
        </w:tc>
        <w:tc>
          <w:tcPr>
            <w:tcW w:w="1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21.02</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20.92</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number of shares (in millions)</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4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19.9</w:t>
            </w: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1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20.0</w:t>
            </w: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9</w:t>
            </w: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2"/>
    </w:lvl>
    <w:lvl w:ilvl="1">
      <w:lvlJc w:val="left"/>
      <w:lvlText w:val="(%2)"/>
      <w:numFmt w:val="lowerLetter"/>
      <w:start w:val="4"/>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4"/>
    </w:lvl>
  </w:abstractNum>
  <w:abstractNum w:abstractNumId="27">
    <w:nsid w:val="2901D82"/>
    <w:multiLevelType w:val="hybridMultilevel"/>
    <w:lvl w:ilvl="0">
      <w:lvlJc w:val="left"/>
      <w:lvlText w:val="%1."/>
      <w:numFmt w:val="decimal"/>
      <w:start w:val="4"/>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0"/>
    </w:lvl>
  </w:abstractNum>
  <w:abstractNum w:abstractNumId="29">
    <w:nsid w:val="8138641"/>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2025-07-29T05:52:56Z</dcterms:created>
  <dcterms:modified xsi:type="dcterms:W3CDTF">2025-07-29T05:52:56Z</dcterms:modified>
</cp:coreProperties>
</file>