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fiscal year ended December 31, 2021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22"/>
        </w:rPr>
      </w:pPr>
      <w:r>
        <w:rPr>
          <w:rFonts w:ascii="Times New Roman;sans-serif" w:hAnsi="Times New Roman;sans-serif"/>
          <w:b/>
          <w:color w:val="000000"/>
          <w:sz w:val="22"/>
        </w:rPr>
        <w:t>For the transition period from             to            </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number: 001-31262 </w:t>
      </w:r>
    </w:p>
    <w:p>
      <w:pPr>
        <w:pStyle w:val="TextBody"/>
        <w:spacing w:lineRule="auto" w:line="288" w:before="0" w:after="0"/>
        <w:rPr>
          <w:color w:val="000000"/>
        </w:rPr>
      </w:pPr>
      <w:r>
        <w:rPr>
          <w:color w:val="000000"/>
        </w:rPr>
        <w:t> </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56"/>
        </w:rPr>
      </w:pPr>
      <w:r>
        <w:rPr>
          <w:rFonts w:ascii="Times New Roman;sans-serif" w:hAnsi="Times New Roman;sans-serif"/>
          <w:b/>
          <w:color w:val="000000"/>
          <w:sz w:val="56"/>
        </w:rPr>
        <w:t>ASBURY AUTOMOTIVE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827" w:type="dxa"/>
        <w:jc w:val="center"/>
        <w:tblInd w:w="0" w:type="dxa"/>
        <w:tblCellMar>
          <w:top w:w="28" w:type="dxa"/>
          <w:left w:w="28" w:type="dxa"/>
          <w:bottom w:w="28" w:type="dxa"/>
          <w:right w:w="28" w:type="dxa"/>
        </w:tblCellMar>
      </w:tblPr>
      <w:tblGrid>
        <w:gridCol w:w="124"/>
        <w:gridCol w:w="109"/>
        <w:gridCol w:w="109"/>
        <w:gridCol w:w="865"/>
        <w:gridCol w:w="865"/>
        <w:gridCol w:w="865"/>
        <w:gridCol w:w="324"/>
        <w:gridCol w:w="324"/>
        <w:gridCol w:w="344"/>
        <w:gridCol w:w="109"/>
        <w:gridCol w:w="109"/>
        <w:gridCol w:w="109"/>
        <w:gridCol w:w="399"/>
        <w:gridCol w:w="399"/>
        <w:gridCol w:w="40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01-0609375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2905 Premiere Parkway NW,</w:t>
            </w:r>
          </w:p>
        </w:tc>
        <w:tc>
          <w:tcPr>
            <w:tcW w:w="9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300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Duluth,</w:t>
            </w:r>
          </w:p>
        </w:tc>
        <w:tc>
          <w:tcPr>
            <w:tcW w:w="9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30097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(770) 418-8200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888" w:type="dxa"/>
        <w:jc w:val="left"/>
        <w:tblInd w:w="0" w:type="dxa"/>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before="0" w:after="0"/>
        <w:ind w:left="0" w:right="0" w:firstLine="45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
        </w:rPr>
      </w:pPr>
      <w:r>
        <w:rPr>
          <w:rFonts w:ascii="Times New Roman;sans-serif" w:hAnsi="Times New Roman;sans-serif"/>
          <w:b w:val="false"/>
          <w:color w:val="000000"/>
          <w:sz w:val="2"/>
        </w:rPr>
        <w:t>a</w:t>
      </w:r>
    </w:p>
    <w:p>
      <w:pPr>
        <w:pStyle w:val="TextBody"/>
        <w:spacing w:lineRule="auto" w:line="288" w:before="0" w:after="0"/>
        <w:ind w:left="0" w:right="0" w:firstLine="270"/>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180" w:after="283"/>
        <w:ind w:left="0" w:right="0" w:firstLine="270"/>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 xml:space="preserve">o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lineRule="auto" w:line="288" w:before="180" w:after="283"/>
        <w:ind w:left="0" w:right="0" w:firstLine="270"/>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270"/>
        <w:rPr/>
      </w:pPr>
      <w:r>
        <w:rPr>
          <w:rFonts w:ascii="Times New Roman;sans-serif" w:hAnsi="Times New Roman;sans-serif"/>
          <w:b w:val="false"/>
          <w:color w:val="000000"/>
          <w:sz w:val="18"/>
        </w:rPr>
        <w:t xml:space="preserve">Indicate by check mark whether the registrant has submitted electronically and posted on its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180" w:after="283"/>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6" w:type="dxa"/>
        <w:jc w:val="center"/>
        <w:tblInd w:w="0" w:type="dxa"/>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80" w:after="283"/>
        <w:ind w:left="0" w:right="0" w:firstLine="27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180" w:after="283"/>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the effectiveness of its internal control over financial reporting under Section 404(b) of the Sarbanes-Oxley Act (15 U.S.C.</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7262(b)) by the registered public accounting firm that prepared or issued its audit report. ☒</w:t>
      </w:r>
    </w:p>
    <w:p>
      <w:pPr>
        <w:pStyle w:val="TextBody"/>
        <w:spacing w:lineRule="auto" w:line="288" w:before="180" w:after="283"/>
        <w:ind w:left="0" w:right="0" w:firstLine="270"/>
        <w:rPr/>
      </w:pPr>
      <w:r>
        <w:rPr>
          <w:rFonts w:ascii="Times New Roman;sans-serif" w:hAnsi="Times New Roman;sans-serif"/>
          <w:b w:val="false"/>
          <w:color w:val="000000"/>
          <w:sz w:val="18"/>
        </w:rPr>
        <w:t xml:space="preserve">Indicate by check mark whether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lineRule="auto" w:line="288" w:before="180" w:after="283"/>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Based on the closing price of the registrant's common stock as of June 30, 2021, the aggregate market value of the common stock held by non-affiliates of the registrant was $3.28 billion (based upon the assumption, solely for purposes of this computation, that all of the officers and directors of the registrant were affiliates of the registrant).</w:t>
      </w:r>
    </w:p>
    <w:p>
      <w:pPr>
        <w:pStyle w:val="TextBody"/>
        <w:spacing w:lineRule="auto" w:line="288" w:before="180" w:after="283"/>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registrant's classes of common stock, as of the latest practicable date: The number of shares of common stock outstanding as of February 28, 2022 was 23,187,817.</w:t>
      </w:r>
    </w:p>
    <w:p>
      <w:pPr>
        <w:pStyle w:val="TextBody"/>
        <w:spacing w:lineRule="auto" w:line="288" w:before="180" w:after="283"/>
        <w:ind w:left="0" w:right="0" w:firstLine="315"/>
        <w:jc w:val="center"/>
        <w:rPr>
          <w:rFonts w:ascii="Times New Roman;sans-serif" w:hAnsi="Times New Roman;sans-serif"/>
          <w:b w:val="false"/>
          <w:color w:val="000000"/>
          <w:sz w:val="18"/>
        </w:rPr>
      </w:pPr>
      <w:r>
        <w:rPr>
          <w:rFonts w:ascii="Times New Roman;sans-serif" w:hAnsi="Times New Roman;sans-serif"/>
          <w:b w:val="false"/>
          <w:color w:val="000000"/>
          <w:sz w:val="18"/>
        </w:rPr>
        <w:t>DOCUMENTS INCORPORATED BY REFERENCE</w:t>
      </w:r>
    </w:p>
    <w:p>
      <w:pPr>
        <w:pStyle w:val="TextBody"/>
        <w:spacing w:lineRule="auto" w:line="288" w:before="180" w:after="283"/>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List hereunder the following documents if incorporated by reference and the Part of the Form 10-K into which the document is incorporated:</w:t>
      </w:r>
    </w:p>
    <w:p>
      <w:pPr>
        <w:pStyle w:val="TextBody"/>
        <w:spacing w:lineRule="auto" w:line="288" w:before="180" w:after="283"/>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2022 Annual Meeting of Stockholders, to be filed within 120 days after the end of the registrant's fiscal year, are incorporated by reference into Part III, Items 10 through 14 of this Annual Report on Form 10-K.</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2021 </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93"/>
        <w:gridCol w:w="258"/>
        <w:gridCol w:w="260"/>
        <w:gridCol w:w="2962"/>
        <w:gridCol w:w="2951"/>
        <w:gridCol w:w="2968"/>
        <w:gridCol w:w="149"/>
        <w:gridCol w:w="149"/>
        <w:gridCol w:w="215"/>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962" w:type="dxa"/>
            <w:tcBorders/>
            <w:shd w:fill="auto" w:val="clear"/>
            <w:vAlign w:val="center"/>
          </w:tcPr>
          <w:p>
            <w:pPr>
              <w:pStyle w:val="TableContents"/>
              <w:spacing w:before="0" w:after="283"/>
              <w:rPr>
                <w:sz w:val="4"/>
                <w:szCs w:val="4"/>
              </w:rPr>
            </w:pPr>
            <w:r>
              <w:rPr>
                <w:sz w:val="4"/>
                <w:szCs w:val="4"/>
              </w:rPr>
            </w:r>
          </w:p>
        </w:tc>
        <w:tc>
          <w:tcPr>
            <w:tcW w:w="2951" w:type="dxa"/>
            <w:tcBorders/>
            <w:shd w:fill="auto" w:val="clear"/>
            <w:vAlign w:val="center"/>
          </w:tcPr>
          <w:p>
            <w:pPr>
              <w:pStyle w:val="TableContents"/>
              <w:spacing w:before="0" w:after="283"/>
              <w:rPr>
                <w:sz w:val="4"/>
                <w:szCs w:val="4"/>
              </w:rPr>
            </w:pPr>
            <w:r>
              <w:rPr>
                <w:sz w:val="4"/>
                <w:szCs w:val="4"/>
              </w:rPr>
            </w:r>
          </w:p>
        </w:tc>
        <w:tc>
          <w:tcPr>
            <w:tcW w:w="296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
              <w:r>
                <w:rPr>
                  <w:rStyle w:val="InternetLink"/>
                  <w:rFonts w:ascii="Times New Roman;sans-serif" w:hAnsi="Times New Roman;sans-serif"/>
                  <w:b w:val="false"/>
                  <w:color w:val="0000FF"/>
                  <w:sz w:val="20"/>
                  <w:u w:val="single"/>
                </w:rPr>
                <w:t>Item 1.</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
              <w:r>
                <w:rPr>
                  <w:rStyle w:val="InternetLink"/>
                  <w:rFonts w:ascii="Times New Roman;sans-serif" w:hAnsi="Times New Roman;sans-serif"/>
                  <w:b w:val="false"/>
                  <w:color w:val="0000FF"/>
                  <w:sz w:val="20"/>
                  <w:u w:val="single"/>
                </w:rPr>
                <w:t>Business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6">
              <w:r>
                <w:rPr>
                  <w:rStyle w:val="InternetLink"/>
                  <w:rFonts w:ascii="Times New Roman;sans-serif" w:hAnsi="Times New Roman;sans-serif"/>
                  <w:b w:val="false"/>
                  <w:color w:val="0000FF"/>
                  <w:sz w:val="20"/>
                  <w:u w:val="single"/>
                </w:rPr>
                <w:t>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9">
              <w:r>
                <w:rPr>
                  <w:rStyle w:val="InternetLink"/>
                  <w:rFonts w:ascii="Times New Roman;sans-serif" w:hAnsi="Times New Roman;sans-serif"/>
                  <w:b w:val="false"/>
                  <w:color w:val="0000FF"/>
                  <w:sz w:val="20"/>
                  <w:u w:val="single"/>
                </w:rPr>
                <w:t>Item 1A.</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9">
              <w:r>
                <w:rPr>
                  <w:rStyle w:val="InternetLink"/>
                  <w:rFonts w:ascii="Times New Roman;sans-serif" w:hAnsi="Times New Roman;sans-serif"/>
                  <w:b w:val="false"/>
                  <w:color w:val="0000FF"/>
                  <w:sz w:val="20"/>
                  <w:u w:val="single"/>
                </w:rPr>
                <w:t>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9">
              <w:r>
                <w:rPr>
                  <w:rStyle w:val="InternetLink"/>
                  <w:rFonts w:ascii="Times New Roman;sans-serif" w:hAnsi="Times New Roman;sans-serif"/>
                  <w:b w:val="false"/>
                  <w:color w:val="0000FF"/>
                  <w:sz w:val="20"/>
                  <w:u w:val="single"/>
                </w:rPr>
                <w:t>18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22">
              <w:r>
                <w:rPr>
                  <w:rStyle w:val="InternetLink"/>
                  <w:rFonts w:ascii="Times New Roman;sans-serif" w:hAnsi="Times New Roman;sans-serif"/>
                  <w:b w:val="false"/>
                  <w:color w:val="0000FF"/>
                  <w:sz w:val="20"/>
                  <w:u w:val="single"/>
                </w:rPr>
                <w:t>Item 1B.</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22">
              <w:r>
                <w:rPr>
                  <w:rStyle w:val="InternetLink"/>
                  <w:rFonts w:ascii="Times New Roman;sans-serif" w:hAnsi="Times New Roman;sans-serif"/>
                  <w:b w:val="false"/>
                  <w:color w:val="0000FF"/>
                  <w:sz w:val="20"/>
                  <w:u w:val="single"/>
                </w:rPr>
                <w:t>Unresolved Staff Comments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22">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25">
              <w:r>
                <w:rPr>
                  <w:rStyle w:val="InternetLink"/>
                  <w:rFonts w:ascii="Times New Roman;sans-serif" w:hAnsi="Times New Roman;sans-serif"/>
                  <w:b w:val="false"/>
                  <w:color w:val="0000FF"/>
                  <w:sz w:val="20"/>
                  <w:u w:val="single"/>
                </w:rPr>
                <w:t>Item 2.</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25">
              <w:r>
                <w:rPr>
                  <w:rStyle w:val="InternetLink"/>
                  <w:rFonts w:ascii="Times New Roman;sans-serif" w:hAnsi="Times New Roman;sans-serif"/>
                  <w:b w:val="false"/>
                  <w:color w:val="0000FF"/>
                  <w:sz w:val="20"/>
                  <w:u w:val="single"/>
                </w:rPr>
                <w:t>Properties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25">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28">
              <w:r>
                <w:rPr>
                  <w:rStyle w:val="InternetLink"/>
                  <w:rFonts w:ascii="Times New Roman;sans-serif" w:hAnsi="Times New Roman;sans-serif"/>
                  <w:b w:val="false"/>
                  <w:color w:val="0000FF"/>
                  <w:sz w:val="20"/>
                  <w:u w:val="single"/>
                </w:rPr>
                <w:t>Item 3.</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28">
              <w:r>
                <w:rPr>
                  <w:rStyle w:val="InternetLink"/>
                  <w:rFonts w:ascii="Times New Roman;sans-serif" w:hAnsi="Times New Roman;sans-serif"/>
                  <w:b w:val="false"/>
                  <w:color w:val="0000FF"/>
                  <w:sz w:val="20"/>
                  <w:u w:val="single"/>
                </w:rPr>
                <w:t>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28">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31">
              <w:r>
                <w:rPr>
                  <w:rStyle w:val="InternetLink"/>
                  <w:rFonts w:ascii="Times New Roman;sans-serif" w:hAnsi="Times New Roman;sans-serif"/>
                  <w:b w:val="false"/>
                  <w:color w:val="0000FF"/>
                  <w:sz w:val="20"/>
                  <w:u w:val="single"/>
                </w:rPr>
                <w:t>Item 4.</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31">
              <w:r>
                <w:rPr>
                  <w:rStyle w:val="InternetLink"/>
                  <w:rFonts w:ascii="Times New Roman;sans-serif" w:hAnsi="Times New Roman;sans-serif"/>
                  <w:b w:val="false"/>
                  <w:color w:val="0000FF"/>
                  <w:sz w:val="20"/>
                  <w:u w:val="single"/>
                </w:rPr>
                <w:t>Mine Safety Disclosures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31">
              <w:r>
                <w:rPr>
                  <w:rStyle w:val="InternetLink"/>
                  <w:rFonts w:ascii="Times New Roman;sans-serif" w:hAnsi="Times New Roman;sans-serif"/>
                  <w:b w:val="false"/>
                  <w:color w:val="0000FF"/>
                  <w:sz w:val="20"/>
                  <w:u w:val="single"/>
                </w:rPr>
                <w:t>33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37">
              <w:r>
                <w:rPr>
                  <w:rStyle w:val="InternetLink"/>
                  <w:rFonts w:ascii="Times New Roman;sans-serif" w:hAnsi="Times New Roman;sans-serif"/>
                  <w:b w:val="false"/>
                  <w:color w:val="0000FF"/>
                  <w:sz w:val="20"/>
                  <w:u w:val="single"/>
                </w:rPr>
                <w:t>Item 5.</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37">
              <w:r>
                <w:rPr>
                  <w:rStyle w:val="InternetLink"/>
                  <w:rFonts w:ascii="Times New Roman;sans-serif" w:hAnsi="Times New Roman;sans-serif"/>
                  <w:b w:val="false"/>
                  <w:color w:val="0000FF"/>
                  <w:sz w:val="20"/>
                  <w:u w:val="single"/>
                </w:rPr>
                <w:t>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14">
              <w:r>
                <w:rPr>
                  <w:rStyle w:val="InternetLink"/>
                  <w:rFonts w:ascii="Times New Roman;sans-serif" w:hAnsi="Times New Roman;sans-serif"/>
                  <w:b w:val="false"/>
                  <w:color w:val="0000FF"/>
                  <w:sz w:val="20"/>
                  <w:u w:val="single"/>
                </w:rPr>
                <w:t>Item 6.</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14">
              <w:r>
                <w:rPr>
                  <w:rStyle w:val="InternetLink"/>
                  <w:rFonts w:ascii="Times New Roman;sans-serif" w:hAnsi="Times New Roman;sans-serif"/>
                  <w:b w:val="false"/>
                  <w:color w:val="0000FF"/>
                  <w:sz w:val="20"/>
                  <w:u w:val="single"/>
                </w:rPr>
                <w:t>Reserved</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714">
              <w:r>
                <w:rPr>
                  <w:rStyle w:val="InternetLink"/>
                  <w:rFonts w:ascii="Times New Roman;sans-serif" w:hAnsi="Times New Roman;sans-serif"/>
                  <w:b w:val="false"/>
                  <w:color w:val="0000FF"/>
                  <w:sz w:val="20"/>
                  <w:u w:val="single"/>
                </w:rPr>
                <w:t>35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43">
              <w:r>
                <w:rPr>
                  <w:rStyle w:val="InternetLink"/>
                  <w:rFonts w:ascii="Times New Roman;sans-serif" w:hAnsi="Times New Roman;sans-serif"/>
                  <w:b w:val="false"/>
                  <w:color w:val="0000FF"/>
                  <w:sz w:val="20"/>
                  <w:u w:val="single"/>
                </w:rPr>
                <w:t>Item 7.</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43">
              <w:r>
                <w:rPr>
                  <w:rStyle w:val="InternetLink"/>
                  <w:rFonts w:ascii="Times New Roman;sans-serif" w:hAnsi="Times New Roman;sans-serif"/>
                  <w:b w:val="false"/>
                  <w:color w:val="0000FF"/>
                  <w:sz w:val="20"/>
                  <w:u w:val="single"/>
                </w:rPr>
                <w:t>36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61">
              <w:r>
                <w:rPr>
                  <w:rStyle w:val="InternetLink"/>
                  <w:rFonts w:ascii="Times New Roman;sans-serif" w:hAnsi="Times New Roman;sans-serif"/>
                  <w:b w:val="false"/>
                  <w:color w:val="0000FF"/>
                  <w:sz w:val="20"/>
                  <w:u w:val="single"/>
                </w:rPr>
                <w:t>Item 7A.</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61">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61">
              <w:r>
                <w:rPr>
                  <w:rStyle w:val="InternetLink"/>
                  <w:rFonts w:ascii="Times New Roman;sans-serif" w:hAnsi="Times New Roman;sans-serif"/>
                  <w:b w:val="false"/>
                  <w:color w:val="0000FF"/>
                  <w:sz w:val="20"/>
                  <w:u w:val="single"/>
                </w:rPr>
                <w:t>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64">
              <w:r>
                <w:rPr>
                  <w:rStyle w:val="InternetLink"/>
                  <w:rFonts w:ascii="Times New Roman;sans-serif" w:hAnsi="Times New Roman;sans-serif"/>
                  <w:b w:val="false"/>
                  <w:color w:val="0000FF"/>
                  <w:sz w:val="20"/>
                  <w:u w:val="single"/>
                </w:rPr>
                <w:t>Item 8.</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64">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64">
              <w:r>
                <w:rPr>
                  <w:rStyle w:val="InternetLink"/>
                  <w:rFonts w:ascii="Times New Roman;sans-serif" w:hAnsi="Times New Roman;sans-serif"/>
                  <w:b w:val="false"/>
                  <w:color w:val="0000FF"/>
                  <w:sz w:val="20"/>
                  <w:u w:val="single"/>
                </w:rPr>
                <w:t>69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0">
              <w:r>
                <w:rPr>
                  <w:rStyle w:val="InternetLink"/>
                  <w:rFonts w:ascii="Times New Roman;sans-serif" w:hAnsi="Times New Roman;sans-serif"/>
                  <w:b w:val="false"/>
                  <w:color w:val="0000FF"/>
                  <w:sz w:val="20"/>
                  <w:u w:val="single"/>
                </w:rPr>
                <w:t>Item 9.</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60">
              <w:r>
                <w:rPr>
                  <w:rStyle w:val="InternetLink"/>
                  <w:rFonts w:ascii="Times New Roman;sans-serif" w:hAnsi="Times New Roman;sans-serif"/>
                  <w:b w:val="false"/>
                  <w:color w:val="0000FF"/>
                  <w:sz w:val="20"/>
                  <w:u w:val="single"/>
                </w:rPr>
                <w:t>123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3">
              <w:r>
                <w:rPr>
                  <w:rStyle w:val="InternetLink"/>
                  <w:rFonts w:ascii="Times New Roman;sans-serif" w:hAnsi="Times New Roman;sans-serif"/>
                  <w:b w:val="false"/>
                  <w:color w:val="0000FF"/>
                  <w:sz w:val="20"/>
                  <w:u w:val="single"/>
                </w:rPr>
                <w:t>Item 9A.</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3">
              <w:r>
                <w:rPr>
                  <w:rStyle w:val="InternetLink"/>
                  <w:rFonts w:ascii="Times New Roman;sans-serif" w:hAnsi="Times New Roman;sans-serif"/>
                  <w:b w:val="false"/>
                  <w:color w:val="0000FF"/>
                  <w:sz w:val="20"/>
                  <w:u w:val="single"/>
                </w:rPr>
                <w:t>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63">
              <w:r>
                <w:rPr>
                  <w:rStyle w:val="InternetLink"/>
                  <w:rFonts w:ascii="Times New Roman;sans-serif" w:hAnsi="Times New Roman;sans-serif"/>
                  <w:b w:val="false"/>
                  <w:color w:val="0000FF"/>
                  <w:sz w:val="20"/>
                  <w:u w:val="single"/>
                </w:rPr>
                <w:t>123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6">
              <w:r>
                <w:rPr>
                  <w:rStyle w:val="InternetLink"/>
                  <w:rFonts w:ascii="Times New Roman;sans-serif" w:hAnsi="Times New Roman;sans-serif"/>
                  <w:b w:val="false"/>
                  <w:color w:val="0000FF"/>
                  <w:sz w:val="20"/>
                  <w:u w:val="single"/>
                </w:rPr>
                <w:t>Item 9B.</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66">
              <w:r>
                <w:rPr>
                  <w:rStyle w:val="InternetLink"/>
                  <w:rFonts w:ascii="Times New Roman;sans-serif" w:hAnsi="Times New Roman;sans-serif"/>
                  <w:b w:val="false"/>
                  <w:color w:val="0000FF"/>
                  <w:sz w:val="20"/>
                  <w:u w:val="single"/>
                </w:rPr>
                <w:t>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66">
              <w:r>
                <w:rPr>
                  <w:rStyle w:val="InternetLink"/>
                  <w:rFonts w:ascii="Times New Roman;sans-serif" w:hAnsi="Times New Roman;sans-serif"/>
                  <w:b w:val="false"/>
                  <w:color w:val="0000FF"/>
                  <w:sz w:val="20"/>
                  <w:u w:val="single"/>
                </w:rPr>
                <w:t>124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38">
              <w:r>
                <w:rPr>
                  <w:rStyle w:val="InternetLink"/>
                  <w:rFonts w:ascii="Times New Roman;sans-serif" w:hAnsi="Times New Roman;sans-serif"/>
                  <w:b w:val="false"/>
                  <w:color w:val="0000FF"/>
                  <w:sz w:val="20"/>
                  <w:u w:val="single"/>
                </w:rPr>
                <w:t>Item 9C.</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38">
              <w:r>
                <w:rPr>
                  <w:rStyle w:val="InternetLink"/>
                  <w:rFonts w:ascii="Times New Roman;sans-serif" w:hAnsi="Times New Roman;sans-serif"/>
                  <w:b w:val="false"/>
                  <w:color w:val="0000FF"/>
                  <w:sz w:val="20"/>
                  <w:u w:val="single"/>
                </w:rPr>
                <w:t>Disclosure Regarding Foreign Jurisdiction that Prevent Inspection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738">
              <w:r>
                <w:rPr>
                  <w:rStyle w:val="InternetLink"/>
                  <w:rFonts w:ascii="Times New Roman;sans-serif" w:hAnsi="Times New Roman;sans-serif"/>
                  <w:b w:val="false"/>
                  <w:color w:val="0000FF"/>
                  <w:sz w:val="20"/>
                  <w:u w:val="single"/>
                </w:rPr>
                <w:t>124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2">
              <w:r>
                <w:rPr>
                  <w:rStyle w:val="InternetLink"/>
                  <w:rFonts w:ascii="Times New Roman;sans-serif" w:hAnsi="Times New Roman;sans-serif"/>
                  <w:b w:val="false"/>
                  <w:color w:val="0000FF"/>
                  <w:sz w:val="20"/>
                  <w:u w:val="single"/>
                </w:rPr>
                <w:t>Item 10.</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2">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72">
              <w:r>
                <w:rPr>
                  <w:rStyle w:val="InternetLink"/>
                  <w:rFonts w:ascii="Times New Roman;sans-serif" w:hAnsi="Times New Roman;sans-serif"/>
                  <w:b w:val="false"/>
                  <w:color w:val="0000FF"/>
                  <w:sz w:val="20"/>
                  <w:u w:val="single"/>
                </w:rPr>
                <w:t>125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5">
              <w:r>
                <w:rPr>
                  <w:rStyle w:val="InternetLink"/>
                  <w:rFonts w:ascii="Times New Roman;sans-serif" w:hAnsi="Times New Roman;sans-serif"/>
                  <w:b w:val="false"/>
                  <w:color w:val="0000FF"/>
                  <w:sz w:val="20"/>
                  <w:u w:val="single"/>
                </w:rPr>
                <w:t>Item 11.</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5">
              <w:r>
                <w:rPr>
                  <w:rStyle w:val="InternetLink"/>
                  <w:rFonts w:ascii="Times New Roman;sans-serif" w:hAnsi="Times New Roman;sans-serif"/>
                  <w:b w:val="false"/>
                  <w:color w:val="0000FF"/>
                  <w:sz w:val="20"/>
                  <w:u w:val="single"/>
                </w:rPr>
                <w:t>Executive Compensation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75">
              <w:r>
                <w:rPr>
                  <w:rStyle w:val="InternetLink"/>
                  <w:rFonts w:ascii="Times New Roman;sans-serif" w:hAnsi="Times New Roman;sans-serif"/>
                  <w:b w:val="false"/>
                  <w:color w:val="0000FF"/>
                  <w:sz w:val="20"/>
                  <w:u w:val="single"/>
                </w:rPr>
                <w:t>125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8">
              <w:r>
                <w:rPr>
                  <w:rStyle w:val="InternetLink"/>
                  <w:rFonts w:ascii="Times New Roman;sans-serif" w:hAnsi="Times New Roman;sans-serif"/>
                  <w:b w:val="false"/>
                  <w:color w:val="0000FF"/>
                  <w:sz w:val="20"/>
                  <w:u w:val="single"/>
                </w:rPr>
                <w:t>Item 12.</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7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78">
              <w:r>
                <w:rPr>
                  <w:rStyle w:val="InternetLink"/>
                  <w:rFonts w:ascii="Times New Roman;sans-serif" w:hAnsi="Times New Roman;sans-serif"/>
                  <w:b w:val="false"/>
                  <w:color w:val="0000FF"/>
                  <w:sz w:val="20"/>
                  <w:u w:val="single"/>
                </w:rPr>
                <w:t>125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81">
              <w:r>
                <w:rPr>
                  <w:rStyle w:val="InternetLink"/>
                  <w:rFonts w:ascii="Times New Roman;sans-serif" w:hAnsi="Times New Roman;sans-serif"/>
                  <w:b w:val="false"/>
                  <w:color w:val="0000FF"/>
                  <w:sz w:val="20"/>
                  <w:u w:val="single"/>
                </w:rPr>
                <w:t>Item 13.</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8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81">
              <w:r>
                <w:rPr>
                  <w:rStyle w:val="InternetLink"/>
                  <w:rFonts w:ascii="Times New Roman;sans-serif" w:hAnsi="Times New Roman;sans-serif"/>
                  <w:b w:val="false"/>
                  <w:color w:val="0000FF"/>
                  <w:sz w:val="20"/>
                  <w:u w:val="single"/>
                </w:rPr>
                <w:t>125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84">
              <w:r>
                <w:rPr>
                  <w:rStyle w:val="InternetLink"/>
                  <w:rFonts w:ascii="Times New Roman;sans-serif" w:hAnsi="Times New Roman;sans-serif"/>
                  <w:b w:val="false"/>
                  <w:color w:val="0000FF"/>
                  <w:sz w:val="20"/>
                  <w:u w:val="single"/>
                </w:rPr>
                <w:t>Item 14.</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84">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84">
              <w:r>
                <w:rPr>
                  <w:rStyle w:val="InternetLink"/>
                  <w:rFonts w:ascii="Times New Roman;sans-serif" w:hAnsi="Times New Roman;sans-serif"/>
                  <w:b w:val="false"/>
                  <w:color w:val="0000FF"/>
                  <w:sz w:val="20"/>
                  <w:u w:val="single"/>
                </w:rPr>
                <w:t>125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90">
              <w:r>
                <w:rPr>
                  <w:rStyle w:val="InternetLink"/>
                  <w:rFonts w:ascii="Times New Roman;sans-serif" w:hAnsi="Times New Roman;sans-serif"/>
                  <w:b w:val="false"/>
                  <w:color w:val="0000FF"/>
                  <w:sz w:val="20"/>
                  <w:u w:val="single"/>
                </w:rPr>
                <w:t>Item 15.</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90">
              <w:r>
                <w:rPr>
                  <w:rStyle w:val="InternetLink"/>
                  <w:rFonts w:ascii="Times New Roman;sans-serif" w:hAnsi="Times New Roman;sans-serif"/>
                  <w:b w:val="false"/>
                  <w:color w:val="0000FF"/>
                  <w:sz w:val="20"/>
                  <w:u w:val="single"/>
                </w:rPr>
                <w:t>Exhibits, Financial Statement Schedules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90">
              <w:r>
                <w:rPr>
                  <w:rStyle w:val="InternetLink"/>
                  <w:rFonts w:ascii="Times New Roman;sans-serif" w:hAnsi="Times New Roman;sans-serif"/>
                  <w:b w:val="false"/>
                  <w:color w:val="0000FF"/>
                  <w:sz w:val="20"/>
                  <w:u w:val="single"/>
                </w:rPr>
                <w:t>126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93">
              <w:r>
                <w:rPr>
                  <w:rStyle w:val="InternetLink"/>
                  <w:rFonts w:ascii="Times New Roman;sans-serif" w:hAnsi="Times New Roman;sans-serif"/>
                  <w:b w:val="false"/>
                  <w:color w:val="0000FF"/>
                  <w:sz w:val="20"/>
                  <w:u w:val="single"/>
                </w:rPr>
                <w:t>Item 16.</w:t>
              </w:r>
            </w:hyperlink>
          </w:p>
        </w:tc>
        <w:tc>
          <w:tcPr>
            <w:tcW w:w="8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193">
              <w:r>
                <w:rPr>
                  <w:rStyle w:val="InternetLink"/>
                  <w:rFonts w:ascii="Times New Roman;sans-serif" w:hAnsi="Times New Roman;sans-serif"/>
                  <w:b w:val="false"/>
                  <w:color w:val="0000FF"/>
                  <w:sz w:val="20"/>
                  <w:u w:val="single"/>
                </w:rPr>
                <w:t>Form 10-K Summary</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193">
              <w:r>
                <w:rPr>
                  <w:rStyle w:val="InternetLink"/>
                  <w:rFonts w:ascii="Times New Roman;sans-serif" w:hAnsi="Times New Roman;sans-serif"/>
                  <w:b w:val="false"/>
                  <w:color w:val="0000FF"/>
                  <w:sz w:val="20"/>
                  <w:u w:val="single"/>
                </w:rPr>
                <w:t>130</w:t>
              </w:r>
            </w:hyperlink>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Forward-Looking Information </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pStyle w:val="TextBody"/>
        <w:spacing w:before="0" w:after="0"/>
        <w:ind w:left="0" w:right="0" w:firstLine="315"/>
        <w:rPr/>
      </w:pPr>
      <w:r>
        <w:rPr/>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the seasonally adjusted annual rate of new vehicle sales in the United States;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general economic conditions and its expected impact on our revenue and expenses;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expected parts and service revenue due to, among other things, improvements in vehicle technology;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ability to limit our exposure to regional economic downturns due to our geographic diversity and brand mix;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manufacturers' continued use of incentive programs to drive demand for their product offerings;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capital allocation strategy, including as it relates to acquisitions and divestitures, stock repurchases, dividends and capital expenditures;</w:t>
      </w:r>
    </w:p>
    <w:p>
      <w:pPr>
        <w:pStyle w:val="TextBody"/>
        <w:spacing w:lineRule="auto" w:line="276" w:before="0" w:after="120"/>
        <w:ind w:left="0" w:right="0" w:hanging="360"/>
        <w:rPr/>
      </w:pPr>
      <w:r>
        <w:rPr>
          <w:color w:val="000000"/>
        </w:rPr>
        <w:t>•</w:t>
      </w:r>
      <w:r>
        <w:rPr>
          <w:rFonts w:ascii="Times New Roman;sans-serif" w:hAnsi="Times New Roman;sans-serif"/>
          <w:b w:val="false"/>
          <w:color w:val="000000"/>
          <w:sz w:val="20"/>
        </w:rPr>
        <w:t>our revenue growth strategy;</w:t>
      </w:r>
    </w:p>
    <w:p>
      <w:pPr>
        <w:pStyle w:val="TextBody"/>
        <w:spacing w:lineRule="auto" w:line="276" w:before="0" w:after="120"/>
        <w:ind w:left="0" w:right="0" w:hanging="360"/>
        <w:rPr/>
      </w:pPr>
      <w:r>
        <w:rPr>
          <w:color w:val="000000"/>
        </w:rPr>
        <w:t>•</w:t>
      </w:r>
      <w:r>
        <w:rPr>
          <w:rFonts w:ascii="Times New Roman;sans-serif" w:hAnsi="Times New Roman;sans-serif"/>
          <w:b w:val="false"/>
          <w:color w:val="000000"/>
          <w:sz w:val="20"/>
        </w:rPr>
        <w:t>the growth of the brands that comprise our portfolio over the long-term;</w:t>
      </w:r>
    </w:p>
    <w:p>
      <w:pPr>
        <w:pStyle w:val="TextBody"/>
        <w:spacing w:lineRule="auto" w:line="276" w:before="0" w:after="120"/>
        <w:ind w:left="0" w:right="0" w:hanging="360"/>
        <w:rPr/>
      </w:pPr>
      <w:r>
        <w:rPr>
          <w:color w:val="000000"/>
        </w:rPr>
        <w:t>•</w:t>
      </w:r>
      <w:r>
        <w:rPr>
          <w:rFonts w:ascii="Times New Roman;sans-serif" w:hAnsi="Times New Roman;sans-serif"/>
          <w:b w:val="false"/>
          <w:color w:val="000000"/>
          <w:sz w:val="20"/>
        </w:rPr>
        <w:t>disruptions in the production and supply of vehicles and parts from our vehicle and parts manufacturers and other suppliers due to any ongoing impact of the global semiconductor shortage, which can disrupt our operations;</w:t>
      </w:r>
    </w:p>
    <w:p>
      <w:pPr>
        <w:pStyle w:val="TextBody"/>
        <w:spacing w:lineRule="auto" w:line="276" w:before="0" w:after="120"/>
        <w:ind w:left="0" w:right="0" w:hanging="360"/>
        <w:rPr/>
      </w:pPr>
      <w:r>
        <w:rPr>
          <w:color w:val="000000"/>
        </w:rPr>
        <w:t>•</w:t>
      </w:r>
      <w:r>
        <w:rPr>
          <w:rFonts w:ascii="Times New Roman;sans-serif" w:hAnsi="Times New Roman;sans-serif"/>
          <w:b w:val="false"/>
          <w:color w:val="000000"/>
          <w:sz w:val="20"/>
        </w:rPr>
        <w:t>disruptions in our operations, the operations of our vehicle and parts manufacturers and other suppliers, vendors and business partners, and the global economy in general due to the global COVID-19 pandemic, including due to any new strains of the virus and the efficacy and rate of vaccinations; and</w:t>
      </w:r>
    </w:p>
    <w:p>
      <w:pPr>
        <w:pStyle w:val="TextBody"/>
        <w:spacing w:lineRule="auto" w:line="276" w:before="0" w:after="120"/>
        <w:ind w:left="0" w:right="0" w:hanging="360"/>
        <w:rPr/>
      </w:pPr>
      <w:r>
        <w:rPr>
          <w:color w:val="000000"/>
        </w:rPr>
        <w:t>•</w:t>
      </w:r>
      <w:r>
        <w:rPr>
          <w:rFonts w:ascii="Times New Roman;sans-serif" w:hAnsi="Times New Roman;sans-serif"/>
          <w:b w:val="false"/>
          <w:color w:val="000000"/>
          <w:sz w:val="20"/>
        </w:rPr>
        <w:t>our estimated future capital expenditures, which can be impacted by increasing prices, labor shortages and acquisitions and divestitures.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pStyle w:val="TextBody"/>
        <w:spacing w:before="0" w:after="0"/>
        <w:ind w:left="0" w:right="0" w:firstLine="315"/>
        <w:rPr/>
      </w:pPr>
      <w:r>
        <w:rPr/>
      </w:r>
    </w:p>
    <w:p>
      <w:pPr>
        <w:pStyle w:val="TextBody"/>
        <w:spacing w:lineRule="auto" w:line="276" w:before="0" w:after="120"/>
        <w:ind w:left="0" w:right="0" w:hanging="360"/>
        <w:rPr/>
      </w:pPr>
      <w:r>
        <w:rPr>
          <w:color w:val="000000"/>
        </w:rPr>
        <w:t>•</w:t>
      </w:r>
      <w:r>
        <w:rPr>
          <w:rFonts w:ascii="Times New Roman;sans-serif" w:hAnsi="Times New Roman;sans-serif"/>
          <w:b w:val="false"/>
          <w:color w:val="000000"/>
          <w:sz w:val="20"/>
        </w:rPr>
        <w:t>the degree to which disruptions in our operations, the operations of our vehicle and parts manufacturers and other suppliers, vendors and business partners, and the global economy in general due to any ongoing effects of the COVID-19 pandemic may adversely impact our business, results of operations, financial condition and cash flows;</w:t>
      </w:r>
    </w:p>
    <w:p>
      <w:pPr>
        <w:pStyle w:val="TextBody"/>
        <w:spacing w:lineRule="auto" w:line="276" w:before="0" w:after="120"/>
        <w:ind w:left="0" w:right="0" w:hanging="360"/>
        <w:rPr/>
      </w:pPr>
      <w:r>
        <w:rPr>
          <w:color w:val="000000"/>
        </w:rPr>
        <w:t>•</w:t>
      </w:r>
      <w:r>
        <w:rPr>
          <w:rFonts w:ascii="Times New Roman;sans-serif" w:hAnsi="Times New Roman;sans-serif"/>
          <w:b w:val="false"/>
          <w:color w:val="000000"/>
          <w:sz w:val="20"/>
        </w:rPr>
        <w:t>the effects of increased expenses or unanticipated liabilities incurred as a result of, or due to activities related to our acquisitions or divestitures;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changes in general economic and business conditions, including changes in employment levels, consumer confidence levels, consumer demand and preferences, the availability and cost of credit, fuel prices, levels of discretionary personal income and interest rates;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ability to generate sufficient cash flows, maintain our liquidity and obtain any necessary additional funds for working capital, capital expenditures, acquisitions, stock repurchases, debt maturity payments and other corporate purposes, if necessary or desirable;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significant disruptions in the production and delivery of vehicles and parts for any reason, including the COVID-19 pandemic, supply shortages (including semiconductor chips), natural disasters, severe weather, civil unrest, product recalls, work stoppages or other occurrences that are outside of our control;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execute our automotive retailing and service business strategy while operating under restrictions and best practices imposed or encouraged by governmental and other regulatory authorities;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ability to successfully attract and retain skilled employees;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successfully operate, including our ability to obtain and maintain all necessary regulatory approvals, for Total Care Auto, Powered by Landcar ("TCA"), our recently acquired F&amp;I products provider;</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adverse conditions affecting the vehicle manufacturers whose brands we sell, and their ability to design, manufacture, deliver and market their vehicles successfully;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changes in the mix and total number of vehicles we are able to sell;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outstanding indebtedness and our continued ability to comply with applicable covenants in our various financing and lease agreements, or to obtain waivers of these covenants as necessary;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high levels of competition in our industry, which may create pricing and margin pressures on our products and services;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relationships with manufacturers of the vehicles we sell and our ability to renew, and enter into new framework and dealer agreements with vehicle manufacturers whose brands we sell, on terms acceptable to us;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the availability of manufacturer incentive programs and our ability to earn these incentives;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failure of our, or those of our third-party service providers, management information systems;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any data security breaches occurring, including with regard to personally identifiable information ("PII");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changes in laws and regulations governing the operation of automobile franchises, including trade restrictions, consumer protections, accounting standards, taxation requirements and environmental laws;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changes in, or the imposition of, new tariffs or trade restrictions on imported vehicles or parts;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adverse results from litigation or other similar proceedings involving us;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ability to consummate planned mergers, acquisitions and dispositions;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any disruptions in the financial markets, which may impact our ability to access capital;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relationships with, and the financial stability of, our lenders and lessors;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ability to execute our initiatives and other strategies;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leverage gains from our dealership portfolio; and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successfully integrate businesses we may acquire, or that any business we acquire may not perform as we expected at the time we acquired it.</w:t>
      </w:r>
    </w:p>
    <w:p>
      <w:pPr>
        <w:pStyle w:val="TextBody"/>
        <w:spacing w:lineRule="auto" w:line="276"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beyond our ability to control or predict, and their ultimate impact could be material. Moreover, the factors set forth under "Item 1A. Risk Factors" and "Item 7. Management's Discussion and Analysis of Financial Condition and Results of Operations" below and other cautionary statements made in this report should be read and considered as forward-looking statements subject to such uncertainties. We urge you to carefully consider those factors.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We expressly disclaim any obligation to update any forward-looking statement contained herein.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lineRule="auto" w:line="288" w:before="0" w:after="180"/>
        <w:ind w:left="0" w:right="0" w:firstLine="315"/>
        <w:rPr/>
      </w:pPr>
      <w:r>
        <w:rPr>
          <w:rFonts w:ascii="Times New Roman;sans-serif" w:hAnsi="Times New Roman;sans-serif"/>
          <w:b w:val="false"/>
          <w:color w:val="000000"/>
          <w:sz w:val="20"/>
        </w:rPr>
        <w:t xml:space="preserve">Our annual reports on Form 10-K, quarterly reports on Form 10-Q, current reports on Form 8-K, and any amendments to such reports filed pursuant to Section 13(a) or 15(d) of the Securities Exchange Act of 1934, are made available free of charge on our website at </w:t>
      </w:r>
      <w:r>
        <w:rPr>
          <w:rFonts w:ascii="Times New Roman;sans-serif" w:hAnsi="Times New Roman;sans-serif"/>
          <w:b w:val="false"/>
          <w:i/>
          <w:color w:val="000000"/>
          <w:sz w:val="20"/>
        </w:rPr>
        <w:t>http://www.asburyauto.com</w:t>
      </w:r>
      <w:r>
        <w:rPr>
          <w:color w:val="000000"/>
        </w:rPr>
        <w:t xml:space="preserve"> </w:t>
      </w:r>
      <w:r>
        <w:rPr>
          <w:rFonts w:ascii="Times New Roman;sans-serif" w:hAnsi="Times New Roman;sans-serif"/>
          <w:b w:val="false"/>
          <w:color w:val="000000"/>
          <w:sz w:val="20"/>
        </w:rPr>
        <w:t>as soon as practical after such reports are filed with the U.S. Securities and Exchange Commission (the "Commission"). In addition, the proxy statement that will be delivered to our stockholders in connection with our 2022 Annual Meeting of Stockholders, when filed, will also be available on our website, and at the URL stated in such proxy statement. We also make available on our website copies of our certificate of incorporation, bylaws, and other materials that outline our corporate governance policies and practices, including:</w:t>
      </w:r>
    </w:p>
    <w:p>
      <w:pPr>
        <w:pStyle w:val="TextBody"/>
        <w:spacing w:lineRule="auto" w:line="288" w:before="0" w:after="0"/>
        <w:rPr>
          <w:color w:val="000000"/>
        </w:rPr>
      </w:pPr>
      <w:r>
        <w:rPr>
          <w:color w:val="000000"/>
        </w:rPr>
        <w:t>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respective charters of our audit committee, governance and nominating committee, compensation and human resources committee, and capital allocation and risk management committee;</w:t>
      </w:r>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our criteria for independence of the members of our board of directors, audit committee, and compensation and human resources committee;</w:t>
      </w:r>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our Corporate Governance Guidelines; and</w:t>
      </w:r>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our Code of Business Conduct and Ethics for Directors, Officers, and Employees.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intend to provide any information required by Item 5.05 of Form 8-K (relating to amendments or waivers of our Code of Business Conduct and Ethics for Directors, Officers, and Employees) by disclosure on our website.</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ind w:left="0" w:right="0" w:firstLine="315"/>
        <w:rPr/>
      </w:pPr>
      <w:r>
        <w:rPr>
          <w:rFonts w:ascii="Times New Roman;sans-serif" w:hAnsi="Times New Roman;sans-serif"/>
          <w:b w:val="false"/>
          <w:color w:val="000000"/>
          <w:sz w:val="20"/>
        </w:rPr>
        <w:t xml:space="preserve">You may also obtain a printed copy of the foregoing materials by sending a written request to: Investor Relations Department, Asbury Automotive Group, Inc., 2905 Premiere Parkway, NW, Suite 300, Duluth, Georgia 30097. In addition, the Commission makes available on its website, free of charge, reports, proxy and information statements, and other information regarding issuers, such as us, that file electronically with the Commission. The Commission's website is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 Unless otherwise specified, information contained on our website, available by hyperlink from our website or on the Commission's website, is not incorporated into this report or other documents we file with, or furnish to, the Commission.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Except as the context otherwise requires, "we," "our," "us," "Asbury," and "the Company" refer to Asbury Automotive Group, Inc. and its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a Delaware corporation organized in 2002, is a Fortune 500 company and the 6th largest franchised automotive retailer in the United States. Our mission and vision is to put guest experience as our “North Star” and be the most guest-centric automotive retailer in the industry. We follow three key principles to guide us: (1) foster a fun and supportive culture where team members thrive personally, while building meaningful bonds with one another; (2) be great ambassadors and exceptional stewards of capital for our partners who fuel our mission; and (3) be caring professionals who strive to delight our guests and foster love for the brand. Our strong organizational culture and purposeful mission allows us to continuously deliver best-in-class experiences to our guests. As of December 31, 2021, we owned and operated 205 new vehicle franchises, representing 31 brands of automobiles at 155 dealership locations, 35 collision centers, seven stand-alone used vehicle dealerships, one used vehicle wholesale business and one auto auction within fifteen states. Our store operations are conducted by our subsidiaries.</w:t>
      </w:r>
    </w:p>
    <w:p>
      <w:pPr>
        <w:pStyle w:val="TextBody"/>
        <w:spacing w:lineRule="auto" w:line="288"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an extensive range of automotive products and services fulfilling the entire vehicle ownership lifecycle including new and used vehicles, parts and service, which includes vehicle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We strive for a diversified mix of products, services, brands and geographic locations which allows us to reduce our reliance on any one manufacturer, minimize the impact from changes in customer preference and maintain profitability across fluctuations in new vehicle sales. Our diverse revenue base, along with our commitment to operational excellence across our dealership portfolio, provides a resilient business model and strong profit margins. </w:t>
      </w:r>
    </w:p>
    <w:p>
      <w:pPr>
        <w:pStyle w:val="TextBody"/>
        <w:spacing w:lineRule="auto" w:line="288"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platform is designed to engage with customers where and when they want to interact and to increase our market share through digital innovation. We are focused on providing a high level of customer service and have designed our dealerships’ services to meet the increasingly sophisticated needs of customers throughout the vehicle ownership lifecycle. Our digital capabilities further enhance our physical dealership network and drive additional revenue. Our ability to provide a low friction experience across our omni-channel platform drives customer satisfaction and repeat business across our dealership portfolio. </w:t>
      </w:r>
    </w:p>
    <w:p>
      <w:pPr>
        <w:pStyle w:val="TextBody"/>
        <w:spacing w:lineRule="auto" w:line="288"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we introduced Clicklane, the automotive retail industry’s first, end-to-end, 100% online vehicle retail tool. This differentiated platform offers our customers an easy, seamless and transparent approach to completing the purchase or sale of vehicles completely online inclusive of all documentation, loan origination and everything in between. We believe the Clicklane tool will further enhance our physical dealership network and creates a sustainable competitive advantage as the vehicle buying process evolves in a digital environment.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Larry H. Miller Acquisition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September 28, 2021, Asbury Automotive Group, LLC (“Purchaser”), a Delaware limited liability company and a wholly-owned subsidiary of Asbury Automotive Group, Inc., a Delaware corporation (the “Company”), entered into (i) a Purchase Agreement (the “Equity Purchase Agreement”) with certain members of the Larry H. Miller Dealership family of entities; (ii) a Real Estate Purchase and Sale Agreement (the “Real Estate Purchase Agreement”) with Miller Family Real Estate, L.L.C. and (iii) a Purchase Agreement (the “TCA Purchase Agreement” and together with the Equity Purchase Agreement and the Real Estate Purchase Agreement, the “Transaction Agreements”) with certain equity owners of the TCA business (an F&amp;I product provider) affiliated with the Larry H. Miller Dealership family of entities. Pursuant to the Transaction Agreements, Purchaser acquired the equity interests of, and the real property related to (collectively, the “Transactions”), the businesses of the Larry H. Miller ("LHM") Dealerships and TCA (collectively, the “Businesses”), each described in the Equity Purchase Agreement, the Real Estate Purchase Agreement and the TCA Purchase Agreement, for an aggregate purchase price of approximately $3.48 billion, comprising approximately $2.51 billion of goodwill and franchise rights intangible assets, $792.6 million of property and equipment, and $285.0 million in inventories less $105.6 million of liabilities assumed, net of other assets acquired.</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the Company completed the acquisition of the Businesses, thereby acquiring 54 new vehicle dealerships, seven used cars stores, 11 collision centers, a used vehicle wholesale business, the real property related thereto, and the entities comprising the TCA Business for a total purchase price of $3.48 billion. The real property was acquired in escrow, to be released, together with the related portion of the purchase price, subject to the satisfaction of certain title related conditions. The purchase price was financed through a combination of cash, debt, including senior notes, real estate facilities, new and used vehicle floor plan facilities and the proceeds from the issuance of common stock.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Transactions, the Company now operates in two reportable segments, namely the Dealerships and TCA segments.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to the LHM Acquisition, during the year ended December 31, 2021, we acquired the assets of 11 franchises (10 dealership locations) in in the Denver, Colorado market and three franchises (one dealership location) in the Indianapolis, Indiana market for a combined purchase price of $485.7 million. We funded this acquisition with an aggregate of $455.1 million of cash and $9.6 million of floor plan borrowings for the purchase of the related new vehicle inventory. In the aggregate, this acquisition included purchase price holdbacks of $21.0 million for potential indemnity claims made by us with respect to the acquired franchises.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Asbury Automotive</w:t>
      </w:r>
    </w:p>
    <w:p>
      <w:pPr>
        <w:pStyle w:val="TextBody"/>
        <w:spacing w:lineRule="auto" w:line="288" w:before="180" w:after="283"/>
        <w:ind w:left="0" w:right="0" w:firstLine="270"/>
        <w:rPr/>
      </w:pPr>
      <w:r>
        <w:rPr>
          <w:rFonts w:ascii="Times New Roman;sans-serif" w:hAnsi="Times New Roman;sans-serif"/>
          <w:b w:val="false"/>
          <w:color w:val="000000"/>
          <w:sz w:val="20"/>
        </w:rPr>
        <w:t>The following charts present the contribution to total revenue and gross profit by each line of business for the year ended December 31, 2021:</w:t>
      </w:r>
      <w:r>
        <w:rPr/>
        <w:drawing>
          <wp:inline distT="0" distB="63500" distL="0" distR="0">
            <wp:extent cx="6448425" cy="36195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448425" cy="36195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new vehicle franchise retail network within our Dealerships segment is made up of dealerships located in fifteen states operating primarily under 15 locally-branded dealership groups. The following chart provides a detailed breakdown of our states, brand names, and franchises as of December 31, 2021:</w:t>
      </w:r>
    </w:p>
    <w:tbl>
      <w:tblPr>
        <w:tblW w:w="10205" w:type="dxa"/>
        <w:jc w:val="left"/>
        <w:tblInd w:w="0" w:type="dxa"/>
        <w:tblCellMar>
          <w:top w:w="28" w:type="dxa"/>
          <w:left w:w="28" w:type="dxa"/>
          <w:bottom w:w="28" w:type="dxa"/>
          <w:right w:w="28" w:type="dxa"/>
        </w:tblCellMar>
      </w:tblPr>
      <w:tblGrid>
        <w:gridCol w:w="1236"/>
        <w:gridCol w:w="1087"/>
        <w:gridCol w:w="1088"/>
        <w:gridCol w:w="109"/>
        <w:gridCol w:w="109"/>
        <w:gridCol w:w="109"/>
        <w:gridCol w:w="441"/>
        <w:gridCol w:w="406"/>
        <w:gridCol w:w="350"/>
        <w:gridCol w:w="109"/>
        <w:gridCol w:w="109"/>
        <w:gridCol w:w="109"/>
        <w:gridCol w:w="1670"/>
        <w:gridCol w:w="1352"/>
        <w:gridCol w:w="1921"/>
      </w:tblGrid>
      <w:tr>
        <w:trPr/>
        <w:tc>
          <w:tcPr>
            <w:tcW w:w="1236"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Dealership Group Brand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Franchise</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Automotive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BMW, Buick, Chevrolet, Ford(a), GMC, Honda(d), Hyundai, Mercedes-Benz, Nissan(a), Toyota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Courtesy Autogroup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 Dodge, Genesis, Honda, Hyundai, Infiniti, Jeep, Kia, Mercedes-Benz, Nissan, Sprinter, Toyota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Automotive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BMW, Chrysler, Dodge(a), Ford, Honda(a), Jeep, Nissan, Volvo</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Nissan</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BMW(a), MINI</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McDavid Auto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Acura(a), Ford, Honda(a), Lincoln</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Greenville Automotive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Jaguar, Land Rover, Porsche, Toyota, Volvo</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Hare, Bill Estes &amp; Kahlo Automotive Groups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Buick, Chevrolet(b), Chrysler(a), Dodge(a), Ford, GMC, Honda, Isuzu, Jeep(a), Toyota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Dealerships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Chrysler(b), Dodge(c), Fiat, Ford, Genesis, Hyundai, Jeep(b), Nissan, Toyota, Volkswagen(a)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Toyota(a)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Chrysler(a), Dodge(b), Fiat, Ford, Jeep(a), Nissan(b), Toyota(b), Volkswagen</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 Dodge, Honda, Jeep, Subaru</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Mexico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 Chrysler(a), Dodge, Genesis, Hyundai(a), Jeep(a), Toyota(a)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Chevrolet(a), Chrysler(c), Dodge(c), Ford(b), Honda, Jeep(c), Lexus(a), Lincoln(a), Mercedes-Benz, Toyota, Sprinter</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Honda, Lexus, Toyota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Shaw, Stevinson &amp; Arapahoe Automotive Groups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Subaru(a), Chevrolet, Chrysler, Dodge, Genesis, Hyundai(a), Jaguar, Jeep, Lexus(a), Porsche, Toyota(a)</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Nalley Automotive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Audi, Bentley, BMW, Chevrolet, Honda, Hyundai, Infiniti(a), Kia, Lexus(a), Nissan, Toyota(b), Volkswagen</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 Place Automotive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Jaguar, Lexus(a), Land Rover, Mercedes-Benz(b), Porsche, Volvo, Sprinter(b)</w:t>
            </w:r>
          </w:p>
        </w:tc>
      </w:tr>
      <w:tr>
        <w:trPr/>
        <w:tc>
          <w:tcPr>
            <w:tcW w:w="3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Plaza Motor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 BMW, Infiniti, Jaguar, Land Rover, Lexus, Mercedes-Benz(a), Sprinter(a)</w:t>
            </w:r>
          </w:p>
        </w:tc>
      </w:tr>
    </w:tbl>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0" w:after="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(a)This state has two of these franchises.</w:t>
      </w:r>
    </w:p>
    <w:p>
      <w:pPr>
        <w:pStyle w:val="TextBody"/>
        <w:spacing w:lineRule="auto" w:line="288" w:before="0" w:after="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(b)This state has three of these franchises.</w:t>
      </w:r>
    </w:p>
    <w:p>
      <w:pPr>
        <w:pStyle w:val="TextBody"/>
        <w:spacing w:lineRule="auto" w:line="288" w:before="0" w:after="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(c)This state has four of these franchises.</w:t>
      </w:r>
    </w:p>
    <w:p>
      <w:pPr>
        <w:pStyle w:val="TextBody"/>
        <w:spacing w:lineRule="auto" w:line="288" w:before="0" w:after="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(d)This state has five of these franchises.</w:t>
      </w:r>
    </w:p>
    <w:p>
      <w:pPr>
        <w:pStyle w:val="TextBody"/>
        <w:spacing w:before="0" w:after="0"/>
        <w:ind w:left="0" w:right="0" w:hanging="450"/>
        <w:rPr/>
      </w:pPr>
      <w:r>
        <w:rPr/>
      </w:r>
    </w:p>
    <w:p>
      <w:pPr>
        <w:pStyle w:val="TextBody"/>
        <w:spacing w:before="0" w:after="180"/>
        <w:ind w:left="0" w:right="0" w:hanging="45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Operations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New Vehicle Sales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number of franchises we owned as of December 31, 2021 and the percentage of new vehicle revenues represented by class and franchise for the year ended December 31, 2021:</w:t>
      </w:r>
    </w:p>
    <w:tbl>
      <w:tblPr>
        <w:tblW w:w="5215" w:type="dxa"/>
        <w:jc w:val="center"/>
        <w:tblInd w:w="0" w:type="dxa"/>
        <w:tblCellMar>
          <w:top w:w="28" w:type="dxa"/>
          <w:left w:w="28" w:type="dxa"/>
          <w:bottom w:w="28" w:type="dxa"/>
          <w:right w:w="28" w:type="dxa"/>
        </w:tblCellMar>
      </w:tblPr>
      <w:tblGrid>
        <w:gridCol w:w="559"/>
        <w:gridCol w:w="492"/>
        <w:gridCol w:w="493"/>
        <w:gridCol w:w="109"/>
        <w:gridCol w:w="109"/>
        <w:gridCol w:w="109"/>
        <w:gridCol w:w="510"/>
        <w:gridCol w:w="510"/>
        <w:gridCol w:w="511"/>
        <w:gridCol w:w="109"/>
        <w:gridCol w:w="109"/>
        <w:gridCol w:w="109"/>
        <w:gridCol w:w="303"/>
        <w:gridCol w:w="303"/>
        <w:gridCol w:w="880"/>
      </w:tblGrid>
      <w:tr>
        <w:trPr/>
        <w:tc>
          <w:tcPr>
            <w:tcW w:w="55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Class/Franchise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Franchises 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New</w:t>
              <w:br/>
              <w:t>Vehicle Revenues</w:t>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Luxury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Lexus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Mercedes-Benz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BMW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Infiniti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Jaguar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Rover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Lincoln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Porsche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Luxury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Import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Toyota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Hyundai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Volkswagen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Subaru</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Fiat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Isuzu</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Import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Dodge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Jeep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8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Domestic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Franchises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Franchise accounted for less than 1% of new vehicle revenues for the year ended December 31, 2021.</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new vehicle revenues include new vehicle sales and lease transactions arranged by our dealerships with third-party financial institutions. We believe that leasing provides a number of benefits to our other business lines, including the historical customer loyalty to the leasing dealership for repairs and maintenance services and the fact that lessors typically give the leasing dealership the first option to purchase the off-lease vehicle.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Used Vehicle Sales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used vehicles at all our franchised dealership locations, seven stand-alone used vehicle dealerships, one used vehicle wholesale business and one auto auction. Used vehicle sales include the sale of used vehicles to individual retail customers ("used retail") and the sale of used vehicles to other dealers at auction ("wholesale") (the terms "used retail" and "wholesale" collectively referred to as "used").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Gross profit from the sale of used vehicles depends primarily on our dealerships' ability to obtain a high quality supply of used vehicles and our use of technology to manage our inventory. Our new vehicle operations typically provide our used vehicle operations with a large supply of trade-ins and off-lease vehicles, which we believe are good sources of high quality used vehicles. We also purchase a portion of our used vehicle inventory at "open" auctions and auctions restricted to new vehicle dealers. Additionally, our used vehicle sales benefit from our ability to sell certified pre-owned vehicles from our franchised dealerships.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Parts and Service</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vehicle repair and maintenance services, sell replacement parts, and recondition used vehicles at all of our dealerships. In addition, we provide collision repair services at our 35 free-standing collision repair centers that we operate either on the premises of, or in close proximity to, our dealerships. Historically, parts and service revenues have been more stable than those from vehicle sales. Industry-wide, parts and service revenues have consistently increased over time primarily due to the increased cost of maintaining vehicles, the added technical complexity of vehicles, and the increasing number of vehicles on the road.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automotive parts and service industry tends to be highly fragmented, with franchised dealerships and independent repair shops competing for this business. We believe, however, that the increased use of advanced technology in vehicles is making it difficult for independent repair shops to compete effectively with franchised dealerships as they may not be able to make the investment necessary to perform major or technical repairs. In an effort to maintain the necessary knowledge to service vehicles and further develop our technician staff, we focus on our internal and manufacturer specific training and development programs for new and existing technicians. We believe our parts and service business is also well-positioned to benefit from the service work potentially generated through the sale of extended service contracts to customers who purchase new and used vehicles from us, as historically these customers tend to have their vehicles serviced at the location where they purchased the extended service contract. In addition, our franchised dealerships benefit from manufacturer policies requiring that warranty and recall related repairs be performed at a franchised dealership. We believe our collision repair centers provide us with an attractive opportunity to grow our business due to the high margins provided by collision repair services and the fact we are able to source original equipment manufacturer parts from our franchised dealerships.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Finance and Insurance</w:t>
      </w:r>
    </w:p>
    <w:p>
      <w:pPr>
        <w:pStyle w:val="TextBody"/>
        <w:spacing w:lineRule="auto" w:line="288" w:before="0" w:after="180"/>
        <w:ind w:left="0" w:right="0" w:firstLine="315"/>
        <w:rPr/>
      </w:pPr>
      <w:r>
        <w:rPr>
          <w:rFonts w:ascii="Times New Roman;sans-serif" w:hAnsi="Times New Roman;sans-serif"/>
          <w:b w:val="false"/>
          <w:color w:val="000000"/>
          <w:sz w:val="20"/>
        </w:rPr>
        <w:t xml:space="preserve">We offer a wide variety of automotive F&amp;I products to our customers. Through the addition of the TCA Business in December 2021, we </w:t>
      </w:r>
      <w:r>
        <w:rPr>
          <w:rFonts w:ascii="Times New Roman;sans-serif" w:hAnsi="Times New Roman;sans-serif"/>
          <w:b w:val="false"/>
          <w:color w:val="000000"/>
          <w:sz w:val="20"/>
          <w:highlight w:val="white"/>
        </w:rPr>
        <w:t xml:space="preserve">offer extended vehicle service contracts, prepaid maintenance contracts, vehicle theft assistance contracts, key replacement contracts, guaranteed asset protection contracts, paintless dent repair contracts, appearance protection contracts, tire and wheel, DrivePur vehicle sanitation product, and lease wear and tear contracts. These F&amp;I products are sold to our customers via our network of recently acquired LHM Dealerships.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TCA F&amp;I products, we also arrange third-party financing for the sale or lease of vehicles to our customers in exchange for compensation paid to us by the third-party financial institution. We do not directly finance our customers' vehicle purchases or leases, therefore our exposure to losses in connection with those third-party financing arrangements is limited generally to the compensation we receive. The compensation we receive is subject to chargeback, or repayment, to the third-party finance company if a customer defaults or prepays the retail installment contract typically during some limited time period at the beginning of the contract term. We have negotiated agreements with certain lenders pursuant to which we receive additional compensation upon reaching a certain volume of business.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our customers a variety of vehicle protection products through independent third parties in connection with the purchase of vehicles . These products are underwritten and administered by these third parties. Under our arrangements with the providers of these products, we primarily sell the products on a straight commission basis. We are subject to chargebacks for service and other contracts as a result of early termination, default, or prepayment of the contract. In addition, we participate in future profits associated with the performance of the third-party held underlying portfolio for certain products pursuant to retrospective commission arrangements. </w:t>
      </w:r>
    </w:p>
    <w:p>
      <w:pPr>
        <w:pStyle w:val="TextBody"/>
        <w:spacing w:before="180" w:after="283"/>
        <w:ind w:left="0" w:right="0" w:firstLine="315"/>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description of some of the vehicle protection products we offer to our customers, either through TCA or independent third parties: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Extended service contracts – covers certain repair work after the expiration of the manufacturer warranty;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GAP debt cancellation – covers the customer after a total loss for the difference between the value of the vehicle and the outstanding loan or lease obligation after insurance proceeds;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Prepaid maintenance – covers certain routine maintenance work, such as oil changes, cleaning and adjusting of brakes, multi-point vehicle inspections, and tire rotations;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Road hazard protection - repairs or replaces tires damaged by road hazards, road surface conditions such as potholes, cracks and breaks, and debris on the road surface.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F&amp;I Revenue in our Dealerships segment represents the commissions earned from both TCA and independent third parties related to a broad range of F&amp;I products. This F&amp;I Revenue is presented net of chargebacks. The commission fees, net of chargebacks received by our dealerships from TCA, are eliminated upon consolidation along with other inter-company transactions.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F&amp;I Revenue in our TCA segment represents the premium revenue earned from customers related to F&amp;I products in connection with the purchase of vehicles, primarily at LHM Business dealerships. In addition, F&amp;I Revenue includes investment income and other gains and losses related to the performance of our investment portfolio. The commissions expense paid by TCA to our affiliated dealerships is presented in F&amp;I Cost of Sales in our TCA segment and eliminated upon consolidation along with other inter-company transactions. In addition to the commissions paid to the dealerships, claims paid related to the contracts are recognized in F&amp;I cost of sales as well. The premium revenue and cost of sales is recognized over the life of the F&amp;I product contract.</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spacing w:lineRule="auto" w:line="288"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be the most guest-centric automotive retailer and to create long-term value for our stockholders by striving to drive operational excellence and deploy capital to its highest risk adjusted returns. To achieve these objectives, we employ the strategies described below.</w:t>
      </w:r>
    </w:p>
    <w:p>
      <w:pPr>
        <w:pStyle w:val="TextBody"/>
        <w:spacing w:lineRule="auto" w:line="276"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Provide an exceptional customer experience in our stores.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guided by our mission and vision to be the most guest-centric automotive retailer in the industry and use that framework as our North Star. We have designed our dealerships’ services to meet the needs of an increasingly sophisticated and demanding automotive consumer. We endeavor to establish relationships that we believe will result in both repeat business and additional business through customer referrals. Furthermore, we provide our dealership managers with appropriate incentives to employ efficient selling approaches, engage in extensive follow-up to develop long-term relationships with customers, and extensively train our sales staff to meet customer needs.</w:t>
      </w:r>
    </w:p>
    <w:p>
      <w:pPr>
        <w:pStyle w:val="TextBody"/>
        <w:spacing w:lineRule="auto" w:line="276" w:before="180" w:after="283"/>
        <w:jc w:val="both"/>
        <w:rPr/>
      </w:pPr>
      <w:r>
        <w:rPr>
          <w:rFonts w:ascii="Times New Roman;sans-serif" w:hAnsi="Times New Roman;sans-serif"/>
          <w:b w:val="false"/>
          <w:i/>
          <w:color w:val="000000"/>
          <w:sz w:val="20"/>
        </w:rPr>
        <w:t>Further develop digital and omni-channel capabilities and drive Clicklane penetration across our coast-to-coast footprint</w:t>
      </w:r>
      <w:r>
        <w:rPr>
          <w:rFonts w:ascii="Times New Roman;sans-serif" w:hAnsi="Times New Roman;sans-serif"/>
          <w:b/>
          <w:i/>
          <w:color w:val="000000"/>
          <w:sz w:val="20"/>
        </w:rPr>
        <w:t>.</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omni-channel strategy, we implemented Clicklane, the automotive retail industry’s first, end-to-end, 100% online vehicle retail tool, which offers our customers a convenient, seamless and transparent approach to purchase and sell vehicles completely online. Our Clicklane platform provides our customers with the ability to (i) select a new or used vehicle for lease or purchase, (ii) arrange for and obtain financing from a variety of lenders, (iii) obtain an offer on their trade-in vehicle, (iv) obtain an exact pay-off amount on any existing loan on a trade-in vehicle, (v) select and purchase F&amp;I products designed for the customer’s vehicle and then (vi) complete the vehicle purchase and financing or lease by signing the transaction documents and scheduling in-store pickup or home delivery, with each step performed entirely online. We implemented Clicklane across all of our legacy stores by the end of the first quarter of 2021. The 2021 acquisitions further extend our footprint across seven western U.S. states including Arizona, California, Idaho, New Mexico, Colorado, Utah, and Washington. We intend to implement Clicklane across these new stores to further solidify the national reach of our Clicklane platform and drive additional revenue.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Although we developed our Clicklane platform together with a third-party vendor, certain technology elements of the platform were developed solely by us and are subject to trade secret protection. In addition, our other omni-channel tools offer our customers the ability to arrange vehicle service appointments, receive service updates, and pay for maintenance and repair services online. We continue to invest in and develop omni-channel initiatives designed to deliver an exceptional customer experience.</w:t>
      </w:r>
    </w:p>
    <w:p>
      <w:pPr>
        <w:pStyle w:val="TextBody"/>
        <w:spacing w:before="180" w:after="18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76" w:before="180" w:after="180"/>
        <w:jc w:val="both"/>
        <w:rPr/>
      </w:pPr>
      <w:r>
        <w:rPr>
          <w:rFonts w:ascii="Times New Roman;sans-serif" w:hAnsi="Times New Roman;sans-serif"/>
          <w:b w:val="false"/>
          <w:i/>
          <w:color w:val="000000"/>
          <w:sz w:val="20"/>
        </w:rPr>
        <w:t>Grow F&amp;I product penetration and expand the TCA Business’s service offerings across the full dealership portfolio.</w:t>
      </w:r>
      <w:r>
        <w:rPr>
          <w:color w:val="000000"/>
        </w:rPr>
        <w:t xml:space="preserv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positioned to leverage the acquisition of the LHM Dealership Business to improve profitability via the ownership of TCA, a highly-scalable provider of a full-suite of F&amp;I products. TCA’s key offerings include vehicle service contracts, prepaid maintenance, protection plans, key and remote replacement, leased vehicle protection and tire and wheel protection. We aim to integrate TCA’s service offerings across our full dealership portfolio to increase our F&amp;I product penetration and profitability.</w:t>
      </w:r>
    </w:p>
    <w:p>
      <w:pPr>
        <w:pStyle w:val="TextBody"/>
        <w:spacing w:lineRule="auto" w:line="276" w:before="0" w:after="180"/>
        <w:jc w:val="both"/>
        <w:rPr/>
      </w:pPr>
      <w:r>
        <w:rPr>
          <w:rFonts w:ascii="Times New Roman;sans-serif" w:hAnsi="Times New Roman;sans-serif"/>
          <w:b w:val="false"/>
          <w:i/>
          <w:color w:val="000000"/>
          <w:sz w:val="20"/>
        </w:rPr>
        <w:t>Attract, retain and invest in top talent to drive growth and optimize operations</w:t>
      </w:r>
      <w:r>
        <w:rPr>
          <w:rFonts w:ascii="Times New Roman;sans-serif" w:hAnsi="Times New Roman;sans-serif"/>
          <w:b/>
          <w:i/>
          <w:color w:val="000000"/>
          <w:sz w:val="20"/>
        </w:rPr>
        <w:t>.</w:t>
      </w:r>
      <w:r>
        <w:rPr>
          <w:color w:val="000000"/>
        </w:rPr>
        <w:t xml:space="preserv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believe the core of our business success lies in our talent pool, so we are focused on attracting, hiring and retaining the best people. We also invest in resources to train and develop our employees. Our executive management team has extensive experience in the auto retail sector, and is able to leverage experience from all positions throughout the Company. In addition, we believe that local management of dealership operations enables our retail network to provide market specific responses to sales, customer service and inventory requirements. The general manager of each of our dealerships is responsible for the operations, personnel and financial performance of that dealership as well as other day-to-day operations.</w:t>
      </w:r>
    </w:p>
    <w:p>
      <w:pPr>
        <w:pStyle w:val="TextBody"/>
        <w:spacing w:lineRule="auto" w:line="276" w:before="0" w:after="180"/>
        <w:rPr/>
      </w:pPr>
      <w:r>
        <w:rPr>
          <w:rFonts w:ascii="Times New Roman;sans-serif" w:hAnsi="Times New Roman;sans-serif"/>
          <w:b w:val="false"/>
          <w:i/>
          <w:color w:val="000000"/>
          <w:sz w:val="20"/>
        </w:rPr>
        <w:t>Leverage scale and cost structure to improve operating efficiencies.</w:t>
      </w:r>
      <w:r>
        <w:rPr>
          <w:color w:val="000000"/>
        </w:rPr>
        <w:t xml:space="preserve">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positioned to leverage our significant scale so that we are able to achieve competitive operating margins by centralizing and streamlining various back-office functions. We are able to improve financial controls and lower servicing costs by maintaining key store-level accounting and administrative activities in our shared service centers, and we leverage our scale to reduce costs related to purchasing certain equipment, supplies, and services through national vendor relationships. Similarly, we are able to leverage our scale to implement these best practices when integrating newly acquired dealerships allowing us to continue to improve our operating efficiencies.</w:t>
      </w:r>
    </w:p>
    <w:p>
      <w:pPr>
        <w:pStyle w:val="TextBody"/>
        <w:spacing w:lineRule="auto" w:line="276" w:before="0" w:after="180"/>
        <w:rPr/>
      </w:pPr>
      <w:r>
        <w:rPr>
          <w:rFonts w:ascii="Times New Roman;sans-serif" w:hAnsi="Times New Roman;sans-serif"/>
          <w:b w:val="false"/>
          <w:i/>
          <w:color w:val="000000"/>
          <w:sz w:val="20"/>
        </w:rPr>
        <w:t>Deploy capital to highest returns and continue to invest in the business.</w:t>
      </w:r>
      <w:r>
        <w:rPr>
          <w:color w:val="000000"/>
        </w:rPr>
        <w:t xml:space="preserve">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capital allocation decisions are made within the context of maintaining sufficient liquidity and a prudent capital structure. We target a 3.0x net leverage ratio, and our primary focus for capital allocation will be to decrease our debt levels; however, we believe our cash position and borrowing capacity, combined with our current and expected future cash generation capability, provides us with financial flexibility to, among other things, reinvest in our business, acquire dealerships and repurchase our stock, when prudent.</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our existing dealership network and seek to make strategic investments that will increase the capacity of our dealerships and improve the customer experience. In addition, we continue to execute on our strategy of selectively acquiring our leased properties where financing rates make it attractive to be an owner and provide us a further means to finance our business.</w:t>
      </w:r>
    </w:p>
    <w:p>
      <w:pPr>
        <w:pStyle w:val="TextBody"/>
        <w:spacing w:lineRule="auto" w:line="276" w:before="0" w:after="180"/>
        <w:rPr/>
      </w:pPr>
      <w:r>
        <w:rPr>
          <w:rFonts w:ascii="Times New Roman;sans-serif" w:hAnsi="Times New Roman;sans-serif"/>
          <w:b w:val="false"/>
          <w:i/>
          <w:color w:val="000000"/>
          <w:sz w:val="20"/>
        </w:rPr>
        <w:t>Evaluate opportunities to refine the dealership portfolio.</w:t>
      </w:r>
      <w:r>
        <w:rPr>
          <w:color w:val="000000"/>
        </w:rPr>
        <w:t xml:space="preserve">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evaluate the financial and operating results of our dealerships, as well as each dealership’s geographical location and, based on various financial and strategic rationales, may make decisions to dispose of dealerships to refine our dealership and real estate portfolio. We also evaluate dealership acquisition opportunities based on market position and geography, brand representation and availability, key personnel and other factors. Our approach to dispositions and acquisitions is highly disciplined with a focus on long-term strategic value to stockholders. </w:t>
      </w:r>
    </w:p>
    <w:p>
      <w:pPr>
        <w:pStyle w:val="TextBody"/>
        <w:spacing w:lineRule="auto" w:line="276"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Execute our five-year strategic plan to target an increase in our annual revenue to $20 billion by 2025.</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continually evaluate additional opportunities to drive revenue growth while maintaining our disciplined approach to capital allocation. In December 2020, we announced our five-year strategic plan, targeting an increase in our revenue to $20 billion by 2025. We intend to execute on this strategic plan by focusing on a variety of growth efforts including, driving same-store revenue growth, acquiring additional revenue through strategic acquisitions and adding incremental revenue through our Clicklane platform. During 2021, we exceeded our five-year plan target for acquisitions with the purchase of $6.6 billion in acquired revenue and made significant progress on our same store and Clicklane targets and will provide an update to our five-year plan in 2022.</w:t>
      </w:r>
    </w:p>
    <w:p>
      <w:pPr>
        <w:pStyle w:val="TextBody"/>
        <w:spacing w:lineRule="auto" w:line="276"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automotive retail and service industry is highly competitive with respect to price, service, location, and selection. For new vehicle sales, our dealerships compete with other franchised dealerships, primarily in their regions. Our new vehicle store competitors also have franchise agreements with the various vehicle manufacturers, and as such, generally obtain new vehicle inventory from vehicle manufacturers on the same terms as us. The franchise agreements grant the franchised dealership a non-exclusive right to sell the manufacturer's (or distributor's) brand of vehicles and offer related parts and service within a specified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market area. State automotive franchise laws restrict competitors from relocating their stores or establishing new stores of a particular vehicle brand within a specified area that is served by our dealership of the same vehicle brand. Recently, certain electric vehicle manufacturers have been permitted to circumvent the state automotive franchise laws of several states in the United States thereby permitting them to sell their new vehicles directly to consumers. We rely on our advertising and merchandising, sales expertise, service reputation, strong local branding, and location of our dealerships to assist in the sale of new vehicles.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used vehicle operations compete with other franchised dealerships, non-franchised automotive dealerships, regional and national vehicle rental companies, and internet-based vehicle brokers for the supply and resale of used vehicles.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with other franchised dealerships to perform warranty and recall-related repairs and with other franchised dealerships and independent service centers for non-warranty repair and maintenance services. We compete with other automobile dealers, service stores, and auto parts retailers in our parts operations. We believe that we have a competitive advantage in parts and service sales due to our ability to use factory-approved replacement parts, our skilled manufacturer trained and certified technicians, our competitive prices, our familiarity with manufacturer brands and models, and the quality of our customer service.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compete with a broad range of financial institutions in arranging financing for our customers vehicle purchases. In addition, many financial institutions are now offering F&amp;I products through the internet, which has increased competition and may reduce our profits on certain of these items. We believe the principal competitive factors in providing financing are convenience, interest rates, and flexibility in contract length.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automobile industry has historically been subject to seasonal variations. Demand for new vehicles is generally highest during the second, third, and fourth quarters of each year and, accordingly, we expect our revenues and operating results to generally be higher during these periods. In addition, we typically experience higher sales of luxury vehicles which have higher average selling prices and gross profit per vehicle retailed in the fourth quarter. Revenues and operating results may be impacted significantly from quarter to quarter by changing economic conditions, vehicle manufacturer incentive programs, or adverse weather events.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Dealer and Framework Agreements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Each of our dealerships operate pursuant to a dealer agreement between the dealership and the manufacturer (or in some cases the distributor) of each brand of new vehicles sold and/or serviced at the dealership. The dealer agreements grant the franchised dealership a non-exclusive right to sell the manufacturer's (or distributor's) brand of vehicles and offer related parts and service within a specified market area. Each dealer agreement also grants our dealerships the right to use the manufacturer's trademarks and service marks in connection with the dealerships operations and they also impose numerous operational requirements related to, among other things,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inventories of new vehicles and manufacturer replacement parts;</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maintenance of minimum net working capital requirements, and in some cases, minimum net worth requirements;</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achievement of certain sales and customer satisfaction targets;</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advertising and marketing practices;</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facilities and signs;</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 xml:space="preserve">products offered to customers; </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dealership management;</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personnel training;</w:t>
      </w:r>
      <w:r>
        <w:rPr>
          <w:color w:val="000000"/>
        </w:rPr>
        <w:t> </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information systems;</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geographic market, including but not limited to requirements to meet sales and service targets within an assigned market area, geographic limitations on where the dealership may locate or advertise, and restrictions on the export of vehicles; and</w:t>
      </w:r>
      <w:r>
        <w:rPr>
          <w:color w:val="000000"/>
        </w:rPr>
        <w: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dealership monthly and annual financial reporting.</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dealer agreements are for various terms, ranging from one year to indefinite. We expect that we will be able to renew expiring agreements in the ordinary course of business. However, typical dealer agreements give the manufacturer the right to terminate or the option of non-renewal of the dealer agreement under certain circumstances, subject to applicable state automotive dealership franchise laws,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insolvency or bankruptcy of the dealership;</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to adequately operate the dealership or to maintain required capitalization levels;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impairment of the reputation or financial condition of the dealership;</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change of ownership or management of the dealership without manufacturer consent;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certain extraordinary corporate transactions such as a merger or sale of all or substantially all of our assets without manufacturer consent;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to complete facility upgrades required by the manufacturer or agreed to by the dealer;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to maintain any license, permits or authorization required to conduct the dealership's business;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conviction of a dealer/manager or owner for certain crimes; or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material breach of other provisions of a dealer agreement.</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terms of any dealer agreement, the states in which we operate have automotive dealership franchise laws which provide that it is unlawful for a manufacturer to terminate or not renew a franchise unless "good cause" exists.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to requirements under dealer agreements, we are subject to provisions contained in supplemental agreements, framework agreements, dealer addenda and manufacturers' policies, collectively referred to as "framework agreements." Framework agreements impose requirements on us in addition to those described above. Such agreements also define other standards and limitations,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company-wide performance criteria;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capitalization requirements;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limitations on changes in our ownership or management;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limitations on the number of a particular manufacturer's franchises owned by us;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restrictions or prohibitions on our ability to pledge the stock of certain of our subsidiaries;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conditions for consent to proposed acquisitions, including sales and customer satisfaction criteria, as well as limitations on the total local, regional, and national market share percentage that would be represented by a particular manufacturer's franchises owned by us after giving effect to a proposed acquisition.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Some dealer agreements and framework agreements grant the manufacturer the right to terminate or not renew our dealer and framework agreements, or to compel us to divest our dealerships, for a number of reasons, including default under the agreement, any unapproved change of control (specific changes vary from manufacturer to manufacturer, but which include material changes in the composition of our Board of Directors during a specified time period, the acquisition of 5% or more of our voting stock by another vehicle manufacturer or distributor, the acquisition of 20% or more of our voting stock by third parties, and the acquisition of an ownership interest sufficient to direct or influence management and policies), or certain other unapproved events (including certain extraordinary corporate transactions such as a merger or sale of all or substantially all of our assets). Triggers of the clauses are often based upon actions by our stockholders and are generally outside of our control. Some of our dealer agreements and framework agreements also give the manufacturer a right of first refusal if we propose to sell any dealership representing the manufacturer's brands to a third-party. These agreements may also attempt to limit the protections available under applicable state laws and require us to resolve disputes through binding arbitration. For additional information, please refer to the risk factor captioned "We are dependent upon our relationships with the manufacturers of vehicles that we sell and are subject to restrictions imposed by, and significant influence from, these vehicle manufacturers. Any of these restrictions or any changes or deterioration of these relationships could have a material adverse effect on our business, financial condition, results of operations, and cash flows."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framework agreements with certain manufacturers contain provisions that, among other things, attempt to limit the protections available to dealers under these laws. If these laws are repealed in the states in which we operate, manufacturers may be able to terminate our franchises without providing us with advance notice, an opportunity to cure or a showing of good cause. Without the protection of these laws, it may also be more difficult for us to renew our dealer agreements upon expiration.</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laws that provide manufacturers the ability to terminate our dealer agreements could materially adversely affect our business, financial condition and results of operations. Furthermore, if a manufacturer seeks protection from creditors in bankruptcy, courts have held that the federal bankruptcy laws may supersede these laws, resulting in either the termination, non-renewal or rejection of franchises by such manufacturers, which, in turn, could materially adversely affect our business, financial condition, and results of operations. For additional information, please refer to the risk factor captioned "If state laws that protect automotive retailers are repealed, weakened, or superseded by our framework agreements with manufacturers, our dealerships will be more susceptible to termination, non-renewal or renegotiation of their dealer agreements which could have a materially adverse effect on our business, financial condition, and results of operations."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Regulations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operate in a highly regulated industry. In every state in which we operate, we must obtain one or more licenses issued by state regulatory authorities in order to operate our business. In addition, we are subject to numerous complex federal, state, and local laws regulating the conduct of our business, including those relating to our sales, operations, finance and insurance, marketing, and employment practices. These laws and regulations include state franchise laws and regulations, product standards and recalls, consumer protection laws, privacy and data security laws, anti-money laundering laws, and other extensive laws and regulations applicable to new and used motor vehicle dealers. These laws also include federal and state wage and hour, anti-discrimination, and other laws governing employment practices.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Industry Regulations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has regulatory authority over automotive dealers and has implemented enforcement initiatives relating to the marketing practices of automotive dealers. Our operations are also subject to the National Traffic and Motor Vehicle Safety Act, Federal Motor Vehicle Safety Standards and other product standards promulgated by the United States Department of Transportation, and the rules and regulations of various state motor vehicle regulatory agencies.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with customers are subject to federal truth-in-lending, consumer leasing, and equal credit opportunity laws and regulations, as well as state and local motor vehicle finance laws, leasing laws, installment finance laws, usury laws, and other installment state and leasing laws and regulations. Some U.S. states regulate fees and charges that may be collected as a result of vehicle sales and service. Claims arising out of actual or alleged violations of law may be asserted against us or our stores by individuals or governmental entities and may expose us to significant damages, fines or other penalties, including revocation or suspension of our license to conduct store operations. Our financing activities, as well as our sale of finance and insurance products, may also be impacted indirectly by laws and regulations that govern automotive finance companies and other financial institutions, including regulations adopted by the Consumer Financial Protection Bureau (the "CFPB").</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please refer to the risk factor captioned "Our operations are subject to extensive governmental laws and regulations. If we are found to be in purported violation of or subject to liabilities under any of these laws or regulations, or if new laws or regulations are enacted that adversely affect our operations, our business, our reputation, financial condition, results of operations, and prospects could suffer."</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Environmental, Health and Safety Laws and Regulations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range of environmental laws and regulations, including those governing discharges into water, air emissions, storage of petroleum substances and chemicals, handling and disposal of solid and hazardous wastes, remediation of various types of contamination, and otherwise relating to health, safety and protection of the environment. For example and without creating an exhaustive list: as with automobile dealerships generally, and service and parts and collision repair center operations in particular, our business involves the generation, use, handling, and disposal of hazardous or toxic substances and wastes and the use of above ground and underground storage tanks (ASTs and USTs). Operations involving the management of wastes and the use of ASTs and USTs are subject to requirements of the Resource Conservation and Recovery Act, analogous state statutes, and their implementing regulations. Pursuant to these laws, federal and state environmental agencies have established approved methods for handling, storing, treating, transporting, and disposing of regulated substances and wastes with which we must comply. We also are subject to laws and regulations governing responses to any releases of contamination at or from our facilities or at facilities that receive our hazardous wastes for treatment or disposal. The Comprehensive Environmental Response, Compensation and Liability Act ("CERCLA") and similar state statutes, can impose strict and joint and several liability for cleanup costs on those that are considered to have contributed to the release of a "hazardous substance." We also are subject to the Clean Water Act, analogous state statutes, and their implementing regulations which, among other things, prohibit discharges of pollutants into regulated waters without permits, require containment of potential discharges of oil or hazardous substances, and require preparation of spill contingency plans.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global pandemic, various federal agencies issued mandates and recommendations intended to minimize the spread of infectious disease; similar mandates and recommendations have been issued by several state and local governments where we conduct business. Currently, we are not aware of any non-compliance with these or any other environmental requirements applicable to our operations, nor are we aware of any material remedial liabilities to which we are subject.</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have incurred, and will continue to incur, costs and capital expenditures to comply with these laws and regulations. We believe that our operations currently are being conducted in substantial compliance with all applicable regulations. From time to time, we may experience incidents and encounter conditions that are not in compliance with regulations. We may occasionally receive notices from governmental agencies regarding potential violations of these laws or regulations. In such cases, we will work with the agencies to address any issues and to implement appropriate corrective action when necessary. However, none of our dealerships have been subject to any material liabilities in the past, nor do we know of any fact or condition that would result in any material liabilities being incurred in the future.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Mission and Vision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At Asbury, our North Star and our mission is to be the most guest-centric automotive retailer. Our success depends on our employees and their commitment to delivering a consistent and exceptional guest experience. Our employees work at locations in Colorado, Florida, Georgia, Indiana, Missouri, North Carolina, South Carolina, Texas, California, Arizona, New Mexico, Idaho, Utah, Washington and Virginia. We believe that our employees help to set us apart from our competitors, and, therefore, we understand they are our greatest asset. As a result, a critical part of our business strategy is investing in supporting and developing our employees so that they are trained and incentivized to provide best-in-class service to our guests.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employed approximately 14,200 full-time and part-time employees, none of whom were covered by collective bargaining agreements. We believe we have good relations with our employees.</w:t>
      </w:r>
    </w:p>
    <w:p>
      <w:pPr>
        <w:pStyle w:val="TextBody"/>
        <w:spacing w:lineRule="auto" w:line="256"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strive to recruit new employees based on their diversity of thought, background and experience as well as diversity of personal characteristics to best reflect our guests and communities we serve.</w:t>
      </w:r>
    </w:p>
    <w:p>
      <w:pPr>
        <w:pStyle w:val="TextBody"/>
        <w:spacing w:lineRule="auto" w:line="256"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With the help and guidance of an outside consulting firm, we developed a diversity, equity and inclusion ("DE&amp;I") initiative and launched a company-wide effort in November 2020 to identify our strengths and areas of opportunity related to our DE&amp;I initiative. The goal of our DE&amp;I initiative is to create more welcoming and inclusive workplaces throughout our dealerships and offices to enable us to attract, retain and develop the careers of diverse, highly-talented team members.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Since launching our DE&amp;I Initiative, we have surveyed our employees about their dealership and support center cultures. Our general managers and site leaders have taken those survey findings and built action plans with their teams to enhance DE&amp;I at their stores and across Asbury. With the themes from the surveys and action plans, our DE&amp;I Collaborative teams provided recommendations to our executive team on programs and processes that Asbury can implement to improve DE&amp;I at our company. One of these suggestions we will implement is the designation of a DE&amp;I Officer who will be dedicated to the strategy and development of our programs. We will continue to learn and develop - working towards building a workplace where every Asbury team member feels included and welcomed.</w:t>
      </w:r>
    </w:p>
    <w:p>
      <w:pPr>
        <w:pStyle w:val="TextBody"/>
        <w:spacing w:lineRule="auto" w:line="256"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Community Outreach</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Through our Asbury Cares program, we support selected community partner organizations to focus on reducing social inequality. In 2021, to ensure widespread support for our outreach program, we awarded all of our employees with an additional 40 hours of paid time off per year that can only be used to volunteer with our local community partners.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 big portion of our Asbury Cares Community Initiative revolves around education and making sure that young people in underserved communities have access to a quality education. We formed a partnership with HBCU Change, an app-based organization that lets users round up their spending and donate to historical black colleges and universities ("HBCU"). We learned that many HBCUs historically lag in funding and resources compared to other public or private universities and many have closed their doors in recent years. Many of our Asbury team members are proud HBCU alumni and these institutions provide a unique community of support and understanding for not only African-American students, but students of all races and backgrounds.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partnership with HBCU Change, we launched a campaign to help raise funds for HBCUs across the country and in the local communities where we operate. All the point-of-sale credit card machines in all our locations show a prompt asking our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guests if they would like to round up their change or donate $1, $3, $5, or a custom amount to HBCUs in their communities. At the end of each quarter, the funds raised are donated to the HBCUs across the country.</w:t>
      </w:r>
    </w:p>
    <w:p>
      <w:pPr>
        <w:pStyle w:val="TextBody"/>
        <w:spacing w:lineRule="auto" w:line="256"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Recruitment and Talent Development</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When recruiting for open positions, we search for people of varying backgrounds, perspectives, and experiences in order to support a diverse and inclusive culture. We also partner with local colleges and trade schools to develop apprenticeship and internship programs. This allows us to help provide valuable training to entry-level candidates while also growing our pipeline.</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goal is to promote employees from within to career growth opportunities whenever possible. We invest resources to train and develop our employees to reach their career goals. In 2021, a group of high performing store employees collaborated to build a training curriculum for all store positions to be launched in 2022. In addition, we offer our employees access to an online career path tool, which helps them plan their desired career path and see the required performance goals and milestones to be considered for a promotion. Our fixed operations organization encourages technicians to obtain and maintain certification status with our vehicle manufacturers, and in most cases, our dealership pays for the training. Our employees also attend vehicle manufacturer-sponsored and industry training events.</w:t>
      </w:r>
    </w:p>
    <w:p>
      <w:pPr>
        <w:pStyle w:val="TextBody"/>
        <w:spacing w:lineRule="auto" w:line="256"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We pride ourselves on rewarding and developing talented and tenured employees.</w:t>
      </w:r>
    </w:p>
    <w:p>
      <w:pPr>
        <w:pStyle w:val="TextBody"/>
        <w:spacing w:lineRule="auto" w:line="256"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spacing w:lineRule="auto" w:line="256"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We offer competitive compensation and benefits to attract and retain the best people, including the following benefits for our full-time employees:</w:t>
      </w:r>
    </w:p>
    <w:p>
      <w:pPr>
        <w:pStyle w:val="TextBody"/>
        <w:spacing w:lineRule="auto" w:line="256" w:before="0" w:after="180"/>
        <w:rPr>
          <w:rFonts w:ascii="Times New Roman;sans-serif" w:hAnsi="Times New Roman;sans-serif"/>
          <w:b w:val="false"/>
          <w:color w:val="000000"/>
          <w:sz w:val="20"/>
        </w:rPr>
      </w:pPr>
      <w:r>
        <w:rPr>
          <w:rFonts w:ascii="Times New Roman;sans-serif" w:hAnsi="Times New Roman;sans-serif"/>
          <w:b w:val="false"/>
          <w:color w:val="000000"/>
          <w:sz w:val="20"/>
        </w:rPr>
        <w:t>Health, dental, and vision benefits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Choice of multiple health, dental and vision plans;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Discount for biometric screening and completion of health survey; and</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Employee assistance program.</w:t>
      </w:r>
    </w:p>
    <w:p>
      <w:pPr>
        <w:pStyle w:val="TextBody"/>
        <w:spacing w:lineRule="auto" w:line="256" w:before="180" w:after="180"/>
        <w:rPr>
          <w:rFonts w:ascii="Times New Roman;sans-serif" w:hAnsi="Times New Roman;sans-serif"/>
          <w:b w:val="false"/>
          <w:color w:val="000000"/>
          <w:sz w:val="20"/>
        </w:rPr>
      </w:pPr>
      <w:r>
        <w:rPr>
          <w:rFonts w:ascii="Times New Roman;sans-serif" w:hAnsi="Times New Roman;sans-serif"/>
          <w:b w:val="false"/>
          <w:color w:val="000000"/>
          <w:sz w:val="20"/>
        </w:rPr>
        <w:t>Saving and retirement</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Holiday match; and</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401(k) match.</w:t>
      </w:r>
    </w:p>
    <w:p>
      <w:pPr>
        <w:pStyle w:val="TextBody"/>
        <w:spacing w:lineRule="auto" w:line="256" w:before="180" w:after="180"/>
        <w:rPr>
          <w:rFonts w:ascii="Times New Roman;sans-serif" w:hAnsi="Times New Roman;sans-serif"/>
          <w:b w:val="false"/>
          <w:color w:val="000000"/>
          <w:sz w:val="20"/>
        </w:rPr>
      </w:pPr>
      <w:r>
        <w:rPr>
          <w:rFonts w:ascii="Times New Roman;sans-serif" w:hAnsi="Times New Roman;sans-serif"/>
          <w:b w:val="false"/>
          <w:color w:val="000000"/>
          <w:sz w:val="20"/>
        </w:rPr>
        <w:t>Paid time off</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Up to 4 weeks paid time off;</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Paid pregnancy leave; and</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Paid parental leave.</w:t>
      </w:r>
    </w:p>
    <w:p>
      <w:pPr>
        <w:pStyle w:val="TextBody"/>
        <w:spacing w:lineRule="auto" w:line="256" w:before="180" w:after="180"/>
        <w:rPr>
          <w:rFonts w:ascii="Times New Roman;sans-serif" w:hAnsi="Times New Roman;sans-serif"/>
          <w:b w:val="false"/>
          <w:color w:val="000000"/>
          <w:sz w:val="20"/>
        </w:rPr>
      </w:pPr>
      <w:r>
        <w:rPr>
          <w:rFonts w:ascii="Times New Roman;sans-serif" w:hAnsi="Times New Roman;sans-serif"/>
          <w:b w:val="false"/>
          <w:color w:val="000000"/>
          <w:sz w:val="20"/>
        </w:rPr>
        <w:t>Disability and accident insurance</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Short term disability and long term disability insurance;</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Accident insurance, hospital indemnity, employee critical illness insurance;</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Employer paid life insurance; and</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Supplemental life insurance.</w:t>
      </w:r>
    </w:p>
    <w:p>
      <w:pPr>
        <w:pStyle w:val="TextBody"/>
        <w:spacing w:lineRule="auto" w:line="256" w:before="180" w:after="180"/>
        <w:rPr>
          <w:rFonts w:ascii="Times New Roman;sans-serif" w:hAnsi="Times New Roman;sans-serif"/>
          <w:b w:val="false"/>
          <w:color w:val="000000"/>
          <w:sz w:val="20"/>
        </w:rPr>
      </w:pPr>
      <w:r>
        <w:rPr>
          <w:rFonts w:ascii="Times New Roman;sans-serif" w:hAnsi="Times New Roman;sans-serif"/>
          <w:b w:val="false"/>
          <w:color w:val="000000"/>
          <w:sz w:val="20"/>
        </w:rPr>
        <w:t>Scholarships for education</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Annual scholarship program.</w:t>
      </w:r>
    </w:p>
    <w:p>
      <w:pPr>
        <w:pStyle w:val="TextBody"/>
        <w:spacing w:lineRule="auto" w:line="256" w:before="180" w:after="180"/>
        <w:rPr>
          <w:rFonts w:ascii="Times New Roman;sans-serif" w:hAnsi="Times New Roman;sans-serif"/>
          <w:b w:val="false"/>
          <w:color w:val="000000"/>
          <w:sz w:val="20"/>
        </w:rPr>
      </w:pPr>
      <w:r>
        <w:rPr>
          <w:rFonts w:ascii="Times New Roman;sans-serif" w:hAnsi="Times New Roman;sans-serif"/>
          <w:b w:val="false"/>
          <w:color w:val="000000"/>
          <w:sz w:val="20"/>
        </w:rPr>
        <w:t>Broad employee equity ownership</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We also lead the industry by offering equity awards to frontline employees because we want them to be owners of our Company and committed to our long-term success.</w:t>
      </w:r>
    </w:p>
    <w:p>
      <w:pPr>
        <w:pStyle w:val="TextBody"/>
        <w:spacing w:before="0" w:after="0"/>
        <w:rPr/>
      </w:pPr>
      <w:r>
        <w:rPr/>
      </w:r>
    </w:p>
    <w:p>
      <w:pPr>
        <w:pStyle w:val="TextBody"/>
        <w:spacing w:lineRule="auto" w:line="256"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Health and Safety; Proactive Covid-19 Actions</w:t>
      </w:r>
    </w:p>
    <w:p>
      <w:pPr>
        <w:pStyle w:val="TextBody"/>
        <w:spacing w:lineRule="auto" w:line="256"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The health and safety of our employees and guests is of the utmost importance. In 2020 and continuing into 2021, Asbury implemented the following actions: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Mandatory mask-wearing for employees, guests and vendors in all locations;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Personal protective equipment such as steering wheel covers and seat covers for guest cars in for service;</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Additional hand sanitizing stations at our dealerships and offices;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Remote work arrangements offered where appropriate;</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Guaranteed pay to commissioned employees; and</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Free health benefits for furloughed employees.</w:t>
      </w:r>
    </w:p>
    <w:p>
      <w:pPr>
        <w:pStyle w:val="TextBody"/>
        <w:spacing w:before="0" w:after="0"/>
        <w:rPr/>
      </w:pPr>
      <w:r>
        <w:rPr/>
      </w:r>
    </w:p>
    <w:p>
      <w:pPr>
        <w:pStyle w:val="TextBody"/>
        <w:spacing w:lineRule="auto" w:line="276" w:before="0" w:after="180"/>
        <w:rPr>
          <w:rFonts w:ascii="Times New Roman;sans-serif" w:hAnsi="Times New Roman;sans-serif"/>
          <w:b/>
          <w:color w:val="000000"/>
          <w:sz w:val="20"/>
        </w:rPr>
      </w:pPr>
      <w:r>
        <w:rPr>
          <w:rFonts w:ascii="Times New Roman;sans-serif" w:hAnsi="Times New Roman;sans-serif"/>
          <w:b/>
          <w:color w:val="000000"/>
          <w:sz w:val="20"/>
        </w:rPr>
        <w:t>Self-Insurance Programs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Due to the inherent risk in the automotive retail industry, our operations expose us to a variety of liabilities. These risks generally require significant levels of insurance covering liabilities such as claims from employees, customers, or other third parties, for personal injury and property-related losses occurring in the course of our operations. We may be subject to fines and civil and criminal penalties in connection with alleged violations of federal and state laws or regulatory environments. Further, the automobile retail industry is subject to substantial risk of real and personal property loss, due to the significant concentration of property values located at the various dealership locations.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self-insurance programs, including property and casualty, workers’ compensation, and medical, the Company retains various levels of aggregate loss limits and per-claim deductibles. In addition, the Company maintains separate insurance policies to address potential cyber and directors and officers exposures. We are self-insured for certain employee medical claims and maintain stop-loss insurance for individual claims.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Provisions for retained losses and deductibles are made by charges to expense based upon periodic evaluations of the estimated ultimate liabilities on reported and unreported claims. The insurance companies that underwrite our insurance require we secure certain of our obligations for deductible reimbursements with collateral. Our collateral requirements are set by the insurance companies and, to date, have been satisfied by posting surety bonds, letters of credit, and/or cash deposits. Our collateral requirements may change from time-to-time based on, among other things, our claims experience.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120"/>
        <w:ind w:left="0" w:right="0" w:hanging="144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hanging="14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contained, referred to or incorporated by reference into this report, you should consider carefully the following factors when evaluating our business and before making an investment decision. Our business, operations, ability to implement our strategy, reputation, results of operations, financial condition, cash flows, and prospects may be materially adversely affected by the risks described below. In addition, other risks or uncertainties not presently known to us or that we currently do not deem material could arise, any of which could also materially adversely affect us.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Operating Risks</w:t>
      </w:r>
    </w:p>
    <w:p>
      <w:pPr>
        <w:pStyle w:val="TextBody"/>
        <w:spacing w:lineRule="auto" w:line="288" w:before="18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Disruptions in the production and delivery of new vehicles and parts from manufacturers due to the lack of availability of parts and key components from suppliers, such as semiconductor chips and other component parts and supplies, could have a material adverse effect on our business, results of operations, financial condition and cash flows.</w:t>
      </w:r>
    </w:p>
    <w:p>
      <w:pPr>
        <w:pStyle w:val="TextBody"/>
        <w:spacing w:lineRule="auto" w:line="288" w:before="0" w:after="180"/>
        <w:ind w:left="0" w:right="0" w:firstLine="315"/>
        <w:rPr/>
      </w:pPr>
      <w:r>
        <w:rPr>
          <w:rFonts w:ascii="Times New Roman;sans-serif" w:hAnsi="Times New Roman;sans-serif"/>
          <w:b w:val="false"/>
          <w:color w:val="000000"/>
          <w:sz w:val="20"/>
          <w:highlight w:val="white"/>
        </w:rPr>
        <w:t>Historically, we have generated a significant portion of our revenue through new vehicle sales, and new vehicle sales also tend to lead to sales of higher-margin products and services, such as F&amp;I products and vehicle-related parts and service.</w:t>
      </w:r>
      <w:r>
        <w:rPr>
          <w:color w:val="000000"/>
        </w:rPr>
        <w:t xml:space="preserve"> </w:t>
      </w:r>
      <w:r>
        <w:rPr>
          <w:rFonts w:ascii="Times New Roman;sans-serif" w:hAnsi="Times New Roman;sans-serif"/>
          <w:b w:val="false"/>
          <w:color w:val="000000"/>
          <w:sz w:val="20"/>
          <w:highlight w:val="white"/>
        </w:rPr>
        <w:t>In addition, new vehicle buyers often trade in an owned vehicle, or turn in a leased vehicle, to us at the time of purchase, and these traded vehicles have historically been an important source for our used vehicle inventory. We rely exclusively on the various vehicle manufacturers for our new vehicle inventory and maintenance and replacement parts inventory. As a result, our profitability is dependent to a great extent on various aspects of vehicle manufacturers’ operations and timely delivery of new vehicles and parts.</w:t>
      </w:r>
    </w:p>
    <w:p>
      <w:pPr>
        <w:pStyle w:val="TextBody"/>
        <w:spacing w:lineRule="auto" w:line="288" w:before="180" w:after="180"/>
        <w:ind w:left="0" w:right="0" w:firstLine="315"/>
        <w:rPr/>
      </w:pPr>
      <w:r>
        <w:rPr>
          <w:rFonts w:ascii="Times New Roman;sans-serif" w:hAnsi="Times New Roman;sans-serif"/>
          <w:b w:val="false"/>
          <w:color w:val="000000"/>
          <w:sz w:val="20"/>
          <w:highlight w:val="white"/>
        </w:rPr>
        <w:t>Certain vehicle manufacturers have suspended or slowed production of new vehicles, parts and other supplies due to significant shortages of semiconductors, parts and other key components. These production delays have negatively impacted our new vehicle and parts inventory levels, with parts shortages in turn adversely impacting our service and collision repair business. The shortage of new vehicle inventory has increased market demand for, and pricing of, used vehicles raising both revenue and gross profit per used vehicle retailed, but also has increased our costs of acquiring used vehicle inventory.</w:t>
      </w:r>
      <w:r>
        <w:rPr>
          <w:color w:val="000000"/>
        </w:rPr>
        <w:t xml:space="preserve"> </w:t>
      </w:r>
      <w:r>
        <w:rPr>
          <w:rFonts w:ascii="Times New Roman;sans-serif" w:hAnsi="Times New Roman;sans-serif"/>
          <w:b w:val="false"/>
          <w:color w:val="000000"/>
          <w:sz w:val="20"/>
          <w:highlight w:val="white"/>
        </w:rPr>
        <w:t>Any prolonged severe shortages or unavailability of new vehicle inventory could have a material adverse effect on our business, results of operations, financial condition, and cash flows.</w:t>
      </w:r>
      <w:r>
        <w:rPr>
          <w:color w:val="000000"/>
        </w:rPr>
        <w:t xml:space="preserve"> </w:t>
      </w:r>
      <w:r>
        <w:rPr>
          <w:rFonts w:ascii="Times New Roman;sans-serif" w:hAnsi="Times New Roman;sans-serif"/>
          <w:b w:val="false"/>
          <w:color w:val="000000"/>
          <w:sz w:val="20"/>
          <w:highlight w:val="white"/>
        </w:rPr>
        <w:t>In addition, the abatement of the global supply chain issues relating to semiconductor chips, parts and other key components may lead to an increase in the supply of new vehicles, which could have a material adverse effect on the levels of profitability on both new and used vehicles. We cannot predict with any certainty how long the automotive retail industry will continue to be subject to these shortages or when normalized production will resume at these manufacturers.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The novel coronavirus disease (COVID-19) global pandemic had, and may continue to have, a material impact on our business, financial condition and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COVID-19 global pandemic has negatively impacted the global economy, disrupted consumer spending and global supply chains, and created significant volatility and disruption of financial markets. We expect the COVID-19 global pandemic may continue to have an adverse impact on our business, our results of operations, financial condition and liquidity. The extent of the impact of the COVID-19 global pandemic on our business, such as our ability to execute our near-term and long-term business strategies and initiatives in the expected time frame, will depend on uncertain and unpredictable future developments, including the duration and scope of the pandemic.</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Any significant reduction in consumer visits to, or spending at, our dealerships caused by COVID-19, would result in a loss of sales and profits and other material adverse effects. Voluntary or mandatory self-quarantine or "shelter-in-place" measures may reduce customer visits to our dealerships. We also expect consumer fears about contracting the virus to continue, which may further reduce traffic to our dealerships. Consumer spending generally may also be negatively impacted by general macroeconomic conditions and consumer confidence, including the impacts of any recession, resulting from the COVID-19 global pandemic. For example, the COVID-19 pandemic has at times resulted in employee furloughs and increased unemployment across the United States, thereby reducing consumer demand for our products and services, as well as the number of consumers who qualify for an extension of credit for a vehicle purchase or a lease, either on favorable terms or at all. All of these factors, if continuing, may negatively impact sales and profitability.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is, to a great extent, dependent on various aspects of vehicle manufacturers' operations. As a result of significant shortages of semiconductors, parts and key components, certain vehicle manufacturers have ceased or slowed production of new vehicles. We cannot predict with any certainty how long these production slowdowns in the automotive retail industry will persist and when normalized production will resume at these manufacturers. This disruption in our supply network has negatively impacted, and will continue to impact, our ability to maintain a desirable mix of popular new vehicles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and parts that consumers demand at the time and in the volumes desired, all of which would adversely impact our revenues. While the supply disruption has reduced our new vehicle inventory supply, it has positively impacted our gross profit per vehicle retailed. As new vehicle inventories return to historic levels we would expect our new vehicle gross profit to return to pre-COVID levels.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the impact of the COVID-19 global pandemic on macroeconomic conditions impacted and may further impact the proper functioning of financial and capital markets, foreign currency exchange rates, commodity prices and interest rates. Even after the COVID-19 global pandemic has subsided, we may continue to experience adverse impacts to our business as a result of an economic recession or depression that has occurred or may occur in the future. The continued disruption of global financial markets as a result of the COVID-19 global pandemic could have a negative impact on our ability to access capital in the future.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information regarding the duration and severity of the COVID-19 global pandemic continues to evolve, the extent of its impact on our business is highly uncertain and difficult to predict. At this time, we cannot reasonably estimate the duration and severity of the COVID-19 global pandemic, or the overall impact it may have on our business. Even after the COVID-19 global pandemic has subsided, we may continue to experience adverse impacts to our business as a result of increased unemployment and any economic recession or depression that has occurred or may occur in the future. Any of these events could amplify the other risks and uncertainties described below and could materially adversely affect our business, financial condition, results of operations and/or stock price.</w:t>
      </w:r>
    </w:p>
    <w:p>
      <w:pPr>
        <w:pStyle w:val="TextBody"/>
        <w:spacing w:lineRule="auto" w:line="288" w:before="180" w:after="180"/>
        <w:ind w:left="0" w:right="0" w:firstLine="315"/>
        <w:rPr/>
      </w:pPr>
      <w:r>
        <w:rPr>
          <w:rFonts w:ascii="Times New Roman;sans-serif" w:hAnsi="Times New Roman;sans-serif"/>
          <w:b w:val="false"/>
          <w:color w:val="000000"/>
          <w:sz w:val="20"/>
        </w:rPr>
        <w:t>For more information on the impact of the COVID-19 global pandemic on our business, financial condition and results of operations, see "</w:t>
      </w:r>
      <w:r>
        <w:rPr>
          <w:rFonts w:ascii="Times New Roman;sans-serif" w:hAnsi="Times New Roman;sans-serif"/>
          <w:b w:val="false"/>
          <w:color w:val="212529"/>
          <w:sz w:val="20"/>
        </w:rPr>
        <w:t>Impact of COVID-19 on our Business" contained in this report.</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Property loss or other uninsured liabilities could have a material adverse impact on our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subject to substantial risk of property loss due to the significant concentration of property at dealership locations, including vehicles and parts. We have historically experienced business interruptions from time to time at several of our dealerships, due to actual or threatened adverse weather conditions or natural disasters, such as hurricanes, earthquakes, tornadoes, floods, hail storms, fires or other extraordinary events. Concentration of property at dealership locations also makes the automotive retail business particularly vulnerable to theft, fraud and misappropriation of assets. Illegal or unethical conduct by employees, customers, vendors, and unaffiliated third parties can result in loss of assets, disrupt operations, impact brand reputation, jeopardize manufacturer and other relationships, result in the imposition of fines or penalties, and subject us to governmental investigations or lawsuits. While we maintain insurance to protect against a number of losses, this insurance coverage often contains significant deductibles. In addition, we "self-insure" a portion of our potential liabilities, meaning we do not carry insurance from a third-party for such liabilities, and are wholly responsible for any related losses including for certain potential liabilities that some states prohibit the maintenance of insurance to protect against. In certain instances, our insurance may not fully cover a loss depending on the applicable deductible or the magnitude and nature of the claim. Additionally, changes in the cost or availability of insurance in the future could substantially increase our costs to maintain our current level of coverage or could cause us to reduce our insurance coverage and increase our self-insured risks. To the extent we incur significant additional costs for insurance, suffer losses that are not covered by in-force insurance or suffer losses for which we are self-insured, our financial condition, results of operations and cash flows could be materially adversely impacted.</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If we are unable to acquire and successfully integrate additional dealerships into our business, our revenue and earnings growth may be adversely affected.</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believe that the automotive retailing industry is a mature industry whose sales are significantly impacted by the prevailing economic climate, both nationally and in local markets. Accordingly, we believe that our future growth depends in part on our ability to manage expansion, control costs in our operations and acquire and effectively integrate acquired dealerships into our organization. When seeking to acquire other dealerships, we often compete with several other national, regional and local dealership groups, and other strategic and financial buyers, some of which may have greater financial resources than us. Competition for attractive acquisition targets may result in fewer acquisition opportunities for us and we may have to forgo acquisition opportunities to the extent we cannot negotiate such acquisitions on acceptable terms.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also face additional risks commonly encountered with growth through acquisitions. These risks include, but are not limited to: (i) failing to obtain manufacturers’ consents to acquisitions of additional franchises; (ii) incurring significant transaction-related costs for both completed and failed acquisitions; (iii) incurring significantly higher capital expenditures and operating expenses; (iv) failing to integrate the operations and personnel of the acquired dealerships and impairing relationships with employees; (v) incorrectly valuing entities to be acquired or incurring undisclosed liabilities at acquired dealerships; (vi) disrupting our ongoing business and diverting our management resources to newly acquired dealerships; (vii) failing to achieve expected performance levels; and (viii) impairing relationships with manufacturers and customers as a result of changes in management.</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may not adequately anticipate all the demands that our growth will impose on our personnel, procedures and structures, including our financial and reporting control systems, data processing systems, and management structure. Moreover, our failure to retain qualified management personnel at any acquired dealership may increase the risks associated with integrating the acquired dealership. If we cannot adequately anticipate and respond to these demands, we may fail to realize acquisition synergies and our resources will be focused on incorporating new operations into our structure rather than on areas that may be more profitable.</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We are a holding company and as a result are dependent on our operating subsidiaries to generate sufficient cash and distribute cash to us to service our indebtedness and fund our ongoing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ability to make payments on our indebtedness and fund our ongoing operations depends on our operating subsidiaries' ability to generate cash in the future and distribute that cash to us. It is possible that our subsidiaries may not generate cash from operations in an amount sufficient to enable us to service our indebtedness. In addition, many of our subsidiaries are required to comply with the provisions of franchise agreements, dealer agreements, other agreements with manufacturers, mortgages, and credit facility providers. Many of these agreements contain minimum working capital or net worth requirements, and are subject to change at least annually. Although the requirements contained in these agreements did not restrict our subsidiaries from distributing cash to us as of December 31, 2021, unexpected changes to our financial metrics or to the terms of our franchise agreements, dealer agreements, or other agreements with manufacturers could require us to alter the manner in which we distribute or use cash. If our operating subsidiaries are unable to generate and distribute sufficient cash to us to service our indebtedness and fund our ongoing operations, our financial condition may be materially adversely affected.</w:t>
      </w:r>
    </w:p>
    <w:p>
      <w:pPr>
        <w:pStyle w:val="TextBody"/>
        <w:spacing w:lineRule="auto" w:line="288" w:before="180" w:after="180"/>
        <w:rPr/>
      </w:pPr>
      <w:r>
        <w:rPr>
          <w:rFonts w:ascii="Times New Roman;sans-serif" w:hAnsi="Times New Roman;sans-serif"/>
          <w:b/>
          <w:i/>
          <w:color w:val="000000"/>
          <w:sz w:val="20"/>
        </w:rPr>
        <w:t xml:space="preserve">Our inability to execute a substantial portion of our strategic plan could </w:t>
      </w:r>
      <w:r>
        <w:rPr>
          <w:rFonts w:ascii="Times New Roman;sans-serif" w:hAnsi="Times New Roman;sans-serif"/>
          <w:b/>
          <w:i/>
          <w:color w:val="212529"/>
          <w:sz w:val="20"/>
        </w:rPr>
        <w:t>have an adverse effect on our business, results of operations, financial condition and cash flows</w:t>
      </w:r>
      <w:r>
        <w:rPr>
          <w:rFonts w:ascii="Times New Roman;sans-serif" w:hAnsi="Times New Roman;sans-serif"/>
          <w:b/>
          <w:i/>
          <w:color w:val="000000"/>
          <w:sz w:val="20"/>
        </w:rPr>
        <w:t>.</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inability to execute a substantial portion of our business strategy, including our five-year strategic plan, could adversely affect our business, results of operations, financial condition and cash flows. We seek to execute on our strategic plan using a variety of growth efforts including, driving same-store revenue growth, acquiring additional revenue through strategic acquisitions and adding incremental revenue through our Clicklane platform. Many of the factors that impact our ability to execute our strategic plan, such as the advancement of certain technologies, general economic conditions and legal and regulatory obstacles are beyond our control.</w:t>
      </w:r>
    </w:p>
    <w:p>
      <w:pPr>
        <w:pStyle w:val="TextBody"/>
        <w:spacing w:lineRule="auto" w:line="288" w:before="180" w:after="180"/>
        <w:ind w:left="0" w:right="0" w:firstLine="315"/>
        <w:rPr/>
      </w:pPr>
      <w:r>
        <w:rPr>
          <w:rFonts w:ascii="Times New Roman;sans-serif" w:hAnsi="Times New Roman;sans-serif"/>
          <w:b w:val="false"/>
          <w:color w:val="000000"/>
          <w:sz w:val="20"/>
        </w:rPr>
        <w:t>Consumers are increasingly shopping for new and used vehicles, automotive repair and maintenance service and other automotive products and services online and through mobile applications, including through third-party online and mobile sales platforms, with which we compete, that are designed to generate consumer sales that are sold to automotive dealers.</w:t>
      </w:r>
      <w:r>
        <w:rPr>
          <w:color w:val="000000"/>
        </w:rPr>
        <w:t xml:space="preserve"> </w:t>
      </w:r>
      <w:r>
        <w:rPr>
          <w:rFonts w:ascii="Times New Roman;sans-serif" w:hAnsi="Times New Roman;sans-serif"/>
          <w:b w:val="false"/>
          <w:color w:val="000000"/>
          <w:sz w:val="20"/>
        </w:rPr>
        <w:t>We have invested and will continue to invest in our Clicklane platform and other online applications in furtherance of our strategic plan.</w:t>
      </w:r>
      <w:r>
        <w:rPr>
          <w:color w:val="000000"/>
        </w:rPr>
        <w:t xml:space="preserve"> </w:t>
      </w:r>
      <w:r>
        <w:rPr>
          <w:rFonts w:ascii="Times New Roman;sans-serif" w:hAnsi="Times New Roman;sans-serif"/>
          <w:b w:val="false"/>
          <w:color w:val="000000"/>
          <w:sz w:val="20"/>
        </w:rPr>
        <w:t>We face increased competition for market share from other automotive retailers and other sales platforms that have also invested in digital channels. There can be no assurance that our initiatives and investments in digital channels will be successful or result in improved financial performance.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may not adequately anticipate all the demands that our growth will impose on our personnel, procedures and structures, including our financial and reporting control systems, data processing systems, and management structure. Furthermore, we may decide to alter or discontinue aspects of our strategic plan and may adopt alternative or additional strategies in response to business or competitive factors or other factors or events beyond our control. We cannot give assurance that we will be able to execute a substantial portion of our strategic plan which could have a material adverse effect on our financial condition, results of operations, and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Goodwill and manufacturer franchise rights comprise a significant portion of our total assets. We must test our goodwill and manufacturer franchise rights for impairment at least annually, which could result in a material, non-cash write-down of goodwill or manufacturer franchise rights and could have a material adverse effect on our results of operations and stockholders’ equity.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intangible assets are goodwill and our rights under our franchise agreements with vehicle manufacturers. Goodwill and indefinite-lived intangible assets, including manufacturer franchise rights, are subject to impairment assessments at least annually (or more frequently when events or changes in circumstances indicate that an impairment may have occurred), by applying a qualitative or quantitative assessment. A decrease in our market capitalization or profitability increases the risk of goodwill impairment. The fair value of our manufacturer franchise rights is determined by discounting a subset of the projected cash flows at a dealership that we attribute to the value of the franchise. Changes to the business mix or declining cash flows in a dealership increase the risk of impairment.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2020 and 2019, we recognized $23.0 million and $7.1 million, respectively, in pre-tax non-cash impairment charges associated with manufacturer franchise rights recorded at certain dealerships. We may be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required to record additional impairment charges if the COVID-19 global pandemic continues. We cannot accurately predict the amount and timing of any additional impairment charge at this time; however, any such impairment charge could have an adverse effect on our results of operations and stockholders’ equity.</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The loss of key personnel and limited management and personnel resources could adversely affect our business.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degree, upon the continued contributions of our management team, and service and sales personnel. In addition, manufacturer dealer or framework agreements may require the prior approval of the applicable manufacturer before any change is made in dealership general managers or other management positions. The loss of the services of one or more of these key employees may materially impair the profitability of our operations, or may result in a violation of an applicable dealer or framework agreement. In addition, the market for qualified employees in the industry and in the states in which we operate, specifically for general managers and sales and service personnel, is highly competitive and may subject us to increased labor costs during periods of low unemployment. The loss of the services of such employees or the inability to attract additional qualified employees may adversely affect the ability of our dealerships to conduct their operations in accordance with the standards set by us or the manufacturers. If we are unable to retain our key personnel, we may be unable to successfully execute our business plans, which may have a material adverse effect on our business.</w:t>
      </w:r>
    </w:p>
    <w:p>
      <w:pPr>
        <w:pStyle w:val="TextBody"/>
        <w:spacing w:lineRule="auto" w:line="268" w:before="180" w:after="180"/>
        <w:rPr>
          <w:rFonts w:ascii="Times New Roman;sans-serif" w:hAnsi="Times New Roman;sans-serif"/>
          <w:b/>
          <w:color w:val="212529"/>
          <w:sz w:val="20"/>
        </w:rPr>
      </w:pPr>
      <w:r>
        <w:rPr>
          <w:rFonts w:ascii="Times New Roman;sans-serif" w:hAnsi="Times New Roman;sans-serif"/>
          <w:b/>
          <w:color w:val="212529"/>
          <w:sz w:val="20"/>
        </w:rPr>
        <w:t>LHM Acquisition Risks</w:t>
      </w:r>
    </w:p>
    <w:p>
      <w:pPr>
        <w:pStyle w:val="TextBody"/>
        <w:spacing w:lineRule="auto" w:line="288" w:before="180" w:after="180"/>
        <w:rPr/>
      </w:pPr>
      <w:r>
        <w:rPr>
          <w:rFonts w:ascii="Times New Roman;sans-serif" w:hAnsi="Times New Roman;sans-serif"/>
          <w:b/>
          <w:i/>
          <w:color w:val="212529"/>
          <w:sz w:val="20"/>
        </w:rPr>
        <w:t>The consummation of the LHM Acquisition</w:t>
      </w:r>
      <w:r>
        <w:rPr>
          <w:color w:val="212529"/>
        </w:rPr>
        <w:t xml:space="preserve"> </w:t>
      </w:r>
      <w:r>
        <w:rPr>
          <w:rFonts w:ascii="Times New Roman;sans-serif" w:hAnsi="Times New Roman;sans-serif"/>
          <w:b/>
          <w:i/>
          <w:color w:val="212529"/>
          <w:sz w:val="20"/>
        </w:rPr>
        <w:t>creates numerous risks and uncertainties which could adversely affect our business and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consummation of the LHM Acquisition, we have experienced significantly more sales, and have more assets and employees than we did prior to the transaction. The integration process will require us to expend significant capital and significantly expand the scope of our operations and financial systems. Our management will be required to devote a significant amount of time and attention to the process of integrating the operations of our business with that of the LHM Dealerships and TCA. There is a significant degree of difficulty and management involvement inherent in that process. </w:t>
      </w:r>
    </w:p>
    <w:p>
      <w:pPr>
        <w:pStyle w:val="TextBody"/>
        <w:spacing w:lineRule="auto" w:line="288" w:before="18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These difficulties include: </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 xml:space="preserve">integrating the operations of the LHM Business while carrying on the ongoing operations of our business; </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 xml:space="preserve">managing a significantly larger company than before consummation of the LHM Acquisition; </w:t>
      </w:r>
    </w:p>
    <w:p>
      <w:pPr>
        <w:pStyle w:val="TextBody"/>
        <w:spacing w:lineRule="auto" w:line="268" w:before="0" w:after="120"/>
        <w:ind w:left="0" w:right="0" w:firstLine="720"/>
        <w:rPr/>
      </w:pPr>
      <w:r>
        <w:rPr>
          <w:color w:val="000000"/>
        </w:rPr>
        <w:t xml:space="preserve">• </w:t>
      </w:r>
      <w:r>
        <w:rPr>
          <w:rFonts w:ascii="Times New Roman;sans-serif" w:hAnsi="Times New Roman;sans-serif"/>
          <w:b w:val="false"/>
          <w:color w:val="000000"/>
          <w:sz w:val="20"/>
        </w:rPr>
        <w:t>the possibility of faulty assumptions underlying our expectations regarding the integration process, including,</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things, unanticipated delays, costs or inefficiencies; </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 xml:space="preserve">the effects of unanticipated liabilities; </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 xml:space="preserve">operating a more diversified business; </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integrating two separate business cultures, which may prove to be incompatible;</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operating the TCA Business;</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attracting and retaining the necessary personnel associated with the LHM Business;</w:t>
      </w:r>
    </w:p>
    <w:p>
      <w:pPr>
        <w:pStyle w:val="TextBody"/>
        <w:spacing w:lineRule="auto" w:line="268" w:before="0" w:after="120"/>
        <w:ind w:left="0" w:right="0" w:hanging="360"/>
        <w:rPr/>
      </w:pPr>
      <w:r>
        <w:rPr>
          <w:color w:val="000000"/>
        </w:rPr>
        <w:t>•</w:t>
      </w:r>
      <w:r>
        <w:rPr>
          <w:rFonts w:ascii="Times New Roman;sans-serif" w:hAnsi="Times New Roman;sans-serif"/>
          <w:b w:val="false"/>
          <w:color w:val="000000"/>
          <w:sz w:val="20"/>
        </w:rPr>
        <w:t>implementing or improving controls, policies and information systems and related security measures in the LHM Business and legacy facilities; and</w:t>
      </w:r>
    </w:p>
    <w:p>
      <w:pPr>
        <w:pStyle w:val="TextBody"/>
        <w:spacing w:lineRule="auto" w:line="288" w:before="0" w:after="120"/>
        <w:ind w:left="0" w:right="0" w:firstLine="720"/>
        <w:rPr/>
      </w:pPr>
      <w:r>
        <w:rPr>
          <w:color w:val="000000"/>
        </w:rPr>
        <w:t xml:space="preserve">• </w:t>
      </w:r>
      <w:r>
        <w:rPr>
          <w:rFonts w:ascii="Times New Roman;sans-serif" w:hAnsi="Times New Roman;sans-serif"/>
          <w:b w:val="false"/>
          <w:color w:val="000000"/>
          <w:sz w:val="20"/>
        </w:rPr>
        <w:t>operating in broader national footprint including states in which we may not have previously done business.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private companies, the LHM Dealerships and TCA were not required to obtain audits of internal control over financial reporting or otherwise have such internal control assessed, except to the extent required in connection with audits pursuant to GAAP; however, the financial systems of the entities are being integrated into our financial systems and they are now subject to the internal control requirements of the Company.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factors limit our ability to integrate the LHM Business into our operations successfully or on a timely basis, the expectations of future results of operations, including certain run-rate synergies expected to result from the LHM Acquisition, might not be met. As a result, we may not be able to realize the expected benefits that we seek to achieve from the LHM Acquisition, which could also affect our ability to service our debt obligations. In addition, we may be required to spend additional time or money on integration that otherwise would be spent on the development and expansion of our business, including efforts to further expand our product portfolio.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We may be unable to realize the anticipated cost savings or operational improvements or may incur additional and/or unexpected costs in order to realize them.</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realize the anticipated cost savings or operational improvements from the LHM Acquisition in the anticipated amounts or within the anticipated timeframes or costs expectations or at all. We anticipate $65 million of cost savings following the LHM Acquisition from reduced corporate costs due to the elimination of family management fees and reduced costs associated with certain information technology and advertising costs. We anticipate annualized run-rate operating synergies over the medium term following the consummation of the LHM Acquisition of approximately $75 million, inclusive of approximately $10.0 million of costs we expect to incur to realize such operating synergies. These operating synergies are expected to result primarily from the integration of the TCA Business' services across our dealership portfolio.</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These operating synergies or any cost savings that we expect to realize, including reduced corporate costs due to the elimination of family management fees and certain vendor contracts, may differ materially from our estimates. We cannot provide assurances that these anticipated operating synergies or cost savings will be achieved or that our programs and improvements will be completed as anticipated or at all. In addition, any cost savings that we realize may be offset, in whole or in part, by reductions in revenues or through increases in other expenses.</w:t>
      </w:r>
    </w:p>
    <w:p>
      <w:pPr>
        <w:pStyle w:val="TextBody"/>
        <w:spacing w:lineRule="auto" w:line="288" w:before="18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The TCA Business is subject to a wide range of federal, state, and local laws and regulations, some of which we may not have previously been subject.</w:t>
      </w:r>
    </w:p>
    <w:p>
      <w:pPr>
        <w:pStyle w:val="TextBody"/>
        <w:spacing w:lineRule="auto" w:line="288" w:before="180" w:after="120"/>
        <w:ind w:left="0" w:right="0" w:firstLine="31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TCA Business is, and will continue to be, subject to a wide range of federal, state, and local laws and regulations, some of which Asbury may not have been previously subject. Such laws and regulations include but are not limited to:</w:t>
      </w:r>
    </w:p>
    <w:p>
      <w:pPr>
        <w:pStyle w:val="TextBody"/>
        <w:spacing w:lineRule="auto" w:line="268" w:before="0" w:after="120"/>
        <w:ind w:left="0" w:right="0" w:firstLine="360"/>
        <w:rPr/>
      </w:pPr>
      <w:r>
        <w:rPr>
          <w:color w:val="000000"/>
        </w:rPr>
        <w:t>•</w:t>
      </w:r>
      <w:r>
        <w:rPr>
          <w:rFonts w:ascii="Times New Roman;sans-serif" w:hAnsi="Times New Roman;sans-serif"/>
          <w:b w:val="false"/>
          <w:color w:val="000000"/>
          <w:sz w:val="20"/>
          <w:highlight w:val="white"/>
        </w:rPr>
        <w:t>state and local licensing requirements;</w:t>
      </w:r>
    </w:p>
    <w:p>
      <w:pPr>
        <w:pStyle w:val="TextBody"/>
        <w:spacing w:lineRule="auto" w:line="268" w:before="0" w:after="120"/>
        <w:ind w:left="0" w:right="0" w:firstLine="360"/>
        <w:rPr/>
      </w:pPr>
      <w:r>
        <w:rPr>
          <w:color w:val="000000"/>
          <w:highlight w:val="white"/>
        </w:rPr>
        <w:t>•</w:t>
      </w:r>
      <w:r>
        <w:rPr>
          <w:rFonts w:ascii="Times New Roman;sans-serif" w:hAnsi="Times New Roman;sans-serif"/>
          <w:b w:val="false"/>
          <w:color w:val="000000"/>
          <w:sz w:val="20"/>
          <w:highlight w:val="white"/>
        </w:rPr>
        <w:t>federal and state laws regulating vehicle financial products; and</w:t>
      </w:r>
      <w:r>
        <w:rPr>
          <w:color w:val="000000"/>
        </w:rPr>
        <w:t xml:space="preserve"> </w:t>
      </w:r>
    </w:p>
    <w:p>
      <w:pPr>
        <w:pStyle w:val="TextBody"/>
        <w:spacing w:lineRule="auto" w:line="288" w:before="0" w:after="120"/>
        <w:ind w:left="0" w:right="0" w:firstLine="360"/>
        <w:rPr/>
      </w:pPr>
      <w:r>
        <w:rPr>
          <w:color w:val="000000"/>
        </w:rPr>
        <w:t>•</w:t>
      </w:r>
      <w:r>
        <w:rPr>
          <w:rFonts w:ascii="Times New Roman;sans-serif" w:hAnsi="Times New Roman;sans-serif"/>
          <w:b w:val="false"/>
          <w:color w:val="000000"/>
          <w:sz w:val="20"/>
          <w:highlight w:val="white"/>
        </w:rPr>
        <w:t>federal and state consumer protection laws.</w:t>
      </w:r>
    </w:p>
    <w:p>
      <w:pPr>
        <w:pStyle w:val="TextBody"/>
        <w:spacing w:lineRule="auto" w:line="288" w:before="180" w:after="180"/>
        <w:ind w:left="0" w:right="0" w:firstLine="315"/>
        <w:rPr/>
      </w:pPr>
      <w:r>
        <w:rPr>
          <w:rFonts w:ascii="Times New Roman;sans-serif" w:hAnsi="Times New Roman;sans-serif"/>
          <w:b w:val="false"/>
          <w:color w:val="000000"/>
          <w:sz w:val="20"/>
          <w:highlight w:val="white"/>
        </w:rPr>
        <w:t>No assurance can be given that applicable statutes, regulations, and other laws will not be amended or construed differently, that new laws will not be adopted, or that any of these laws will not be enforced more aggressively. For example, changes in the regulatory and supervisory environments could adversely affect the TCA Business in substantial and unpredictable ways. Further, the TCA Business</w:t>
      </w:r>
      <w:r>
        <w:rPr>
          <w:color w:val="000000"/>
          <w:highlight w:val="white"/>
        </w:rPr>
        <w:t xml:space="preserve">’ </w:t>
      </w:r>
      <w:r>
        <w:rPr>
          <w:rFonts w:ascii="Times New Roman;sans-serif" w:hAnsi="Times New Roman;sans-serif"/>
          <w:b w:val="false"/>
          <w:color w:val="000000"/>
          <w:sz w:val="20"/>
          <w:highlight w:val="white"/>
        </w:rPr>
        <w:t>noncompliance with applicable laws (whether as a result of changes in interpretation or enforcement, system or human errors, or otherwise) could result in the suspension or revocation of licenses or registrations necessary to operation, or the initiation of enforcement actions or private litigation.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set aside an amount of restricted cash sufficient to satisfy potential claims associated with the TCA Business. While we are permitted to invest such cash in low-risk money market accounts and other investments, we cannot provide any assurance that a loss in such investments would not have a material adverse effect on our ability to honor customers’ claims, which could have a material adverse effect on our business.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Risks Related to Macroeconomic and Market Conditions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The automotive retail industry is sensitive to unfavorable changes in general economic conditions and various other factors that could affect demand for our products and services, which could have a material adverse effect on our business, our ability to implement our strategy and our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future performance will be impacted by general economic conditions including: changes in employment levels; consumer demand, preferences and confidence levels; the availability and cost of credit; fuel prices; levels of discretionary personal income; inflation; and interest rates. Recently, inflation has increased throughout the U.S. economy. Inflation can adversely affect us by increasing the costs of labor, fuel and other costs as well as by reducing demand for automobiles. Sales of certain vehicles, particularly trucks and sport utility vehicles that historically have provided us with higher gross profit per vehicle retailed, may be sensitive to fuel prices. In addition, rapid changes in fuel prices can cause shifts in consumer preferences which are difficult to accommodate given the long lead-time of inventory acquisition. Inflation is also often accompanied by higher interest rates, which could reduce the fair value of our outstanding debt obligations. Changes in interest rates can also significantly impact new and used vehicle sales and vehicle affordability due to the direct relationship between interest rates and monthly loan payments, a critical factor for many vehicle buyers, and the impact interest rates have on customers’ borrowing capacity and disposable income. In an inflationary environment, depending on automotive industry and other economic conditions, we may be unable to raise prices to keep up with the rate of inflation, which would reduce our profit margins. We have experienced, and continue to experience, increases in the prices of labor, fuel and other costs of providing service. Continued inflationary pressures could impact our profitability.</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also are subject to economic, competitive, and other conditions prevailing in the various markets in which we operate, even if those conditions are not prominent nationally.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Retail vehicle sales are cyclical and historically have experienced periodic downturns characterized by oversupply and weak demand, which could result in a need for us to lower the prices at which we sell vehicles, which would reduce our revenue per vehicle sold and our margins. Additionally, a shift in consumer’s vehicle preferences driven by pricing, fuel costs or other factors may have a material adverse effect on our revenues, margins and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Changes in general economic conditions may make it difficult for us to execute our business strategy. In such an event, we may be required to enter into certain transactions in order to generate additional cash, which may include, but not be limited to, selling certain of our dealerships or other assets or increasing borrowings under our existing, or any future, credit facilities. There can be no assurance that, if necessary, we would be able to enter into any such transactions in a timely manner or on reasonable terms, if at all. Furthermore, in the event we were required to sell dealership assets, the sale of any material portion of such assets could have a material adverse effect on our revenue and profitability.</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Adverse conditions affecting one or more of the vehicle manufacturers with which we hold franchises or their inability to deliver a desirable mix of vehicles that our consumers demand could have a material adverse effect on our business, results of operations, financial condition and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Historically, we have generated most of our revenue through new vehicle sales, and new vehicle sales also tend to lead to sales of higher-margin products and services, such as finance and insurance products and vehicle-related parts and service. As a result, our profitability is dependent to a great extent on various aspects of vehicle manufacturers’ operations, many of which are outside of our control. Our ability to sell new vehicles is dependent on manufacturers’ ability to design and produce, and willingness to allocate and deliver to our dealerships, a desirable mix of popular new vehicles that consumers demand. Popular vehicles may often be difficult to obtain from manufacturers for a number of reasons, including the fact that manufacturers generally allocate their vehicles to dealerships based on sales history and capital expenditures associated with such dealerships. Further, if a manufacturer fails to produce desirable vehicles or develops a reputation for producing undesirable vehicles or produces vehicles that do not comply with applicable laws or government regulations, and we own dealerships which sell that manufacturer’s vehicles, our revenues from those dealerships could be adversely affected as consumers shift their vehicle purchases away from that brand.</w:t>
      </w:r>
    </w:p>
    <w:p>
      <w:pPr>
        <w:pStyle w:val="TextBody"/>
        <w:spacing w:lineRule="auto" w:line="288" w:before="180" w:after="6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Although we seek to limit our dependence on any one vehicle manufacturer, there can be no assurance that the brand mix allocated and delivered to our dealerships by the manufacturers will be appropriate or sufficiently diverse, to protect us from a significant decline in the desirability of vehicles manufactured by a particular manufacturer or disruptions in a manufacturer's ability to produce vehicles. For the year ended December 31, 2021, manufacturers representing 5% or more of our revenues from new vehicle sales were as follows:</w:t>
      </w:r>
    </w:p>
    <w:tbl>
      <w:tblPr>
        <w:tblW w:w="6252" w:type="dxa"/>
        <w:jc w:val="left"/>
        <w:tblInd w:w="0" w:type="dxa"/>
        <w:tblCellMar>
          <w:top w:w="28" w:type="dxa"/>
          <w:left w:w="28" w:type="dxa"/>
          <w:bottom w:w="28" w:type="dxa"/>
          <w:right w:w="28" w:type="dxa"/>
        </w:tblCellMar>
      </w:tblPr>
      <w:tblGrid>
        <w:gridCol w:w="1717"/>
        <w:gridCol w:w="1509"/>
        <w:gridCol w:w="1513"/>
        <w:gridCol w:w="109"/>
        <w:gridCol w:w="109"/>
        <w:gridCol w:w="109"/>
        <w:gridCol w:w="242"/>
        <w:gridCol w:w="242"/>
        <w:gridCol w:w="702"/>
      </w:tblGrid>
      <w:tr>
        <w:trPr/>
        <w:tc>
          <w:tcPr>
            <w:tcW w:w="1717"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Manufacturer (Vehicle Brands):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New Vehicle</w:t>
              <w:br/>
              <w:t>Revenues</w:t>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Toyota Motor Sales, U.S.A., Inc. (</w:t>
            </w:r>
            <w:r>
              <w:rPr>
                <w:rFonts w:ascii="Times New Roman;sans-serif" w:hAnsi="Times New Roman;sans-serif"/>
                <w:b w:val="false"/>
                <w:i/>
                <w:color w:val="000000"/>
                <w:sz w:val="20"/>
              </w:rPr>
              <w:t>Toyota and Lexus</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American Honda Motor Co., Inc. (</w:t>
            </w:r>
            <w:r>
              <w:rPr>
                <w:rFonts w:ascii="Times New Roman;sans-serif" w:hAnsi="Times New Roman;sans-serif"/>
                <w:b w:val="false"/>
                <w:i/>
                <w:color w:val="000000"/>
                <w:sz w:val="20"/>
              </w:rPr>
              <w:t>Honda and Acura</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Mercedes-Benz USA, LLC (</w:t>
            </w:r>
            <w:r>
              <w:rPr>
                <w:rFonts w:ascii="Times New Roman;sans-serif" w:hAnsi="Times New Roman;sans-serif"/>
                <w:b w:val="false"/>
                <w:i/>
                <w:color w:val="000000"/>
                <w:sz w:val="20"/>
              </w:rPr>
              <w:t>Mercedes-Benz and Sprinter</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Ford Motor Company (</w:t>
            </w:r>
            <w:r>
              <w:rPr>
                <w:rFonts w:ascii="Times New Roman;sans-serif" w:hAnsi="Times New Roman;sans-serif"/>
                <w:b w:val="false"/>
                <w:i/>
                <w:color w:val="000000"/>
                <w:sz w:val="20"/>
              </w:rPr>
              <w:t>Ford and Lincoln</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Nissan North America, Inc. (</w:t>
            </w:r>
            <w:r>
              <w:rPr>
                <w:rFonts w:ascii="Times New Roman;sans-serif" w:hAnsi="Times New Roman;sans-serif"/>
                <w:b w:val="false"/>
                <w:i/>
                <w:color w:val="000000"/>
                <w:sz w:val="20"/>
              </w:rPr>
              <w:t>Nissan and Infiniti</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BMW of North America, LLC (</w:t>
            </w:r>
            <w:r>
              <w:rPr>
                <w:rFonts w:ascii="Times New Roman;sans-serif" w:hAnsi="Times New Roman;sans-serif"/>
                <w:b w:val="false"/>
                <w:i/>
                <w:color w:val="000000"/>
                <w:sz w:val="20"/>
              </w:rPr>
              <w:t>BMW and MINI</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automotive retailers, vehicle manufacturers may be affected by the long-term U.S. and international economic climate. In addition, we remain vulnerable to other matters that may impact the manufacturers of the vehicles we sell, many of which are outside of our control, including: (i) changes in their respective financial condition; (ii) changes in their respective marketing efforts; (iii) changes in their respective reputation; (iv) manufacturer and other product defects, including recalls; (v) changes in their respective management; (vi) disruptions in the production and delivery of vehicles and parts due to natural disasters or other reasons (for example, shortages in the supply of semiconductor chips may continue to adversely impact the number of vehicles which manufacturers are able to produce); and (vii) issues with respect to labor relations. Our business is highly dependent on consumer demand and brand preferences for our manufacturers’ products. Manufacturer recall campaigns are a common occurrence that have accelerated in frequency and scope. Manufacturer recall campaigns could (i) adversely affect our new and used vehicle sales or customer residual trade-in valuations, (ii) cause us to temporarily remove vehicles from our inventory, (iii) force us to incur increased costs, and (iv) expose us to litigation and adverse publicity related to the sale of recalled vehicles, which could have a material adverse effect on our business, results of operations, financial condition and cash flows. Vehicle manufacturers that produce vehicles outside of the U.S. are subject to additional risks including changes in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quotas, tariffs or duties, fluctuations in foreign currency exchange rates, regulations governing imports and the costs related thereto, and foreign governmental regulations.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Adverse conditions that materially affect a vehicle manufacturer and its ability to profitably design, market, produce or distribute desirable new vehicles could in turn materially adversely affect our ability to (i) sell vehicles produced by that manufacturer, (ii) obtain or finance our new vehicle inventories, (iii) access or benefit from manufacturer financial assistance programs, (iv) collect in full or on a timely basis any amounts due therefrom, and/or (v) obtain other goods and services provided by the impacted manufacturer. In addition, we depend on manufacturers’ ability to design, produce, and supply parts to us and any failure to do so could have a material adverse effect on our parts and services business. Our business, results of operations, financial condition, and cash flows could be materially adversely affected as a result of any event that has an adverse effect on any vehicle manufacturer.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if a vehicle manufacturer’s financial condition worsens and it seeks protection from creditors in bankruptcy or similar proceedings, or otherwise under the laws of its jurisdiction of organization, (i) the manufacturer could seek to terminate or reject all or certain of our franchises, (ii) if the manufacturer is successful in terminating all or certain of our franchises, we may not receive adequate compensation for those franchises, (iii) our cost to obtain financing for our new vehicle inventory may increase or no longer be available from such manufacturer’s captive finance subsidiary, (iv) consumer demand for such manufacturer’s products could be materially adversely affected, especially if costs related to improving such manufacturer’s financial condition are factored into the price of its products, (v) there may be a significant disruption in the availability of consumer credit to purchase or lease that manufacturer’s vehicles or negative changes in the terms of such financing, which may negatively impact our sales, or (vi) there may be a reduction in the value of receivables and inventory associated with that manufacturer, among other things. The occurrence of any one or more of these events could have a material adverse effect on our business, results of operations, financial condition, and cash flows.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Furthermore, the automotive manufacturing supply chain spans the globe. As such, supply chain disruptions resulting from natural disasters, adverse weather and other events may affect the flow of vehicle and parts inventories to us or our manufacturing partners. For example, in early 2020, the outbreak of a novel coronavirus in Wuhan, China led to quarantines of a significant number of cities across the United States and other countries and widespread disruptions to travel and economic activity. Until such time as the coronavirus is fully contained and the supply chain shortages of semiconductor chips, parts and other key components are addressed, we may continue to experience disruptions in the (i) supply of vehicle and parts inventories, (ii) ability and willingness of our customers to visit our stores to purchase products or service their vehicles and (iii) overall health of our labor force. At this time, it is unclear what effect, if any, the outbreak and resulting disruptions may continue to have on the automotive manufacturing vehicle and parts supply chain, the health of our labor force and the ability and willingness of our customers to visit our stores to purchase products or service their vehicles. Such disruptions could have a material adverse effect on our business, results of operations, financial condition, and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Substantial competition in automobile sales and services may have a material adverse effect on our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automotive retail and service industry is highly competitive with respect to price, service, location, and selection. Our competition includes: (i) franchised automobile dealerships in our markets that sell the same or similar new and used vehicles; (ii) privately negotiated sales of used vehicles; (iii) other used vehicle retailers, including regional and national vehicle rental companies; (iv) companies with a primarily internet-based business model, such as Carvana, and used vehicle brokers that sell used vehicles to consumers; (v) service center and parts supply chain stores; and (vi) independent service and repair shops.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do not have any cost advantage over other retailers in purchasing new vehicles from manufacturers. We typically rely on our advertising, merchandising, sales expertise, service reputation, strong local branding and dealership location to sell new vehicles. Because our dealer agreements only grant us a non-exclusive right to sell a manufacturer’s product within a specified market area, our revenues, gross profit and overall profitability may be materially adversely affected if competing dealerships expand their market share. Further, our vehicle manufacturers may decide to award additional franchises in our markets in ways that negatively impact our sales.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internet has become a significant part of the advertising and sales process in our industry. Customers are using the internet to shop, and compare prices, for new and used vehicles, automotive repair and maintenance services, finance and insurance products and other automotive products. If we are unable to effectively use the internet to attract customers to our own online channels, such as our Clicklane platform, and mobile applications, and, in turn, to our stores, our business, financial condition, results of operations and cash flows could be materially adversely affected. Additionally, the growing use of social media by consumers increases the speed and extent that information and opinions can be shared, and negative posts or comments on social media about us or any of our stores could damage our reputation and brand names, which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68" w:before="0" w:after="180"/>
        <w:ind w:left="0" w:right="0" w:firstLine="315"/>
        <w:rPr/>
      </w:pPr>
      <w:r>
        <w:rPr>
          <w:rFonts w:ascii="Times New Roman;sans-serif" w:hAnsi="Times New Roman;sans-serif"/>
          <w:b w:val="false"/>
          <w:color w:val="000000"/>
          <w:sz w:val="20"/>
        </w:rPr>
        <w:t>Additionally, we rely on the protection of state franchise laws in the states in which we operate and if those laws are repealed or weakened, our framework, franchise and related agreements may become more susceptible to termination, nonrenewal or renegotiation.</w:t>
      </w:r>
      <w:r>
        <w:rPr>
          <w:color w:val="000000"/>
        </w:rPr>
        <w:t xml:space="preserve"> </w:t>
      </w:r>
      <w:r>
        <w:rPr>
          <w:rFonts w:ascii="Times New Roman;sans-serif" w:hAnsi="Times New Roman;sans-serif"/>
          <w:b w:val="false"/>
          <w:color w:val="000000"/>
          <w:sz w:val="20"/>
        </w:rPr>
        <w:t>In recent years, certain states have permitted one or more companies, such as Tesla, to circumvent the state franchise laws of several states in the United States, thereby permitting them to sell their new electric vehicles directly to consumers without the requirements of establishing a dealer network.</w:t>
      </w:r>
      <w:r>
        <w:rPr>
          <w:color w:val="000000"/>
        </w:rPr>
        <w:t xml:space="preserve"> </w:t>
      </w:r>
      <w:r>
        <w:rPr>
          <w:rFonts w:ascii="Times New Roman;sans-serif" w:hAnsi="Times New Roman;sans-serif"/>
          <w:b w:val="false"/>
          <w:color w:val="000000"/>
          <w:sz w:val="20"/>
        </w:rPr>
        <w:t>If the state franchise laws are repealed, weakened or amended to permit vehicle manufacturers to sell vehicles (whether electric or not) directly to consumers, they may be able to have a competitive advantage over the traditional dealers, which could have a material adverse effect on our sales in those states, which in turn, could have a material adverse effect on our business, financial condition, results of operations and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We are dependent upon our relationships with the manufacturers of vehicles that we sell and are subject to restrictions imposed by, and significant influence from, these vehicle manufacturers. Any of these restrictions or any changes or deterioration of these relationships could have a material adverse effect on our business, financial condition, results of operations and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dependent on our relationships with the manufacturers of the vehicles we sell, which have the ability to exercise a great deal of control and influence over our day-to-day operations, as a result of the terms of our dealer, framework and related agreements. We may obtain new vehicles from manufacturers, service vehicles, sell new vehicles and display vehicle manufacturers’ trademarks only to the extent permitted under these agreements. The terms of these agreements may conflict with our interests and objectives and may impose limitations on key aspects of our operations, including acquisition strategy and capital spending.</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For example, manufacturers can set performance standards with respect to sales volume, sales effectiveness and customer satisfaction, and require us to obtain manufacturer consent before we can acquire dealerships selling a manufacturer’s automobiles. From time to time, we may be precluded under agreements with certain manufacturers from acquiring additional franchises, or subject to other adverse actions, to the extent we are not meeting certain performance criteria at our existing stores (with respect to matters such as sales volume, customer satisfaction and sales effectiveness) until our performance improves in accordance with the agreements, subject to applicable state franchise laws. In addition, many vehicle manufacturers place limits on the total number of franchises that any group of affiliated dealerships may own and certain manufacturers place limits on the number of franchises or share of total brand vehicle sales that may be maintained by an affiliated dealership group on a national, regional or local basis, as well as limits on store ownership in contiguous markets. If we reach any of these limits, we may be prevented from making further acquisitions, or we may be required to dispose of certain dealerships, which could adversely affect our future growth. We cannot provide assurance that manufacturers will approve future acquisitions timely, if at all, which could significantly impair the execution of our acquisition strategy.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certain manufacturers use a dealership’s manufacturer-determined customer satisfaction index ("CSI") score as a factor governing participation in incentive programs. To the extent we do not meet minimum score requirements, our future payments may be materially reduced or we may be precluded from receiving certain incentives, which could materially adversely affect our business, financial condition, results of operations and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Manufacturers also typically establish facilities and minimum capital requirements for dealerships on a case-by-case basis. In certain circumstances, including as a condition to obtaining consent to a proposed acquisition, a manufacturer may require us to remodel, upgrade or move our facilities, and capitalize the subject dealership at levels we would not otherwise choose to fund, causing us to divert our financial resources away from uses that management believes may be of higher long-term value to us. Delays in obtaining, or failing to obtain, manufacturer consent, would impede our ability to execute acquisitions that we believe would integrate well with our overall strategy and limit our ability to expand our business.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Manufacturers can also establish new franchises or relocate existing franchises, subject to applicable state franchise laws. The establishment or relocation of franchises in our markets could have a material adverse effect on the business, financial condition and results of operations of our dealerships in the market in which the action is taken.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Manufacturers may also limit our ability to divest one or more of our dealerships in a timely manner or at all. Most of our dealer agreements provide the manufacturer with a right of first refusal to purchase any of the manufacturer’s franchises we seek to sell. Divestitures may also require manufacturer consent and failure to obtain consent would require us to find another potential buyer or wait until the buyer is able to meet the requirements of the manufacturer. A delay in the sale of a dealership could have a negative impact on our business, financial condition, results of operations, and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Manufacturers may terminate or may not renew our dealer and framework agreements, or may compel us to divest our dealerships, for a number of reasons, including default under the agreement, any unapproved change of control (which specific changes vary from manufacturer to manufacturer, but which include material changes in the composition of our Board of Directors during a specified time period, the acquisition of 5% or more of our voting stock by another vehicle manufacturer or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distributor, the acquisition of 20% or more of our voting stock by third parties, and the acquisition of an ownership interest sufficient to direct or influence management and policies), or certain other unapproved events (including certain extraordinary corporate transactions such as a merger or sale of all or substantially all of our assets). Triggers of these clauses are often based upon actions by our stockholders and are generally outside of our control. Restrictions on any unapproved changes of ownership or management may adversely impact our value, as they may prevent or deter prospective acquirers from gaining control of us. In addition, actions taken by a manufacturer to exploit its bargaining position in negotiating the terms of renewals of franchise agreements or otherwise could also have a material adverse effect on our revenues and profitability.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we will be able to renew our dealer and framework agreements on a timely basis, on acceptable terms, or at all. Our business, financial condition and results of operations may be materially adversely affected to the extent that our rights become compromised or our operations are restricted due to the terms of our dealer or framework agreements or if we lose franchises representing a significant percentage of our revenues due to termination or failure to renew such agreements.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If vehicle manufacturers reduce or discontinue sales incentive, warranty or other promotional programs, our financial condition, results of operations and cash flows may be materially adversely affected.</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benefit from certain sales incentive, warranty, and other promotional programs of vehicle manufacturers that are intended to promote and support their respective new vehicle sales. Key incentive programs include: (i) customer rebates on new vehicles; (ii) dealer incentives on new vehicles; (iii) special financing or leasing terms; (iv) warranties on new and used vehicles; and (v) sponsorship of used vehicle sales by authorized new vehicle dealers.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Vehicle manufacturers often make many changes to their incentive programs. Any reduction or discontinuation of manufacturers’ incentive programs for any reason, including a supply and demand imbalance, may reduce our sales volume which, in turn, could have a material adverse effect on our results of operations, cash flows, and financial condition.</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Technological advances, including electrification of vehicles and adoption of autonomous vehicles in the long-term, could have a material adverse effect on our business.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automotive industry is predicted to experience change over the long-term. Technological advances are facilitating the development of electric, battery powered and hybrid gas/electric vehicles and autonomous vehicles. While most major vehicle manufacturers have announced plans to electrify some or all of their new vehicle offerings, the eventual timing of widespread availability of electric, battery powered and hybrid gas/electric vehicles and driverless vehicles is uncertain due to regulatory requirements, additional technological requirements, and uncertain consumer acceptance of these vehicles. We expect to continue to sell electric, battery powered and hybrid gas/electric vehicles through our dealerships, however, the effect of these vehicles on the automotive retail business is uncertain and could include changes in the level of the new and used vehicle sales, the price of new and used vehicles and the levels of service required for such vehicles and the profitability of our parts and service business and the role of franchised dealers, any of which could materially adversely affect our business, financial condition, results of operations and cash flows. </w:t>
      </w:r>
    </w:p>
    <w:p>
      <w:pPr>
        <w:pStyle w:val="TextBody"/>
        <w:spacing w:lineRule="auto" w:line="276" w:before="180" w:after="180"/>
        <w:rPr>
          <w:rFonts w:ascii="Times New Roman;sans-serif" w:hAnsi="Times New Roman;sans-serif"/>
          <w:b/>
          <w:color w:val="000000"/>
          <w:sz w:val="20"/>
        </w:rPr>
      </w:pPr>
      <w:r>
        <w:rPr>
          <w:rFonts w:ascii="Times New Roman;sans-serif" w:hAnsi="Times New Roman;sans-serif"/>
          <w:b/>
          <w:color w:val="000000"/>
          <w:sz w:val="20"/>
        </w:rPr>
        <w:t>Risks Related to Our Indebtedness and Financial Matters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Our outstanding indebtedness, ability to incur additional debt and the provisions in the agreements governing our debt, and certain other agreements, could have a material adverse effect on our business, financial condition, results of operations, and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total debt of $3.61 billion and total floor plan notes payable of $564.5 million. We have the ability to incur substantial additional debt in the future to finance, among other things, acquisitions, working capital and capital expenditures, and new and used vehicle inventory, as well as to refinance new and used vehicle inventory, subject in each case to the restrictions contained in our debt instruments and other agreements existing at the time such indebtedness is incurred. We will continue to have substantial debt service obligations, consisting of required cash payments of principal and interest, for the foreseeable future.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debt service obligations could have important consequences to us for the foreseeable future, including the following: (i) our ability to obtain additional financing, or to obtain such financing on attractive terms, for acquisitions, capital expenditures, working capital or other general corporate purposes may be impaired; (ii) a substantial portion of our cash flow from operating activities must be dedicated to the payment of principal and interest on our debt, thereby reducing the funds available to us for our operations and other corporate purposes; (iii) some of our borrowings are and will continue to be at variable rates of interest, which exposes us to certain risks of interest rate increases; and (iv) we may be or become substantially more leveraged than some of our competitors, which may place us at a relative competitive disadvantage and make us more vulnerable to changes in market conditions and governmental regulations.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to our ability to incur additional debt in the future, there are operating and financial restrictions and covenants, such as leverage covenants, in certain of our debt and mortgage agreements, including the agreement governing our 2019 Senior Credit Facility and our mortgage agreements and related mortgage guarantees, as well as certain other agreements to which we are a party that may adversely affect our ability to finance our future operations or capital needs or to pursue certain business activities. These limit, among other things, our ability to incur certain additional debt, create certain liens or other encumbrances and make certain payments (including dividends and repurchases of our common stock and for investments). Certain of these agreements also require us to maintain compliance with certain financial ratios.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any of these covenants in the future could constitute a default under the relevant agreement, which could, depending on the relevant agreement, (i) entitle the creditors under such agreement to terminate our ability to borrow under the relevant agreement and accelerate our obligations to repay outstanding borrowings; (ii) require us to repay those borrowings; (iii) entitle the creditors under such agreement to foreclose on the property securing the relevant indebtedness; or (iv) prevent us from making debt service payments on certain of our other indebtedness, any of which would have a material adverse effect on our business, financial condition, results of operations and cash flows. In many cases, a default under one of our debt, mortgage, or other agreements, could trigger cross-default provisions in one or more of our other debt or mortgage agreements. There can be no assurance that our creditors would agree to an amendment or waiver of our covenants. In the event we obtain an amendment or waiver, we would likely incur additional fees and higher interest expense.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and other covenants contained in our various debt or mortgage agreements, certain of our lease agreements contain covenants that give our landlords the right to terminate the lease, seek significant cash damages, or evict us from the applicable property, if we fail to comply. Similarly, our failure to comply with any financial or other covenants in any of our framework agreements would give the relevant manufacturer certain rights, including the right to reject proposed acquisitions, and may give it the right to repurchase its franchises from us. Events that give rise to such rights, and our inability to acquire additional dealerships or the requirement that we sell one or more of our dealerships at any time, could inhibit the growth of our business, and could have a material adverse effect on our business, financial condition, results of operations and cash flows. Manufacturers may also have the right to restrict our ability to provide guarantees of our operating companies, pledges of the capital stock of our subsidiaries and liens on our assets, which could materially adversely affect our ability to obtain financing for our business and operations on favorable terms or at desired levels, if at all.</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of these events may limit our ability to take strategic actions that would otherwise enable us to manage our business in a manner in which we otherwise would, absent such limitations, which could materially adversely affect our business, financial condition, results of operations and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Our business, financial condition and results of operations may be materially adversely affected by increases in interest rates.</w:t>
      </w:r>
    </w:p>
    <w:p>
      <w:pPr>
        <w:pStyle w:val="TextBody"/>
        <w:spacing w:lineRule="auto" w:line="288" w:before="180" w:after="180"/>
        <w:ind w:left="0" w:right="0" w:firstLine="315"/>
        <w:rPr/>
      </w:pPr>
      <w:r>
        <w:rPr>
          <w:rFonts w:ascii="Times New Roman;sans-serif" w:hAnsi="Times New Roman;sans-serif"/>
          <w:b w:val="false"/>
          <w:color w:val="000000"/>
          <w:sz w:val="20"/>
        </w:rPr>
        <w:t>We generally finance our purchases of new vehicle inventory, have the ability to finance the purchases of used vehicle inventory, and have the availability to borrow funds for working capital under our senior secured credit facilities that charge interest at variable rates. Therefore, our interest expense from variable rate debt will rise with increases in interest rates. In addition, a significant rise in interest rates may also have the effect of depressing demand in the interest rate sensitive aspects of our business, particularly new and used vehicle sales and the related profit margins and F&amp;I revenue per vehicle, because most of our customers finance their vehicle purchases.</w:t>
      </w:r>
      <w:r>
        <w:rPr>
          <w:color w:val="000000"/>
        </w:rPr>
        <w:t xml:space="preserve"> </w:t>
      </w:r>
      <w:r>
        <w:rPr>
          <w:rFonts w:ascii="Times New Roman;sans-serif" w:hAnsi="Times New Roman;sans-serif"/>
          <w:b w:val="false"/>
          <w:color w:val="000000"/>
          <w:sz w:val="20"/>
        </w:rPr>
        <w:t>As a result, rising interest rates may have the effect of simultaneously increasing our capital costs and reducing our revenues. Given our variable interest rate debt and floor plan notes payable outstanding as of December 31, 2021, each one percent increase in market interest rates would increase our total annual interest expense by approximately $14.0 million. When considered in connection with reduced expected sales, if interest rates increase, any such increase could materially adversely affect our business, financial condition and results of operations.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Our vehicle sales, financial condition and results of operations may be materially adversely affected by changes in costs or availability of consumer financing.</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majority of vehicles purchased by our customers are financed. Reductions in the availability of credit to consumers have contributed to declines in our vehicle sales in past periods. Reductions in available consumer credit or increased costs of that credit, could result in a decline in our vehicle sales, which would have a material adverse effect on our financial condition and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Lenders that have historically provided financing to those buyers who, for various reasons, do not have access to traditional financing, including those buyers who have a poor credit history or lack the down payment necessary to purchase a vehicle, are often referred to as subprime lenders. If market conditions cause subprime lenders to tighten credit standards, or if interest rates increase, the ability to obtain financing from subprime lenders for these consumers to purchase vehicles could become limited, resulting in a decline in our vehicle sales, which in turn, could have a material adverse effect on our financial condition and results of operations.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 xml:space="preserve">Many of our loans and obligations for borrowed money are priced on variable interest rates tied to the London Interbank Offering Rate, or LIBOR. We are subject to risks that LIBOR may no longer be available as a result of the United Kingdom’s Financial Conduct Authority ceasing to require the submission of LIBOR quotes on June 30, 2023.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potential cessation of LIBOR quotes on June 30, 2023 creates substantial risks to the banking industry, including us. Unless alternative rates can be negotiated, our floating rate loans, funding and derivative obligations that specify the use of a LIBOR index, will no longer adjust and may become fixed rate instruments at the time LIBOR ceases to exist. This would adversely affect our asset/liability management and could lead to more asset and liability mismatches and interest rate risk unless appropriate LIBOR alternatives are developed. It could also cause confusion that could disrupt the capital and credit markets as a result of confusion or uncertainty.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Federal Reserve has sponsored the Alternative Reference Rates Committee, or ARRC, which serves as a forum to coordinate and track planning as market participants currently using LIBOR consider (a) transitioning to alternative reference rates where it is deemed appropriate and (b) addressing risks in legacy contracts language given the possibility that LIBOR might stop. On April 3, 2018, the Federal Reserve began publishing three new reference rates, including the Secured Overnight Financing Rate, or SOFR. ARRC has recommended SOFR as the alternative to LIBOR, and published fallback interest rate consultations for public comment and a Paced TransTransition Plan to SOFR use. The Financial Stability Board has taken an interest in LIBOR and possible replacement indices as a matter of risk management. The International Organisation of Securities Commissions, or IOSCO, has been active in this area and is expected to call on market participants to have backup options if a reference rate, such as LIBOR, ceases publication. The International Swap Dealers Association has published guidance on interest rate bench marks and alternatives in July and August 2018. It cannot be predicted whether SOFR or another index or indices will become a market standard that replaces LIBOR, and if so, the effects on our customers, or our future results of operations or financial condition.</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If state laws that protect automotive retailers are repealed, weakened, or superseded by our framework agreements with manufacturers, our dealerships will be more susceptible to termination, non-renewal, or renegotiation of their dealer agreements, which could have a material adverse effect on our business, results of operations, financial condition and cash flows.</w:t>
      </w:r>
    </w:p>
    <w:p>
      <w:pPr>
        <w:pStyle w:val="TextBody"/>
        <w:spacing w:lineRule="auto" w:line="288" w:before="0" w:after="180"/>
        <w:ind w:left="0" w:right="0" w:firstLine="315"/>
        <w:rPr/>
      </w:pPr>
      <w:r>
        <w:rPr>
          <w:rFonts w:ascii="Times New Roman;sans-serif" w:hAnsi="Times New Roman;sans-serif"/>
          <w:b w:val="false"/>
          <w:color w:val="000000"/>
          <w:sz w:val="20"/>
        </w:rPr>
        <w:t>Applicable state laws generally provide that an automobile manufacturer may not terminate or refuse to renew a dealer agreement unless it has first provided the dealer with written notice setting forth "good cause" and stating the grounds for termination or non-renewal. Many states also limit the circumstances in which an automobile manufacturer may sell vehicles directly to consumers.</w:t>
      </w:r>
      <w:r>
        <w:rPr>
          <w:color w:val="000000"/>
        </w:rPr>
        <w:t xml:space="preserve"> </w:t>
      </w:r>
      <w:r>
        <w:rPr>
          <w:rFonts w:ascii="Times New Roman;sans-serif" w:hAnsi="Times New Roman;sans-serif"/>
          <w:b w:val="false"/>
          <w:color w:val="000000"/>
          <w:sz w:val="20"/>
        </w:rPr>
        <w:t>Some state laws allow dealers to file protests or petitions or allow them to attempt to comply with the manufacturer’s criteria within a notice period to avoid the termination or non-renewal. Our framework agreements with certain manufacturers contain provisions that, among other things, attempt to limit the protections available to dealers under these laws, and, though unsuccessful to date, manufacturers’ ongoing lobbying efforts may lead to the repeal or revision of these laws. If these laws are repealed in the states in which we operate, manufacturers may be able to terminate our franchises without providing advance notice, an opportunity to cure or a showing of good cause. Without the protection of these state laws, it may also be more difficult for us to renew our dealer agreements upon expiration. Changes in laws that provide manufacturers the ability to terminate our dealer agreements could materially adversely affect our business, results of operations, financial condition and cash flows. Furthermore, if a manufacturer seeks protection from creditors in bankruptcy, courts have held that the federal bankruptcy laws may supersede the state laws that protect automotive retailers resulting in either the termination, non-renewal or rejection of franchises by such manufacturers, which, in turn, could materially adversely affect our business, result of operations, financial condition and cash flows.</w:t>
      </w:r>
      <w:r>
        <w:rPr>
          <w:color w:val="000000"/>
        </w:rPr>
        <w:t xml:space="preserve"> </w:t>
      </w:r>
      <w:r>
        <w:rPr>
          <w:rFonts w:ascii="Times New Roman;sans-serif" w:hAnsi="Times New Roman;sans-serif"/>
          <w:b w:val="false"/>
          <w:color w:val="000000"/>
          <w:sz w:val="20"/>
        </w:rPr>
        <w:t>Market disruptors continue to push for legislation permitting direct-to-consumer sales models; if those lobbying efforts are successful, automotive manufacturers could bypass the traditional franchised dealer network, which in turn could materially adversely affect our business, results of operations, financial condition and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New laws, regulations, or governmental policies in response to climate change, including fuel economy and greenhouse gas emission standards, or changes to existing standards, could adversely impact our business, results of operations, financial condition, cash flow, and prospects.</w:t>
      </w:r>
    </w:p>
    <w:p>
      <w:pPr>
        <w:pStyle w:val="TextBody"/>
        <w:spacing w:lineRule="auto" w:line="288" w:before="0" w:after="180"/>
        <w:ind w:left="0" w:right="0" w:firstLine="315"/>
        <w:rPr/>
      </w:pPr>
      <w:r>
        <w:rPr>
          <w:rFonts w:ascii="Times New Roman;sans-serif" w:hAnsi="Times New Roman;sans-serif"/>
          <w:b w:val="false"/>
          <w:color w:val="000000"/>
          <w:sz w:val="20"/>
        </w:rPr>
        <w:t>New laws and regulations designed to address climate change concerns could affect vehicle manufacturers’ ability to produce cost effective vehicles. For example, laws and regulations enacted that directly or indirectly affect vehicle manufacturers (through an increase in the cost of production or their ability to produce satisfactory products) or our business (through an impact on our inventory availability, cost of sales, operations or demand for the</w:t>
      </w:r>
      <w:r>
        <w:rPr>
          <w:color w:val="000000"/>
        </w:rPr>
        <w:t xml:space="preserve"> </w:t>
      </w:r>
      <w:r>
        <w:rPr>
          <w:rFonts w:ascii="Times New Roman;sans-serif" w:hAnsi="Times New Roman;sans-serif"/>
          <w:b w:val="false"/>
          <w:color w:val="000000"/>
          <w:sz w:val="20"/>
        </w:rPr>
        <w:t>products we sell) could materially adversely impact our business, results of operations, financial condition, cash flow, and prospects.</w:t>
      </w:r>
      <w:r>
        <w:rPr>
          <w:color w:val="000000"/>
        </w:rPr>
        <w:t xml:space="preserve"> </w:t>
      </w:r>
      <w:r>
        <w:rPr>
          <w:rFonts w:ascii="Times New Roman;sans-serif" w:hAnsi="Times New Roman;sans-serif"/>
          <w:b w:val="false"/>
          <w:color w:val="000000"/>
          <w:sz w:val="20"/>
        </w:rPr>
        <w:t xml:space="preserve">In addition, vehicle manufacturers are subject to government-mandated fuel economy and greenhouse gas, or GHG, emission standards, which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continue to change and become more stringent over time. Significant increases in fuel economy requirements or new federal or state restrictions on emissions of carbon dioxide that may be imposed on vehicles and automobile fuels could adversely affect demand for vehicles, annual miles driven or the products we sell or lead to changes in automotive technology.</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A failure of any of our information systems or those of our third-party service providers, or a data security breach with regard to personally identifiable information ("PII") about our customers or employees, could have a material adverse effect on our business, results of operations, financial condition and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depend on the efficient operation of our information systems and those of our third-party service providers. We rely on information systems at our dealerships in all aspects of our sales and service efforts, as well in the preparation of our consolidated financial and operating data. All of our dealerships currently operate on a common dealer management system ("DMS"). Our business could be significantly disrupted if (i) the DMS fails to integrate with other third-party information systems, customer relations management tools or other software, or to the extent that any of these systems become unavailable to us or fail to perform as designed for an extended period of time or (ii) our relationship with our DMS provider or any other third-party provider deteriorates. Additionally, any disruption to access and connectivity of our information systems due to natural disasters, power loss or other reasons could disrupt our business operations, impact sales and results of operations, expose us to customer or third-party claims, or result in adverse publicity.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Additionally, in the ordinary course of business, we and our partners receive significant PII about our customers in order to complete the sale or service of a vehicle and related products. We also receive PII from our employees. The regulatory environment surrounding information security and privacy is increasingly demanding, with numerous state and federal regulations, as well as payment card industry and other vendor standards, governing the collection and maintenance of PII from consumers and other individuals. We believe the automotive dealership industry is a particular target of identity thieves, as there are numerous opportunities for a data security breach, including cyber-security breaches, burglary, lost or misplaced data, scams, or misappropriation of data by employees, vendors or unaffiliated third parties. Because of the increasing number and sophistication of cyber-attacks, and despite the security measures we have in place and any additional measures we may implement or adopt in the future, our facilities and systems, and those of our third-party service providers, could be vulnerable to security breaches, computer viruses, lost or misplaced data, programming errors, scams, burglary, human errors, acts of vandalism and/or other events. Alleged or actual data security breaches can increase costs of doing business, negatively affect customer satisfaction and loyalty, expose us to negative publicity, individual claims or consumer class actions, administrative, civil or criminal investigations or actions, and infringe on proprietary information, any of which could have a material adverse effect on our business, financial condition, results of operations or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Our operations are subject to extensive governmental laws and regulations. If we are found to be in purported violation of or subject to liabilities under any of these laws or regulations, or if new laws or regulations are enacted that adversely affect our operations, our business, results of operations, financial condition, cash flows, reputation and prospects could suffer.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automotive retail industry, including our facilities and operations, is subject to a wide range of federal, state, and local laws and regulations, such as those relating to motor vehicle sales, retail installment sales, leasing, finance and insurance, marketing, licensing, consumer protection, consumer privacy, escheatment, anti-money laundering, environmental, vehicle emissions and fuel economy, and health and safety. In addition, with respect to employment practices, we are subject to various laws and regulations, including complex federal, state, and local wage and hour and anti-discrimination laws. The violation of the laws or regulations to which we are subject could result in administrative, civil, or criminal sanctions against us, which may include a cease and desist order against the subject operations or even revocation or suspension of our license to operate the subject business, as well as significant fines and penalties. Violation of certain laws and regulations to which we are subject may also subject us to consumer class action or other lawsuits or governmental investigations and adverse publicity. We currently devote significant resources to comply with applicable federal, state, and local regulation of health, safety, environmental, zoning and land use regulations, and we may need to spend additional time, effort, and money to keep our operations and existing or acquired facilities in compliance therewith.</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there is a risk that our employees could engage in misconduct that violates the laws or regulations to which we are subject. It is not always possible to detect or deter employee misconduct, and the precautions we take to detect and prevent this activity may not be effective in all cases. If any of our employees were to engage in misconduct or were to be accused of such misconduct, our business and reputation could be adversely affected.</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Consumer Financial Protection Bureau ("CFPB") does not have direct regulatory authority over automotive dealers but could implement additional, indirect regulation of automotive dealers, in particular, their sale and marketing of finance and insurance products, through its regulation of automotive finance companies and other financial institutions. In addition, the CFPB possesses supervisory authority with respect to certain non-bank lenders, including automotive finance companies, participating in automotive financing. The Federal Trade Commission ("FTC") may exercise its additional rule-making authority to expand consumer protection regulations relating to the sale, financing and leasing of motor vehicles. In May 2016,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signed a consent order with the FTC to settle allegations that in certain instances our advertisements did not adequately disclose information about used vehicles with open safety recalls. Under the consent order, we did not agree to make any payments or admit wrong-doing, but we did agree to make certain disclosures in marketing materials and at the point of sale and comply with certain record-keeping obligations.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Continued pressure from the CFPB, FTC, and other federal agencies could lead to significant changes in the manner that dealers are compensated for arranging customer financing and vehicle protection products, and while it is difficult to predict how any such changes might impact us, any adverse changes could have a material adverse impact on our finance and insurance business and results of operations. Furthermore, we expect that new laws and regulations, particularly at the federal level, in other areas may be enacted, which could also materially adversely impact our business.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Environmental laws and regulations govern, among other things, discharges into the air and water, storage of petroleum substances and chemicals, the handling and disposal of solid and hazardous wastes, investigation and remediation of contamination. Similar to many of our competitors, we have incurred and expect to continue to incur capital and operating expenditures and other costs to comply with such federal and state statutes. In addition, we may become subject to broad liabilities arising out of contamination at our currently and formerly owned or operated facilities, at locations to which hazardous substances were transported from such facilities, and at such locations related to entities formerly affiliated with us. Liability under these laws and regulations can be imposed on a joint and several basis and without regard to fault. For such potential liabilities, we believe we are entitled to indemnification from other entities. However, we cannot provide assurance that such entities will view their obligations as we do or will be able or willing to satisfy them. We may have indemnity obligations for liabilities relating to contamination at our currently or formerly owned and/or operated facilities as part of the acquisition or divestiture of certain properties in the ordinary course of business. Failure to comply with applicable laws and regulations, or significant additional expenditures required to maintain compliance therewith, could have a material adverse effect on our business, results of operations, financial condition or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 significant judgment against us or the imposition of a significant fine could have a material adverse effect on our business, financial condition and future prospects. We further expect that, from time to time, new laws and regulations, particularly in the environmental area, will be enacted, and compliance with such laws, or penalties for failure to comply, could significantly increase our costs. For example, vehicle manufacturers are subject to government-mandated fuel economy and greenhouse gas emission standards, which continue to change and become more stringent over time. Failure of a manufacturer to develop passenger vehicles and light trucks that meet these and other government standards could subject the manufacturer to substantial penalties, increase the cost of vehicles sold to us, and adversely affect our ability to market and sell vehicles to meet consumer needs and desires, which could have a material adverse effect on our business, results of operations, financial condition or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We are subject to risks related to the provision of employee health care benefits, which could have a material adverse effect on our business, results of operations, financial condition and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use a combination of insurance and self-insurance for health care plans. We record expenses under those plans based on estimates of the costs of expected claims, administrative costs, stop-loss insurance premiums, and expected health care trends. Actual costs under these plans are subject to variability that is dependent upon participant enrollment, demographics and the actual costs of claims made. Negative trends in any of these areas, including negative trends arising as a result of the COVID-19 pandemic, could cause us to incur additional unplanned health care costs, which could adversely impact our business, financial condition, results of operations and cash flows. In addition, if enrollment in our health care plans increases significantly, the additional costs that we will incur may be significant enough to materially affect our business, financial condition, results of operations and cash flows.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We are, and expect to continue to be, subject to legal and administrative proceedings, which, if the outcomes are adverse to us, could have a material adverse effect on our business, results of operations, financial condition, cash flows, reputation and prospects.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involved and expect to continue to be involved in numerous legal proceedings arising out of the conduct of our business, including litigation with customers, employment-related lawsuits, class actions, purported class actions, and actions brought by governmental authorities. We do not believe that the ultimate resolution of any known matters will have a material adverse effect on our business, reputation, financial condition, results of operations, cash flows or prospects. However, the results of these matters cannot be predicted with certainty, and an unfavorable resolution of one or more of these matters could have a material adverse effect on our business, financial condition, results of operations and cash flows.</w:t>
      </w:r>
    </w:p>
    <w:p>
      <w:pPr>
        <w:pStyle w:val="TextBody"/>
        <w:spacing w:before="180" w:after="18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A decline in our credit rating or a general disruption in the credit markets could negatively impact our liquidity and ability to conduct our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 deterioration of our credit rating, or a general disruption in the credit markets, could limit our ability to obtain credit on terms acceptable to us, or at all. In addition, uncertain economic conditions or the re-pricing of certain credit risks may make it more difficult for us to obtain one or more types of funding in the amounts, or at rates considered acceptable to us, at any given time. Our inability to access necessary or desirable funding, or to enter into certain related transactions, at times and at costs deemed appropriate by us, could have a negative impact on our liquidity and our ability to conduct our operations. Any of these developments could also reduce the ability or willingness of the financial institutions that have extended credit commitments to us, or that have entered into hedge or similar transactions with us, to fulfill their obligations to us, which also could have a material adverse effect on our liquidity and our ability to conduct our operations.</w:t>
      </w:r>
    </w:p>
    <w:p>
      <w:pPr>
        <w:pStyle w:val="TextBody"/>
        <w:spacing w:lineRule="auto" w:line="288" w:before="180" w:after="180"/>
        <w:rPr>
          <w:rFonts w:ascii="Times New Roman;sans-serif" w:hAnsi="Times New Roman;sans-serif"/>
          <w:b/>
          <w:i/>
          <w:color w:val="212529"/>
          <w:sz w:val="20"/>
        </w:rPr>
      </w:pPr>
      <w:r>
        <w:rPr>
          <w:rFonts w:ascii="Times New Roman;sans-serif" w:hAnsi="Times New Roman;sans-serif"/>
          <w:b/>
          <w:i/>
          <w:color w:val="212529"/>
          <w:sz w:val="20"/>
        </w:rPr>
        <w:t>We are subject to risks associated with imported product restrictions or limitations, foreign trade and currency valuations.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business involves the sale of vehicles, parts or vehicles composed of parts that are manufactured outside the United States. As a result, our operations are subject to risks of doing business outside of the United States and importing merchandise, including import duties, exchange rates, trade restrictions, work stoppages, natural or man-made disasters, and general political and socio-economic conditions in other countries. The United States or the countries from which our products are imported may, from time to time, impose new quotas, duties, tariffs or other restrictions or limitations, or adjust presently prevailing quotas, duties or tariffs. The imposition of new, or adjustments to prevailing, quotas, duties, tariffs or other restrictions or limitations could have a material adverse effect on our business, financial condition, results of operations and cash flows. Relative weakness of the U.S. dollar against foreign currencies in the future may result in an increase in costs to us and in the retail price of such vehicles or parts, which could discourage consumers from purchasing such vehicles and adversely impact our revenues and profitability.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144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144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0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lease our corporate headquarters, which is located at 2905 Premiere Parkway, NW, Suite 300, Duluth, Georgia 30097. As of December 31, 2021, our operations encompassed 155 franchised dealership locations, seven used car centers, 35 collision repair centers, one used vehicle wholesale business and one auto auction throughout 15 states as follows:</w:t>
      </w:r>
    </w:p>
    <w:tbl>
      <w:tblPr>
        <w:tblW w:w="9308" w:type="dxa"/>
        <w:jc w:val="left"/>
        <w:tblInd w:w="0" w:type="dxa"/>
        <w:tblCellMar>
          <w:top w:w="28" w:type="dxa"/>
          <w:left w:w="28" w:type="dxa"/>
          <w:bottom w:w="28" w:type="dxa"/>
          <w:right w:w="28" w:type="dxa"/>
        </w:tblCellMar>
      </w:tblPr>
      <w:tblGrid>
        <w:gridCol w:w="1664"/>
        <w:gridCol w:w="1465"/>
        <w:gridCol w:w="1475"/>
        <w:gridCol w:w="109"/>
        <w:gridCol w:w="109"/>
        <w:gridCol w:w="109"/>
        <w:gridCol w:w="233"/>
        <w:gridCol w:w="233"/>
        <w:gridCol w:w="221"/>
        <w:gridCol w:w="111"/>
        <w:gridCol w:w="111"/>
        <w:gridCol w:w="111"/>
        <w:gridCol w:w="210"/>
        <w:gridCol w:w="210"/>
        <w:gridCol w:w="226"/>
        <w:gridCol w:w="110"/>
        <w:gridCol w:w="110"/>
        <w:gridCol w:w="110"/>
        <w:gridCol w:w="109"/>
        <w:gridCol w:w="109"/>
        <w:gridCol w:w="109"/>
        <w:gridCol w:w="220"/>
        <w:gridCol w:w="220"/>
        <w:gridCol w:w="221"/>
        <w:gridCol w:w="216"/>
        <w:gridCol w:w="216"/>
        <w:gridCol w:w="216"/>
        <w:gridCol w:w="216"/>
        <w:gridCol w:w="216"/>
        <w:gridCol w:w="313"/>
      </w:tblGrid>
      <w:tr>
        <w:trPr/>
        <w:tc>
          <w:tcPr>
            <w:tcW w:w="1664"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Dealerships</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Collision Repair Centers</w:t>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Dealership Group Brand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Leased</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w:t>
            </w:r>
          </w:p>
        </w:tc>
        <w:tc>
          <w:tcPr>
            <w:tcW w:w="6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Leased</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Automotive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Courtesy Autogroup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Automotive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McDavid Auto 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Greenville Automotive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Hare, Bill Estes &amp; Kahlo Automotive Groups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Dealerships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Shaw, Stevinson &amp; Arapahoe Automotive Groups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Nalley Automotive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 Place Automotive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Plaza Motor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(a)Includes one dealership that leases a new vehicle facility and operates a separate used vehicle facility that is owned.</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(b)Includes one dealership location where we lease the underlying land but own the building facilities on that land.</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(c)Includes two dealership location where we lease the underlying land but own the building facilities on that land.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ind w:left="0" w:right="0" w:hanging="1440"/>
        <w:rPr/>
      </w:pPr>
      <w:r>
        <w:rPr/>
      </w:r>
    </w:p>
    <w:p>
      <w:pPr>
        <w:pStyle w:val="TextBody"/>
        <w:spacing w:before="180" w:after="283"/>
        <w:ind w:left="0" w:right="0" w:hanging="144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ind w:left="0" w:right="0" w:hanging="1440"/>
        <w:rPr/>
      </w:pPr>
      <w:r>
        <w:rPr/>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dealerships are involved and will continue to be involved in various claims relating to, and arising out of, our business and our operations. These claims may involve, but are not limited to, financial and other audits by vehicle manufacturers or lenders, and certain federal, state, and local government authorities, which relate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can relate to, but are not limited to, the practice of charging administrative fees, employment-related matters, truth-in-lending practices, contractual disputes, actions brought by governmental authorities, and other matters. We evaluate pending and threatened claims and establish loss contingency reserves based upon outcomes we currently believe to be probable and reasonably estimable. We do not believe that the ultimate resolution of the claims we are involved in will have a material adverse effect on our business, results of operations, financial condition, cash flow and prospects.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New York Stock Exchange (the "NYSE") under the symbol "ABG."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paid any dividends since 2008. On February 28, 2022, the last reported sale price of our common stock on the NYSE was $194.11 per share, and there were approximately 503 record holders of our common stock.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credit agreement with Bank of America, N.A. ("Bank of America"), as administrative agent, and the other agents and lenders party thereto (the "2019 Senior Credit Facility") and the Indentures governing the Senior Notes (as defined below) (collectively, the "Indentures") currently allow for us to make certain restricted payments, including payments to repurchase shares of our common stock, among other things, subject to our continued compliance with certain covenants. For additional information, see the "Covenants and Defaults" section within "Liquidity and Capital Resources."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January 30, 2014, our Board of Directors authorized our current share repurchase program (the "Repurchase Program"). On February 14, 2022, our Board of Directors increased the Company's common stock share repurchase authorization by $100.0 million, to $200.0 million for the repurchase of our common stock in open market transactions or privately negotiated transactions or in other manners as permitted by federal security laws and other legal and contractual requirements.</w:t>
      </w:r>
    </w:p>
    <w:p>
      <w:pPr>
        <w:pStyle w:val="TextBody"/>
        <w:spacing w:lineRule="auto" w:line="288" w:before="180" w:after="283"/>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Share repurchases would be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pStyle w:val="TextBody"/>
        <w:spacing w:lineRule="auto" w:line="288" w:before="180" w:after="283"/>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did not repurchase any shares of our common stock under the Repurchase Program. We did repurchase 65,937 shares of our common stock for $10.4 million from employees in connection with a net share settlement feature of employee equity-based awards. As of December 31, 2021, we had remaining authorization to repurchase up to an additional $100.0 million of our common stock. Any repurchases will be subject to applicable limitations in our debt or other financing agreements that may be in existence from time to time.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graph furnished by us shows the value as of December 31, 2021, of a $100 investment in our common stock made on December 31, 2016, as compared with similar investments based on (i) the value of the S&amp;P 500 Index (with dividends reinvested) and (ii) the value of a market-weighted Peer Group Index composed of the common stock of AutoNation, Inc.; Sonic Automotive, Inc.; Group 1 Automotive, Inc.; Penske Automotive Group, Inc.; and Lithia Motors, Inc., in each case on a "total return" basis assuming the reinvestment of any dividends. The market-weighted Peer Group Index values were calculated from the beginning of the performance period. The historical stock performance shown below is not necessarily indicative of future expected performance.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forgoing graph is not, and shall not be deemed to be, filed as part of our annual report on Form 10-K. Such graph is not, and will not be deemed, filed or incorporated by reference into any filing by us under the Securities Act of 1933 or the Securities Exchange Act of 1934, except to the extent specifically incorporated by reference therein by us.</w:t>
      </w:r>
    </w:p>
    <w:p>
      <w:pPr>
        <w:pStyle w:val="TextBody"/>
        <w:spacing w:before="180" w:after="283"/>
        <w:rPr/>
      </w:pPr>
      <w:r>
        <w:rPr/>
        <w:drawing>
          <wp:inline distT="0" distB="63500" distL="0" distR="0">
            <wp:extent cx="6515100" cy="3514725"/>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6515100" cy="351472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144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0" w:after="0"/>
        <w:ind w:left="0" w:right="0" w:hanging="14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and Part I, Item 1A. Risk Factors for a discussion of these risks and uncertainties. The discussion of our financial condition and results of operations for the year ended December 31, 2019 is included in Item 7. Management's Discussion and Analysis of Financial Condition and Results of Operations in our Annual Report on Form 10-K for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one of the largest automotive retailers in the United States. As of December 31, 2021, through our Dealerships segment, we owned and operated 205 new vehicle franchises (155 dealership locations), representing 31 brands of automobiles, 35 collision centers, seven stand-alone used vehicle dealerships, one used vehicle wholesale business and one auto auction, within 15 states. Our stores offer an extensive range of automotive products and services, including new and used vehicles; parts and service, which include repair and maintenance services, replacement parts, and collision repair service; and finance and insurance products. The finance and insurance products are provided by independent third parties and our recently acquired F&amp;I product provider, TCA. The F&amp;I products offered by TCA are primarily sold through LHM Dealerships. For the year ended December 31, 2021, our new vehicle revenue brand mix consisted of 39% imports, 44% luxury, and 17% domestic brands. As a result of the LHM Acquisition on December 17, 2021, as outlined below, the Company now reflects its operations in two reportable segments: Dealerships and TCA.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Dealerships segment revenues are derived primarily from: (i) the sale of new vehicles; (ii) the sale of used vehicles to individual retail customers ("used retail") and to other dealers at auction ("wholesale") (the terms "used retail" and "wholesale" collectively referred to as "used"); (iii) repair and maintenance services, including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F&amp;I revenue recorded by the Dealerships segment related to TCA products is eliminated upon consolidation. We evaluate the results of our new and used vehicle sales based on unit volumes and gross profit per vehicle sold, our parts and service operations based on aggregate gross profit, and our F&amp;I business based on F&amp;I gross profit per vehicle sold.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dealerships gross profit margin varies with our revenue mix. Historically, the sales of new vehicles generally results in a lower gross profit margin than used vehicle sales, sales of parts and service, and sales of F&amp;I products. As a result, when used vehicle, parts and service, and F&amp;I revenue increase as a percentage of total revenue, we expect our overall gross profit margin to increase.</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TCA segment revenues, reflected in F&amp;I Revenues, are derived from the sale of various vehicle protection products including vehicle service contracts, guaranteed asset protection insurance, prepaid maintenance contracts, vehicle theft assistance contracts and appearance protection contracts. These products are sold primarily through LHM Dealerships. TCA's F&amp;I Revenues are supplemented with investment gains or losses and income earned associated with the performance of TCA's investment portfolio.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TCA segment gross profit margin can vary due to incurred claims expense and the amortization of deferred acquisition costs expensed over the life of a customer contract. Certain F&amp;I products may result in higher TCA gross profit margins. Therefore, the product mix of F&amp;I products sold by TCA can affect the gross profits earned. In addition, interest rate volatility based on economic and market conditions outside the control of the Company, may increase or reduce TCA segment gross profit margins as well as the fair market values of certain securities within our investment portfolio. Fair market values typically fluctuate inversely to the fluctuations in interest rates.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("SG&amp;A") expenses consist primarily of fixed and incentive-based compensation, advertising, rent, insurance, utilities, and other customary operating expenses. A significant portion of our cost structure is variable (such as sales commissions) or controllable (such as advertising), which we believe allows us to adapt to changes in the retail environment over the long-term. We evaluate commissions paid to salespeople as a percentage of retail vehicle gross profit, advertising expense on a per vehicle retailed ("PVR") basis, and all other SG&amp;A expenses in the aggregate as a percentage of total gross profit. Commissions expense paid by TCA to our affiliated dealerships and reflected as F&amp;I Revenue in our Dealerships segment is eliminated upon consolidation.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sell certain new and used vehicles can be negatively impacted by a number of factors, some of which are outside of our control. Manufacturers continue to be hampered by the lack of availability of parts and key components from suppliers such as semi-conductor chips, which has disrupted production and impacted new vehicle inventory levels. In addition, as a result of the COVID-19 global pandemic, certain vehicle manufacturers have needed to slow or temporarily halt assembly lines for the safety of their workers. We cannot predict with any certainty how long the automotive retail industry will continue to be subject to these production slowdowns or when normalized production will resume at these manufacturers. We continue to monitor and respond as necessary to the Company’s operational needs during the ongoing outbreak of the COVID-19 global pandemic and the resulting economic uncertainty.</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 xml:space="preserve">Larry H. Miller Acquisition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September 28, 2021, Asbury Automotive Group, LLC (“Purchaser”), a Delaware limited liability company and a wholly-owned subsidiary of the Company, entered into (i) a Purchase Agreement (the “Equity Purchase Agreement”) with certain members of the Larry H. Miller Dealership family of entities; (ii) a Real Estate Purchase and Sale Agreement (the “Real Estate Purchase Agreement”) with Miller Family Real Estate, L.L.C. and (iii) a Purchase Agreement (the “TCA Purchase Agreement” and together with the Equity Purchase Agreement and the Real Estate Purchase Agreement, the “Transaction Agreements”) with certain equity owners of the Total Care Auto, Powered by Landcar (“TCA”) business affiliated with the Larry H. Miller Dealership family of entities. Pursuant to the Transaction Agreements, we agreed to acquire the equity interests of, and the real property related to (collectively, the “Transactions”), the businesses of the Larry H. Miller Dealerships ("LHM") and TCA (collectively, the “Businesses”), each described in the Equity Purchase Agreement, the Real Estate Purchase Agreement and the TCA Purchase Agreement, for an aggregate purchase price of approximately $3.48 billion, comprising approximately $2.51 billion of goodwill and franchise rights intangible assets, $792.6 million of property and equipment, and $285.0 million in inventories less $105.6 million of liabilities assumed, net of other assets acquired.</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17, 2021, the Company completed the acquisition of the Businesses, thereby acquiring 54 new vehicle dealerships, seven used cars dealerships, 11 collision centers, a used vehicle wholesale business, the real property related thereto, and the entities comprising the TCA business for a total purchase price of $3.48 billion. The real property was acquired in escrow, to be released, together with the related portion of the purchase price, subject to the satisfaction of certain title related conditions. The purchase price was financed through a combination of cash, proceeds from the issuance of common stock and borrowings including the issuance of the 2029 Senior Notes and 2032 Senior Notes, the drawdown on the 2021 Real Estate Facility and the 2019 Senior Credit Facility and other floor plan borrowings.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Park Place Acquisition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11, 2019, the Company entered into (1) an Asset Purchase Agreement (the "2019 Asset Purchase Agreement") with certain members of the Park Place Dealership family of entities, Park Place Mid-Cities, Ltd., a Texas limited partnership, and the identified principal (collectively, "Park Place") and (2) a Real Estate Purchase Agreement (the "Real Estate Purchase Agreement" and, together with the 2019 Asset Purchase Agreement, the "2019 Park Place Agreements") with certain members of the Park Place Dealership family of entities to acquire substantially all of the assets of, and certain real property related to, the Park Place business. The 2019 Asset Purchase Agreement included the purchase of 19 franchises (3 Mercedes-Benz, 3 Sprinter, 2 Lexus, 2 Jaguar, 2 Land Rover, 1 Porsche, and 1 Volvo and 5 ultra luxury brands including 1 Bentley, 1 Rolls Royce, 1 McLaren, 1 Maserati and 1 Karma), two collision centers and an auto auction. On March 24, 2020, Asbury delivered notice to the sellers terminating the 2019 Park Place Agreements pursuant to the terms thereof in exchange for the payment of $10.0 million of liquidated damages. Please refer to Liquidity and Capital Resources for additional details regarding the impact on financing transactions.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Company's efforts to mitigate the financial impact of the COVID-19 global pandemic, along with a strong May and June 2020 performance, the Company reengaged on the Park Place Dealership group acquisition under more favorable pricing and more flexible financing terms, including limiting the purchase of luxury dealership franchises to those most aligned with the Company's core strategic business. On July 6, 2020, the Company entered into an Asset Purchase Agreement (the "Revised Asset Purchase Agreement") with Park Place to acquire substantially all of the assets of, and lease the real property related to, 12 new vehicle dealership franchises (3 Mercedes-Benz, 3 Sprinter, 2 Lexus, 1 Jaguar, 1 Land Rover, 1 Porsche, and 1 Volvo), two collision centers and an auto auction comprising the Park Place Dealership group (collectively, the "Park Place acquisition") for a purchase price of $889.9 million. The Park Place acquisition was completed on August 24, 2020. The purchase price was financed through a combination of cash, floor plan facilities and seller financing. In September 2020, the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Company redeemed the amounts outstanding related to the seller financing. Certain of the leased real property was subsequently acquired in May 2021 for $217.1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SIGNIFICANT ESTIMATES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Preparation of financial statements in conformity with accounting principles generally accepted in the United States of America, requires management to make estimates and assumptions, that affect the amounts of assets and liabilities and disclosures of contingent assets and liabilities, as of the date of the financial statements, and reported amounts of revenues and expenses during the periods presented. On an ongoing basis, management evaluates their estimates and assumptions and the effects of any such revisions are reflected in the financial statements, in the period in which they are determined to be necessary. Actual outcomes could differ materially from those estimates in a manner that could have a material effect on our Consolidated Financial Statements. Set forth below are the policies and estimates that we have identified as critical to our business operations and understanding our results of operations, based on the high degree of judgment or complexity in their application.</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Goodwill and Manufacturer Franchise Rights—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cost of an acquired business over the fair market value of its identifiable assets and liabilities. We have determined, based on how we integrate acquisitions into our business, how the components of our business share resources and interact with one another, and how we review the results of our operations, that we have several geographic market-based operating segments. We have determined the dealerships in each of our operating segments are components that are aggregated into several geographic market-based reporting units for the purpose of testing goodwill for impairment, as they (i) have similar economic characteristics, (ii) offer similar products and services (all of our franchised dealerships offer new and used vehicles, parts and service, and arrange for third-party vehicle financing and the sale of insurance products), (iii) have similar customers, (iv) have similar distribution and marketing practices (all of our dealerships distribute products and services through dealership facilities that market to customers in similar ways) and (v) operate under similar regulatory environments.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only other significant identifiable intangible assets are our rights under franchise agreements with manufacturers, which are recorded at an individual franchise level. The fair value of our manufacturer franchise rights are determined at the acquisition date, by discounting the projected cash flows specific to each franchise. We have determined that manufacturer franchise rights have an indefinite life as there are no economic, contractual or other factors that limit their useful lives, and they are expected to generate cash flows indefinitely due to the historically long lives of the manufacturers' brand names. Furthermore, to the extent that any agreements evidencing our manufacturer franchise rights would expire, we expect that we would be able to renew those agreements in the ordinary course of business. As a result of the COVID-19 pandemic, we performed quantitative impairment tests as of March 31, 2020, and identified eleven dealerships with franchise rights carrying values that exceeded their fair values, and as a result, recorded non-cash impairment charges of $23.0 million. No franchise right impairments were identified in 2021.</w:t>
      </w:r>
    </w:p>
    <w:p>
      <w:pPr>
        <w:pStyle w:val="TextBody"/>
        <w:spacing w:lineRule="auto" w:line="288" w:before="180" w:after="180"/>
        <w:ind w:left="0" w:right="0" w:firstLine="315"/>
        <w:rPr/>
      </w:pPr>
      <w:r>
        <w:rPr>
          <w:rFonts w:ascii="Times New Roman;sans-serif" w:hAnsi="Times New Roman;sans-serif"/>
          <w:b w:val="false"/>
          <w:color w:val="000000"/>
          <w:sz w:val="20"/>
        </w:rPr>
        <w:t>We do not amortize goodwill and other intangible assets that are deemed to have indefinite lives. We review goodwill and manufacturer franchise rights for impairment annually as of October 1</w:t>
      </w:r>
      <w:r>
        <w:rPr>
          <w:rFonts w:ascii="Times New Roman;sans-serif" w:hAnsi="Times New Roman;sans-serif"/>
          <w:b w:val="false"/>
          <w:color w:val="000000"/>
          <w:sz w:val="13"/>
        </w:rPr>
        <w:t>st</w:t>
      </w:r>
      <w:r>
        <w:rPr>
          <w:rFonts w:ascii="Times New Roman;sans-serif" w:hAnsi="Times New Roman;sans-serif"/>
          <w:b w:val="false"/>
          <w:color w:val="000000"/>
          <w:sz w:val="20"/>
        </w:rPr>
        <w:t>, or more often if events or circumstances indicate that any impairment may have occurred. We are subject to financial statement risk to the extent that goodwill becomes impaired due to decreases in the fair value of our automotive retail business or manufacturer franchise rights become impaired due to decreases in the fair value of our individual franchises.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F&amp;I Chargeback Reserves—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commissions from third-party lending and insurance institutions for arranging customer financing and from the sale of vehicle service contracts, GAP insurance, and other vehicle protection products. F&amp;I commissions are recorded at the time the associated vehicle is sold.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charged back for F&amp;I commissions in the event a contract is prepaid, defaulted upon, or terminated ("chargebacks"). F&amp;I commissions, net of estimated future chargebacks, are included in Revenues - Finance and Insurance, net in the accompanying Consolidated Statements of Income. We reserve for chargebacks on finance and vehicle service and other protection product contract commissions received. The reserve is established based on historical operating results and the termination provisions of the applicable contracts and is evaluated on a product-by-product basis.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Our F&amp;I cash chargebacks for the years ended December 31, 2021, 2020, and 2019 were $45.5 million, $38.0 million, and $40.6 million, respectively. Our chargeback reserves were $50.4 million and $47.3 million as of December 31, 2021 and 2020, respectively. Total chargebacks as a percentage of F&amp;I commissions for the years ended December 31, 2021, 2020, and 2019, were 11%, 12%, and 13%, respectively. A 100 basis point change in our estimated reserve rate for future chargebacks, would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change our finance and insurance chargeback reserve by approximately $4.2 million as of December 31, 2021. Chargeback reserves estimated for products underwritten by TCA are eliminated in consolidation.</w:t>
      </w:r>
    </w:p>
    <w:p>
      <w:pPr>
        <w:pStyle w:val="TextBody"/>
        <w:spacing w:before="100" w:after="283"/>
        <w:ind w:left="0" w:right="0" w:firstLine="31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spacing w:lineRule="auto" w:line="288" w:before="100" w:after="283"/>
        <w:rPr/>
      </w:pPr>
      <w:r>
        <w:rPr>
          <w:rFonts w:ascii="Times New Roman;sans-serif" w:hAnsi="Times New Roman;sans-serif"/>
          <w:b/>
          <w:color w:val="000000"/>
          <w:sz w:val="20"/>
        </w:rPr>
        <w:t>The Year Ended December 31, 2021 Compared to the Year Ended December 31, 2020</w:t>
      </w:r>
      <w:r>
        <w:rPr>
          <w:color w:val="000000"/>
        </w:rPr>
        <w:t> </w:t>
      </w:r>
    </w:p>
    <w:tbl>
      <w:tblPr>
        <w:tblW w:w="9307" w:type="dxa"/>
        <w:jc w:val="left"/>
        <w:tblInd w:w="0" w:type="dxa"/>
        <w:tblCellMar>
          <w:top w:w="28" w:type="dxa"/>
          <w:left w:w="28" w:type="dxa"/>
          <w:bottom w:w="28" w:type="dxa"/>
          <w:right w:w="28" w:type="dxa"/>
        </w:tblCellMar>
      </w:tblPr>
      <w:tblGrid>
        <w:gridCol w:w="1404"/>
        <w:gridCol w:w="1229"/>
        <w:gridCol w:w="1237"/>
        <w:gridCol w:w="229"/>
        <w:gridCol w:w="832"/>
        <w:gridCol w:w="118"/>
        <w:gridCol w:w="118"/>
        <w:gridCol w:w="118"/>
        <w:gridCol w:w="118"/>
        <w:gridCol w:w="229"/>
        <w:gridCol w:w="832"/>
        <w:gridCol w:w="118"/>
        <w:gridCol w:w="109"/>
        <w:gridCol w:w="109"/>
        <w:gridCol w:w="109"/>
        <w:gridCol w:w="211"/>
        <w:gridCol w:w="766"/>
        <w:gridCol w:w="109"/>
        <w:gridCol w:w="109"/>
        <w:gridCol w:w="109"/>
        <w:gridCol w:w="109"/>
        <w:gridCol w:w="268"/>
        <w:gridCol w:w="272"/>
        <w:gridCol w:w="445"/>
      </w:tblGrid>
      <w:tr>
        <w:trPr/>
        <w:tc>
          <w:tcPr>
            <w:tcW w:w="1404"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8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3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per share data)</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 impairment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long-term debt, net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share—Diluted</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8152" w:type="dxa"/>
        <w:jc w:val="center"/>
        <w:tblInd w:w="0" w:type="dxa"/>
        <w:tblCellMar>
          <w:top w:w="28" w:type="dxa"/>
          <w:left w:w="28" w:type="dxa"/>
          <w:bottom w:w="28" w:type="dxa"/>
          <w:right w:w="28" w:type="dxa"/>
        </w:tblCellMar>
      </w:tblPr>
      <w:tblGrid>
        <w:gridCol w:w="1830"/>
        <w:gridCol w:w="1609"/>
        <w:gridCol w:w="1615"/>
        <w:gridCol w:w="307"/>
        <w:gridCol w:w="309"/>
        <w:gridCol w:w="554"/>
        <w:gridCol w:w="222"/>
        <w:gridCol w:w="222"/>
        <w:gridCol w:w="222"/>
        <w:gridCol w:w="307"/>
        <w:gridCol w:w="309"/>
        <w:gridCol w:w="646"/>
      </w:tblGrid>
      <w:tr>
        <w:trPr/>
        <w:tc>
          <w:tcPr>
            <w:tcW w:w="1830"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MIX PERCENTAGES: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MIX PERCENTAGES:</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55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Total revenue during 2021 increased by $2.71 billion (38%) compared to 2020, due to a $1.17 billion (31%) increase in new vehicle revenue, a $1.15 billion (53%) increase in used vehicle revenue, a $293.1 million (33%) increase in parts and service revenue and a $100.0 million (33%) increase in F&amp;I revenue. The $678.8 million (55%) increase in gross profit during 2021 was the result of a $272.0 million (124%) increase in new vehicle gross profit, a $131.7 million (84%) increase in used vehicle gross profit, a $178.7 million (33%) increase in parts and service gross profit and a $96.4 million (32%) increase in F&amp;I gross profit. Our total gross profit margin increased 210 basis points from 17.2% in 2020 to 19.3% in 2021.</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Income from operations during 2021 increased by $421.0 million (114%) compared to 2020, primarily due to a $678.8 million (55%) increase in gross profit, a $23.0 million decrease in franchise rights impairment, a $14.6 million decrease in other operating expenses, net, partially offset by a $292.0 million (37%) increase in selling, general, and administrative expenses and a $3.4 million (9%) increase in depreciation and amortization expenses.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Total other expenses, net increased by $61.4 million (188%) in 2021, primarily due to a $54.3 million decrease in gain on dealership divestitures, a $37.2 million increase in other interest expense, net, partially offset by a $9.5 million decrease in floor plan interest expense and a $20.6 million decrease in loss on extinguishment of debt. As a result, income before income taxes increased by $359.6 million (106%) to $697.7 million in 2021. The $81.6 million (97%) increase in income tax expense was primarily attributable to the 106% increase in income before taxes, partially offset by a 110 basis point decrease in the 2021 effective tax rate. Overall, net income increased by $278.0 million (109%) from $254.4 million in 2020 to $532.4 million in 2021.</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month we owned the dealership. Additionally, amounts related to divested dealerships are excluded from each comparative period.</w:t>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DEALERSHIP SEGMENT</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New Vehicle—</w:t>
      </w:r>
    </w:p>
    <w:tbl>
      <w:tblPr>
        <w:tblW w:w="7897" w:type="dxa"/>
        <w:jc w:val="left"/>
        <w:tblInd w:w="0" w:type="dxa"/>
        <w:tblCellMar>
          <w:top w:w="28" w:type="dxa"/>
          <w:left w:w="28" w:type="dxa"/>
          <w:bottom w:w="28" w:type="dxa"/>
          <w:right w:w="28" w:type="dxa"/>
        </w:tblCellMar>
      </w:tblPr>
      <w:tblGrid>
        <w:gridCol w:w="916"/>
        <w:gridCol w:w="807"/>
        <w:gridCol w:w="811"/>
        <w:gridCol w:w="229"/>
        <w:gridCol w:w="832"/>
        <w:gridCol w:w="118"/>
        <w:gridCol w:w="118"/>
        <w:gridCol w:w="118"/>
        <w:gridCol w:w="118"/>
        <w:gridCol w:w="229"/>
        <w:gridCol w:w="832"/>
        <w:gridCol w:w="118"/>
        <w:gridCol w:w="109"/>
        <w:gridCol w:w="109"/>
        <w:gridCol w:w="109"/>
        <w:gridCol w:w="211"/>
        <w:gridCol w:w="766"/>
        <w:gridCol w:w="109"/>
        <w:gridCol w:w="109"/>
        <w:gridCol w:w="109"/>
        <w:gridCol w:w="109"/>
        <w:gridCol w:w="232"/>
        <w:gridCol w:w="234"/>
        <w:gridCol w:w="445"/>
      </w:tblGrid>
      <w:tr>
        <w:trPr/>
        <w:tc>
          <w:tcPr>
            <w:tcW w:w="91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6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New Vehicle Metrics—</w:t>
      </w:r>
    </w:p>
    <w:tbl>
      <w:tblPr>
        <w:tblW w:w="8170" w:type="dxa"/>
        <w:jc w:val="left"/>
        <w:tblInd w:w="0" w:type="dxa"/>
        <w:tblCellMar>
          <w:top w:w="28" w:type="dxa"/>
          <w:left w:w="28" w:type="dxa"/>
          <w:bottom w:w="28" w:type="dxa"/>
          <w:right w:w="28" w:type="dxa"/>
        </w:tblCellMar>
      </w:tblPr>
      <w:tblGrid>
        <w:gridCol w:w="1003"/>
        <w:gridCol w:w="883"/>
        <w:gridCol w:w="888"/>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32"/>
        <w:gridCol w:w="234"/>
        <w:gridCol w:w="445"/>
      </w:tblGrid>
      <w:tr>
        <w:trPr/>
        <w:tc>
          <w:tcPr>
            <w:tcW w:w="100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1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New vehicle revenue increased by $1.17 billion (31%), as a result of a 15% increase in new vehicle unit sales and a 13% increase in revenue per new vehicle sold. Same store new vehicle revenue increased by $496.3 million (13%) as a result of a 4% increase in new vehicle units sold and a 9% increase in revenue per new vehicle sold.</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Same store new vehicle gross profit in 2021 increased by $190.6 million (89%), as a result of a 82% increase in gross profit per new vehicle sold and a 4% increase in unit volumes. Same store new vehicle gross margin increased 390 basis points to 9.7% in 2021, primarily as a result of a supply shortage for much of 2021 caused by manufacturer production challenges caused by the semi-conductor shortage and the COVID-19 pandemic. We finished 2021 with a eight day supply of new vehicle inventory which is below our targeted days supply primarily as a result of these manufacturer production challenges.</w:t>
      </w:r>
    </w:p>
    <w:p>
      <w:pPr>
        <w:pStyle w:val="TextBody"/>
        <w:spacing w:before="180" w:after="283"/>
        <w:ind w:left="0" w:right="0" w:firstLine="315"/>
        <w:rPr/>
      </w:pPr>
      <w:r>
        <w:rPr/>
      </w:r>
    </w:p>
    <w:p>
      <w:pPr>
        <w:pStyle w:val="TextBody"/>
        <w:spacing w:before="180" w:after="283"/>
        <w:ind w:left="0" w:right="0" w:firstLine="315"/>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pPr>
      <w:r>
        <w:rPr>
          <w:rFonts w:ascii="Times New Roman;sans-serif" w:hAnsi="Times New Roman;sans-serif"/>
          <w:b w:val="false"/>
          <w:i/>
          <w:color w:val="000000"/>
          <w:sz w:val="20"/>
        </w:rPr>
        <w:t>Used Vehicle—</w:t>
      </w:r>
      <w:r>
        <w:rPr>
          <w:color w:val="000000"/>
        </w:rPr>
        <w:t> </w:t>
      </w:r>
    </w:p>
    <w:tbl>
      <w:tblPr>
        <w:tblW w:w="8348" w:type="dxa"/>
        <w:jc w:val="left"/>
        <w:tblInd w:w="0" w:type="dxa"/>
        <w:tblCellMar>
          <w:top w:w="28" w:type="dxa"/>
          <w:left w:w="28" w:type="dxa"/>
          <w:bottom w:w="28" w:type="dxa"/>
          <w:right w:w="28" w:type="dxa"/>
        </w:tblCellMar>
      </w:tblPr>
      <w:tblGrid>
        <w:gridCol w:w="1079"/>
        <w:gridCol w:w="950"/>
        <w:gridCol w:w="956"/>
        <w:gridCol w:w="229"/>
        <w:gridCol w:w="832"/>
        <w:gridCol w:w="118"/>
        <w:gridCol w:w="118"/>
        <w:gridCol w:w="118"/>
        <w:gridCol w:w="118"/>
        <w:gridCol w:w="229"/>
        <w:gridCol w:w="832"/>
        <w:gridCol w:w="118"/>
        <w:gridCol w:w="109"/>
        <w:gridCol w:w="109"/>
        <w:gridCol w:w="109"/>
        <w:gridCol w:w="211"/>
        <w:gridCol w:w="766"/>
        <w:gridCol w:w="109"/>
        <w:gridCol w:w="109"/>
        <w:gridCol w:w="109"/>
        <w:gridCol w:w="109"/>
        <w:gridCol w:w="232"/>
        <w:gridCol w:w="234"/>
        <w:gridCol w:w="445"/>
      </w:tblGrid>
      <w:tr>
        <w:trPr/>
        <w:tc>
          <w:tcPr>
            <w:tcW w:w="1079"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6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revenues</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revenues</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100" w:after="283"/>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Used Vehicle Metrics—</w:t>
      </w:r>
    </w:p>
    <w:tbl>
      <w:tblPr>
        <w:tblW w:w="8380" w:type="dxa"/>
        <w:jc w:val="left"/>
        <w:tblInd w:w="0" w:type="dxa"/>
        <w:tblCellMar>
          <w:top w:w="28" w:type="dxa"/>
          <w:left w:w="28" w:type="dxa"/>
          <w:bottom w:w="28" w:type="dxa"/>
          <w:right w:w="28" w:type="dxa"/>
        </w:tblCellMar>
      </w:tblPr>
      <w:tblGrid>
        <w:gridCol w:w="1117"/>
        <w:gridCol w:w="983"/>
        <w:gridCol w:w="98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180"/>
        <w:gridCol w:w="181"/>
        <w:gridCol w:w="445"/>
      </w:tblGrid>
      <w:tr>
        <w:trPr/>
        <w:tc>
          <w:tcPr>
            <w:tcW w:w="111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Used vehicle revenue increased by $1.15 billion (53%), due to a $1.13 billion (58%) increase in used retail revenue and a $20.2 million (8%) increase in used vehicle wholesale revenue. Same store used vehicle revenue increased by $689.7 million (33%) due to an $749.8 million (40%) increase in used vehicle retail revenue, partially offset by a $60.1 million (26%) decrease in used vehicle wholesale revenues.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2021, total Company and same store used vehicle retail gross profit margins both increased 110 and 100 basis points, respectively, to 8.6%. We primarily attribute the increases in used vehicle retail gross profit margin to increased demand for used vehicles as a result of new vehicle inventory shortages caused by semiconductor supply chain and COVID-19 disruptions.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believe that our used vehicle inventory continues to be well-aligned with current consumer demand, with approximately 34 days of supply as of December 31, 2021.</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Parts and Service—</w:t>
      </w:r>
    </w:p>
    <w:tbl>
      <w:tblPr>
        <w:tblW w:w="10205" w:type="dxa"/>
        <w:jc w:val="left"/>
        <w:tblInd w:w="0" w:type="dxa"/>
        <w:tblCellMar>
          <w:top w:w="28" w:type="dxa"/>
          <w:left w:w="28" w:type="dxa"/>
          <w:bottom w:w="28" w:type="dxa"/>
          <w:right w:w="28" w:type="dxa"/>
        </w:tblCellMar>
      </w:tblPr>
      <w:tblGrid>
        <w:gridCol w:w="1852"/>
        <w:gridCol w:w="1513"/>
        <w:gridCol w:w="1519"/>
        <w:gridCol w:w="213"/>
        <w:gridCol w:w="775"/>
        <w:gridCol w:w="274"/>
        <w:gridCol w:w="109"/>
        <w:gridCol w:w="109"/>
        <w:gridCol w:w="109"/>
        <w:gridCol w:w="213"/>
        <w:gridCol w:w="622"/>
        <w:gridCol w:w="274"/>
        <w:gridCol w:w="109"/>
        <w:gridCol w:w="109"/>
        <w:gridCol w:w="109"/>
        <w:gridCol w:w="211"/>
        <w:gridCol w:w="616"/>
        <w:gridCol w:w="271"/>
        <w:gridCol w:w="109"/>
        <w:gridCol w:w="109"/>
        <w:gridCol w:w="109"/>
        <w:gridCol w:w="208"/>
        <w:gridCol w:w="211"/>
        <w:gridCol w:w="452"/>
      </w:tblGrid>
      <w:tr>
        <w:trPr/>
        <w:tc>
          <w:tcPr>
            <w:tcW w:w="1852"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r>
      <w:tr>
        <w:trPr/>
        <w:tc>
          <w:tcPr>
            <w:tcW w:w="4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4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7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4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1,184.3 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98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98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Reconditioning and preparation represents the gross profit earned by our parts and service departments for internal work performed and is included as a reduction of Parts and service cost of sales within the accompanying Consolidated Statements of Income upon the sale of the vehicle.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$294.5 million (33%) increase in parts and service revenue was due to a $218.7 million (37%) increase in customer pay revenue, a $65.8 million (54%) increase in wholesale parts revenue, and a $10.0 million (6%) increase in warranty revenue. Same store parts and service revenue increased $126.7 million (15%) from $867.8 million in 2020 to $994.5 million in 2021. The increase in same store parts and service revenue was due to a $103.7 million (18%) increase in customer pay revenue and a $41.7 million (35%) increase in wholesale parts revenue, partially offset by a $18.7 million (11%) decrease in warranty revenue.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 increased by $141.1 million (33%) to $566.6 million and same store gross profit, excluding reconditioning and preparation, increased by $55.1 million (13%) to $470.1 million. The $55.1 million increase in same store gross profit, excluding reconditioning and preparation, is primarily due to a $59.8 million (20%) increase in customer pay gross profit, and a $7.1 million (33%) increase in wholesale parts gross profit, partially offset by an $11.8 million (13%) decrease in warranty gross profit. The parts and service business was negatively impacted by the COVID-19 pandemic in 2020 but has since recovered to pre-pandemic levels. In addition, the shortage of new vehicle inventory has increased demand for used vehicles which in turn has generated addition reconditioning and preparation gross profit for the parts and service departments.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Finance and Insurance, net—</w:t>
      </w:r>
      <w:r>
        <w:rPr>
          <w:color w:val="000000"/>
        </w:rPr>
        <w:t> </w:t>
      </w:r>
    </w:p>
    <w:tbl>
      <w:tblPr>
        <w:tblW w:w="8683" w:type="dxa"/>
        <w:jc w:val="center"/>
        <w:tblInd w:w="0" w:type="dxa"/>
        <w:tblCellMar>
          <w:top w:w="28" w:type="dxa"/>
          <w:left w:w="28" w:type="dxa"/>
          <w:bottom w:w="28" w:type="dxa"/>
          <w:right w:w="28" w:type="dxa"/>
        </w:tblCellMar>
      </w:tblPr>
      <w:tblGrid>
        <w:gridCol w:w="1306"/>
        <w:gridCol w:w="1151"/>
        <w:gridCol w:w="1157"/>
        <w:gridCol w:w="260"/>
        <w:gridCol w:w="760"/>
        <w:gridCol w:w="134"/>
        <w:gridCol w:w="134"/>
        <w:gridCol w:w="134"/>
        <w:gridCol w:w="134"/>
        <w:gridCol w:w="260"/>
        <w:gridCol w:w="760"/>
        <w:gridCol w:w="134"/>
        <w:gridCol w:w="109"/>
        <w:gridCol w:w="109"/>
        <w:gridCol w:w="109"/>
        <w:gridCol w:w="228"/>
        <w:gridCol w:w="553"/>
        <w:gridCol w:w="118"/>
        <w:gridCol w:w="109"/>
        <w:gridCol w:w="109"/>
        <w:gridCol w:w="109"/>
        <w:gridCol w:w="180"/>
        <w:gridCol w:w="181"/>
        <w:gridCol w:w="445"/>
      </w:tblGrid>
      <w:tr>
        <w:trPr/>
        <w:tc>
          <w:tcPr>
            <w:tcW w:w="130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0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6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4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F&amp;I revenue, net increased by $97.6 million (32%) in 2021 when compared to 2020 primarily as a result of a 22% increase in new and used retail unit sales and an 8% increase in F&amp;I per vehicle retailed.</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a same store basis F&amp;I revenue, net increased by $64.9 million (22%) in 2021 when compared to 2020 primarily as a result of an 11% increase in new and used retail unit sales and a 9% increase in F&amp;I per vehicle retailed.</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2021 we continued to benefit from a favorable consumer lending environment, which allowed more of our customers to take advantage of a broader array of F&amp;I products and our continued focus on improving the F&amp;I results at our lower-performing stores through our F&amp;I training programs.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TCA SEGMENT</w:t>
      </w:r>
    </w:p>
    <w:tbl>
      <w:tblPr>
        <w:tblW w:w="8152" w:type="dxa"/>
        <w:jc w:val="left"/>
        <w:tblInd w:w="0" w:type="dxa"/>
        <w:tblCellMar>
          <w:top w:w="28" w:type="dxa"/>
          <w:left w:w="28" w:type="dxa"/>
          <w:bottom w:w="28" w:type="dxa"/>
          <w:right w:w="28" w:type="dxa"/>
        </w:tblCellMar>
      </w:tblPr>
      <w:tblGrid>
        <w:gridCol w:w="1133"/>
        <w:gridCol w:w="997"/>
        <w:gridCol w:w="1004"/>
        <w:gridCol w:w="304"/>
        <w:gridCol w:w="736"/>
        <w:gridCol w:w="157"/>
        <w:gridCol w:w="157"/>
        <w:gridCol w:w="157"/>
        <w:gridCol w:w="157"/>
        <w:gridCol w:w="304"/>
        <w:gridCol w:w="585"/>
        <w:gridCol w:w="157"/>
        <w:gridCol w:w="109"/>
        <w:gridCol w:w="109"/>
        <w:gridCol w:w="109"/>
        <w:gridCol w:w="228"/>
        <w:gridCol w:w="553"/>
        <w:gridCol w:w="118"/>
        <w:gridCol w:w="109"/>
        <w:gridCol w:w="109"/>
        <w:gridCol w:w="109"/>
        <w:gridCol w:w="220"/>
        <w:gridCol w:w="220"/>
        <w:gridCol w:w="311"/>
      </w:tblGrid>
      <w:tr>
        <w:trPr/>
        <w:tc>
          <w:tcPr>
            <w:tcW w:w="1133"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75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1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gross revenue</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cost of sales</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gross profit</w:t>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17, 2021 we acquired TCA. TCA offers a variety of F&amp;I products, such as extended vehicle service contracts, prepaid maintenance contracts, GAP insurance, vehicle theft assistance contracts, key replacement contracts, paintless dent repair contracts, appearance protection contracts, tire and wheel, and lease wear-and-tear contracts. The majority of TCA's products are sold through affiliated LHM automobile dealerships.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Revenue generated by TCA is earned over the period of the related service product contract. The method for recognizing revenue is assigned based on contract type and expected claim patterns. Premium revenues are supplemented with investment gains or losses and income earned associated with the performance of TCA's investment portfolio. During the 15-day period the Company owned TCA in December 2021, TCA generated $12.0 million of revenue, consisting of both earned premium and investment income.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Direct expenses paid for the acquisition of contracts on which revenue has been received but not yet earned have been deferred and are amortized over the related contract period. Expenses are matched with earned premiums resulting in recognition over the life of the contracts. During the 15-day period the Company owned TCA in December 2021, TCA recorded $6.5 million of cost of sales consisting primarily of claims expense and amortization of deferred acquisition costs.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CONSOLIDATED</w:t>
      </w:r>
    </w:p>
    <w:p>
      <w:pPr>
        <w:pStyle w:val="TextBody"/>
        <w:spacing w:lineRule="auto" w:line="288" w:before="180" w:after="283"/>
        <w:rPr/>
      </w:pPr>
      <w:r>
        <w:rPr>
          <w:rFonts w:ascii="Times New Roman;sans-serif" w:hAnsi="Times New Roman;sans-serif"/>
          <w:b w:val="false"/>
          <w:color w:val="000000"/>
          <w:sz w:val="20"/>
        </w:rPr>
        <w:t>S</w:t>
      </w:r>
      <w:r>
        <w:rPr>
          <w:rFonts w:ascii="Times New Roman;sans-serif" w:hAnsi="Times New Roman;sans-serif"/>
          <w:b w:val="false"/>
          <w:i/>
          <w:color w:val="000000"/>
          <w:sz w:val="20"/>
        </w:rPr>
        <w:t>elling, General, and Administrative Expense—</w:t>
      </w:r>
    </w:p>
    <w:tbl>
      <w:tblPr>
        <w:tblW w:w="10205" w:type="dxa"/>
        <w:jc w:val="left"/>
        <w:tblInd w:w="0" w:type="dxa"/>
        <w:tblCellMar>
          <w:top w:w="28" w:type="dxa"/>
          <w:left w:w="28" w:type="dxa"/>
          <w:bottom w:w="28" w:type="dxa"/>
          <w:right w:w="28" w:type="dxa"/>
        </w:tblCellMar>
      </w:tblPr>
      <w:tblGrid>
        <w:gridCol w:w="765"/>
        <w:gridCol w:w="655"/>
        <w:gridCol w:w="586"/>
        <w:gridCol w:w="211"/>
        <w:gridCol w:w="766"/>
        <w:gridCol w:w="109"/>
        <w:gridCol w:w="109"/>
        <w:gridCol w:w="109"/>
        <w:gridCol w:w="109"/>
        <w:gridCol w:w="255"/>
        <w:gridCol w:w="256"/>
        <w:gridCol w:w="542"/>
        <w:gridCol w:w="109"/>
        <w:gridCol w:w="109"/>
        <w:gridCol w:w="109"/>
        <w:gridCol w:w="211"/>
        <w:gridCol w:w="766"/>
        <w:gridCol w:w="109"/>
        <w:gridCol w:w="109"/>
        <w:gridCol w:w="109"/>
        <w:gridCol w:w="109"/>
        <w:gridCol w:w="255"/>
        <w:gridCol w:w="256"/>
        <w:gridCol w:w="542"/>
        <w:gridCol w:w="109"/>
        <w:gridCol w:w="109"/>
        <w:gridCol w:w="109"/>
        <w:gridCol w:w="211"/>
        <w:gridCol w:w="616"/>
        <w:gridCol w:w="109"/>
        <w:gridCol w:w="109"/>
        <w:gridCol w:w="109"/>
        <w:gridCol w:w="109"/>
        <w:gridCol w:w="277"/>
        <w:gridCol w:w="274"/>
        <w:gridCol w:w="799"/>
      </w:tblGrid>
      <w:tr>
        <w:trPr/>
        <w:tc>
          <w:tcPr>
            <w:tcW w:w="76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r>
      <w:tr>
        <w:trPr/>
        <w:tc>
          <w:tcPr>
            <w:tcW w:w="2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5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 Increase (Decrease)</w:t>
            </w:r>
          </w:p>
        </w:tc>
      </w:tr>
      <w:tr>
        <w:trPr/>
        <w:tc>
          <w:tcPr>
            <w:tcW w:w="2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5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99"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compensation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services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compensation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services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SG&amp;A expense as a percentage of gross profit decreased 740 basis points from 63.9% in 2020 to 56.5% in 2021. Same store SG&amp;A expense as a percentage of gross profit decreased 630 basis points from 63.8% in 2020 to 57.5% in 2021. The decrease in SG&amp;A as a percentage of gross profit is primarily the result of higher gross profits earned across our Dealership segment, as well as maintaining expense discipline, particularly in personnel costs, with enhanced productivity of our team members.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Expense —</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$3.4 million (9%) increase in depreciation and amortization expense during 2021 compared to 2020, was primarily the result of depreciation associated with dealership acquisitions during 2021, additional assets placed into service during 2021, and depreciation expense associated with the purchase of previously leased properties.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Franchise Rights Impairment —</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assessed our manufacturer franchise rights for impairment by comparing the present value of cash flows attributable to each franchise right to its carrying value. As a result of our impairment testing performed, we recognized no impairment charges during the year ended December 31, 2021 and a $23.0 million pre-tax non-cash charge related to eleven dealerships during the year ended December 31, 2020.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Operating (Income) Expenses, net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expenses, net includes gains and losses from the sale of property and equipment, income derived from lease arrangements, and other non-core operating items. During the twelve months ended December 31, 2021, the Company recorded other operating income, net of $5.4 million, which included a $3.5 million gain related to legal settlements and a $1.9 million gain on divestitures of certain real estate.</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2020, the Company recorded other operating expense, net of $9.2 million, which included $12.9 million related to the Park Place acquisition, $0.7 million real estate related impairment partially offset by a $2.1 million gain related to legal settlements and a $0.3 million gain related to the sale of vacant real estate.</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Floor Plan Interest Expense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 decreased by $9.5 million (54%) to $8.2 million during 2021 compared to $17.7 million during 2020, as a result of lower new vehicle inventory levels during 2021 caused by production issues related to the semiconductor shortage and COVID-19.</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Interest Expense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interest expense increased $37.2 million (66%) from $56.7 million in 2020 to $93.9 million in 2021. In 2021, we incurred approximately $27.5 million in bridge commitment fees related to our acquisition of LHM and TCA. During 2021, we also incurred additional interest expense related to our $800.0 million 2029 Notes (as defined below) and $600.0 million 2032 Notes (as defined below) issued in November 2021, the proceeds of which were also used to finance recent acquisitions. In addition, we incurred interest expense in connection with the 2021 BofA Real Estate Facility, the proceeds of which was used to finance the acquisition of previously leased Park Place Dealership premises.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Gain on Dealership Divestitures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sold one franchise (one dealership location) in the Charlottesville, Virginia market. The Company recorded a pre-tax gain totaling $8.0 million, which is presented in our accompanying Consolidated Statements of Income as Gain on dealership divestitures, net.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sold two franchises (two dealership locations) in the Atlanta, Georgia market, we sold six franchises (five dealership locations) and one collision center in the Jackson, Mississippi market, and we sold one franchise (one dealership location) in the Greenville, South Carolina market. The Company recorded a pre-tax gain totaling $62.3 million.</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$81.6 million (97%) increase in income tax expense was the result of a $359.6 million (106%) increase in income before income taxes. Our effective tax rate decreased 110 basis points from 24.8% in 2020 to 23.7% in 2021. The decrease in our effective tax rate was primarily due to decreases in state rates in jurisdictions in which the Company has significant activity. We expect our effective tax rate to be in the 25%-26% in 2022 as we expand our operations into states with higher tax rates.</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16 "Income Taxes" for additional information regarding income taxes. </w:t>
      </w:r>
    </w:p>
    <w:p>
      <w:pPr>
        <w:pStyle w:val="TextBody"/>
        <w:spacing w:before="180" w:after="180"/>
        <w:rPr/>
      </w:pPr>
      <w:r>
        <w:rPr/>
      </w:r>
    </w:p>
    <w:p>
      <w:pPr>
        <w:pStyle w:val="TextBody"/>
        <w:spacing w:before="0" w:after="0"/>
        <w:rPr/>
      </w:pPr>
      <w:r>
        <w:rPr/>
      </w:r>
    </w:p>
    <w:p>
      <w:pPr>
        <w:pStyle w:val="TextBody"/>
        <w:spacing w:lineRule="auto" w:line="288" w:before="180" w:after="180"/>
        <w:rPr>
          <w:color w:val="000000"/>
        </w:rPr>
      </w:pPr>
      <w:r>
        <w:rPr>
          <w:color w:val="000000"/>
        </w:rPr>
        <w:t> </w:t>
      </w:r>
    </w:p>
    <w:p>
      <w:pPr>
        <w:pStyle w:val="TextBody"/>
        <w:spacing w:before="180" w:after="180"/>
        <w:rPr/>
      </w:pPr>
      <w:r>
        <w:rPr/>
      </w:r>
    </w:p>
    <w:p>
      <w:pPr>
        <w:pStyle w:val="TextBody"/>
        <w:spacing w:before="180" w:after="180"/>
        <w:ind w:left="0" w:right="0" w:firstLine="315"/>
        <w:rPr/>
      </w:pPr>
      <w:r>
        <w:rPr/>
      </w:r>
    </w:p>
    <w:p>
      <w:pPr>
        <w:pStyle w:val="TextBody"/>
        <w:spacing w:before="180" w:after="180"/>
        <w:ind w:left="0" w:right="0" w:firstLine="315"/>
        <w:rPr/>
      </w:pPr>
      <w:r>
        <w:rPr/>
      </w:r>
    </w:p>
    <w:p>
      <w:pPr>
        <w:pStyle w:val="TextBody"/>
        <w:spacing w:before="180" w:after="180"/>
        <w:ind w:left="0" w:right="0" w:firstLine="31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100" w:after="283"/>
        <w:rPr/>
      </w:pPr>
      <w:r>
        <w:rPr>
          <w:rFonts w:ascii="Times New Roman;sans-serif" w:hAnsi="Times New Roman;sans-serif"/>
          <w:b/>
          <w:color w:val="000000"/>
          <w:sz w:val="20"/>
        </w:rPr>
        <w:t>The Year Ended December 31, 2020 Compared to the Year Ended December 31, 2019</w:t>
      </w:r>
      <w:r>
        <w:rPr>
          <w:color w:val="000000"/>
        </w:rPr>
        <w:t> </w:t>
      </w:r>
    </w:p>
    <w:tbl>
      <w:tblPr>
        <w:tblW w:w="9021" w:type="dxa"/>
        <w:jc w:val="left"/>
        <w:tblInd w:w="0" w:type="dxa"/>
        <w:tblCellMar>
          <w:top w:w="28" w:type="dxa"/>
          <w:left w:w="28" w:type="dxa"/>
          <w:bottom w:w="28" w:type="dxa"/>
          <w:right w:w="28" w:type="dxa"/>
        </w:tblCellMar>
      </w:tblPr>
      <w:tblGrid>
        <w:gridCol w:w="1404"/>
        <w:gridCol w:w="1228"/>
        <w:gridCol w:w="1237"/>
        <w:gridCol w:w="229"/>
        <w:gridCol w:w="832"/>
        <w:gridCol w:w="118"/>
        <w:gridCol w:w="118"/>
        <w:gridCol w:w="118"/>
        <w:gridCol w:w="118"/>
        <w:gridCol w:w="229"/>
        <w:gridCol w:w="832"/>
        <w:gridCol w:w="118"/>
        <w:gridCol w:w="109"/>
        <w:gridCol w:w="109"/>
        <w:gridCol w:w="109"/>
        <w:gridCol w:w="211"/>
        <w:gridCol w:w="586"/>
        <w:gridCol w:w="109"/>
        <w:gridCol w:w="109"/>
        <w:gridCol w:w="109"/>
        <w:gridCol w:w="109"/>
        <w:gridCol w:w="216"/>
        <w:gridCol w:w="219"/>
        <w:gridCol w:w="445"/>
      </w:tblGrid>
      <w:tr>
        <w:trPr/>
        <w:tc>
          <w:tcPr>
            <w:tcW w:w="1404"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8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5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per share data)</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 impairment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long-term debt, net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share—Diluted</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88" w:before="0" w:after="0"/>
        <w:rPr/>
      </w:pPr>
      <w:r>
        <w:rPr>
          <w:rFonts w:ascii="Times New Roman;sans-serif" w:hAnsi="Times New Roman;sans-serif"/>
          <w:b w:val="false"/>
          <w:color w:val="000000"/>
          <w:sz w:val="20"/>
        </w:rPr>
        <w:t>NM</w:t>
      </w:r>
      <w:r>
        <w:rPr>
          <w:color w:val="000000"/>
        </w:rPr>
        <w:t>—</w:t>
      </w:r>
      <w:r>
        <w:rPr>
          <w:rFonts w:ascii="Times New Roman;sans-serif" w:hAnsi="Times New Roman;sans-serif"/>
          <w:b w:val="false"/>
          <w:color w:val="000000"/>
          <w:sz w:val="20"/>
        </w:rPr>
        <w:t>Not Meaningful</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8152" w:type="dxa"/>
        <w:jc w:val="center"/>
        <w:tblInd w:w="0" w:type="dxa"/>
        <w:tblCellMar>
          <w:top w:w="28" w:type="dxa"/>
          <w:left w:w="28" w:type="dxa"/>
          <w:bottom w:w="28" w:type="dxa"/>
          <w:right w:w="28" w:type="dxa"/>
        </w:tblCellMar>
      </w:tblPr>
      <w:tblGrid>
        <w:gridCol w:w="1830"/>
        <w:gridCol w:w="1609"/>
        <w:gridCol w:w="1615"/>
        <w:gridCol w:w="307"/>
        <w:gridCol w:w="309"/>
        <w:gridCol w:w="554"/>
        <w:gridCol w:w="222"/>
        <w:gridCol w:w="222"/>
        <w:gridCol w:w="222"/>
        <w:gridCol w:w="307"/>
        <w:gridCol w:w="309"/>
        <w:gridCol w:w="646"/>
      </w:tblGrid>
      <w:tr>
        <w:trPr/>
        <w:tc>
          <w:tcPr>
            <w:tcW w:w="1830"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MIX PERCENTAGES: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MIX PERCENTAGES:</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5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during 2020 decreased by $78.5 million (1%) compared to 2019, due to a $95.9 million (2%) decrease in new vehicle revenue, a $9.6 million (1%) decrease in parts and service revenue and a $10.9 million (3%) decrease in F&amp;I revenue, partially offset by a $37.9 million (2%) increase in used vehicle revenue. The $54.5 million (5%) increase in gross profit during 2020 was the result of a $59.0 million (37%) increase in new vehicle gross profit, a $22.5 million (17%) increase in used vehicle gross profit, partially offset by a $16.1 million (3%) decrease in parts and service gross profit and a $10.9 million (3%) decrease in F&amp;I gross profit. Our total gross profit margin increased 100 basis points from 16.2% in 2019 to 17.2% in 2020.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Income from operations during 2020 increased by $45.8 million (14%) compared to 2019, primarily due to a $54.5 million (5%) increase in gross profit and a $17.9 million (2%) decrease in selling, general, and administrative expenses partially offset by a $15.9 million increase in franchise rights impairment, an $8.4 million increase in other operating expenses, net and a $2.3 million (6%) increase in depreciation and amortization expenses.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Total other expenses, net decreased by $48.4 million (60%) in 2020, primarily due to a $50.6 million increase in gain on dealership divestitures and a $20.2 million decrease in floor plan interest expense, partially offset by a $20.6 million loss on extinguishment of debt and a $1.8 million increase in other interest expense, net. As a result, income before income taxes increased by $94.2 million (39%) to $338.1 million in 2020. The $24.2 million (41%) increase in income tax expense was primarily attributable to the 39% increase in income before taxes and a 40 basis point increase in the 2020 effective tax rate. Overall, net income increased by $70.0 million (38%) from $184.4 million in 2019 to $254.4 million in 2020.</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month we owned the dealership. Additionally, amounts related to divested dealerships are excluded from each comparative period.</w:t>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New Vehicle—</w:t>
      </w:r>
    </w:p>
    <w:tbl>
      <w:tblPr>
        <w:tblW w:w="7791" w:type="dxa"/>
        <w:jc w:val="left"/>
        <w:tblInd w:w="0" w:type="dxa"/>
        <w:tblCellMar>
          <w:top w:w="28" w:type="dxa"/>
          <w:left w:w="28" w:type="dxa"/>
          <w:bottom w:w="28" w:type="dxa"/>
          <w:right w:w="28" w:type="dxa"/>
        </w:tblCellMar>
      </w:tblPr>
      <w:tblGrid>
        <w:gridCol w:w="916"/>
        <w:gridCol w:w="807"/>
        <w:gridCol w:w="811"/>
        <w:gridCol w:w="229"/>
        <w:gridCol w:w="832"/>
        <w:gridCol w:w="118"/>
        <w:gridCol w:w="118"/>
        <w:gridCol w:w="118"/>
        <w:gridCol w:w="118"/>
        <w:gridCol w:w="229"/>
        <w:gridCol w:w="832"/>
        <w:gridCol w:w="118"/>
        <w:gridCol w:w="109"/>
        <w:gridCol w:w="109"/>
        <w:gridCol w:w="109"/>
        <w:gridCol w:w="211"/>
        <w:gridCol w:w="691"/>
        <w:gridCol w:w="109"/>
        <w:gridCol w:w="109"/>
        <w:gridCol w:w="109"/>
        <w:gridCol w:w="109"/>
        <w:gridCol w:w="216"/>
        <w:gridCol w:w="219"/>
        <w:gridCol w:w="445"/>
      </w:tblGrid>
      <w:tr>
        <w:trPr/>
        <w:tc>
          <w:tcPr>
            <w:tcW w:w="91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8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5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New Vehicle Metrics—</w:t>
      </w:r>
    </w:p>
    <w:tbl>
      <w:tblPr>
        <w:tblW w:w="8065" w:type="dxa"/>
        <w:jc w:val="left"/>
        <w:tblInd w:w="0" w:type="dxa"/>
        <w:tblCellMar>
          <w:top w:w="28" w:type="dxa"/>
          <w:left w:w="28" w:type="dxa"/>
          <w:bottom w:w="28" w:type="dxa"/>
          <w:right w:w="28" w:type="dxa"/>
        </w:tblCellMar>
      </w:tblPr>
      <w:tblGrid>
        <w:gridCol w:w="1003"/>
        <w:gridCol w:w="883"/>
        <w:gridCol w:w="888"/>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180"/>
        <w:gridCol w:w="181"/>
        <w:gridCol w:w="445"/>
      </w:tblGrid>
      <w:tr>
        <w:trPr/>
        <w:tc>
          <w:tcPr>
            <w:tcW w:w="100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New vehicle revenue decreased by $95.9 million (2%), as a result of a 10% decrease in new vehicle unit sales partially offset by an 8% increase in revenue per new vehicle sold. Same store new vehicle revenue decreased by $317.1 million (9%) as a result of a 12% decrease in new vehicle units sold, partially offset by a 4% increase in revenue per new vehicle sold.</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Same store new vehicle gross profit in 2020 increased by $27.9 million (19%), as a result of a 36% increase in gross profit per new vehicle sold partially offset by a 12% decrease in unit volumes. Same store new vehicle gross margin increased 120 basis point to 5.4% in 2020, primarily as a result of a supply shortage for much of 2020 caused by manufactures reducing or halting production due to the COVID-19 pandemic.</w:t>
      </w:r>
    </w:p>
    <w:p>
      <w:pPr>
        <w:pStyle w:val="TextBody"/>
        <w:spacing w:lineRule="auto" w:line="288"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We finished 2020 with a 40 day supply of new vehicle inventory which is below our target of 70 to 75 days primarily as a result of production challenges caused by the COVID-19 pandemic.</w:t>
      </w:r>
    </w:p>
    <w:p>
      <w:pPr>
        <w:pStyle w:val="TextBody"/>
        <w:spacing w:before="0" w:after="0"/>
        <w:ind w:left="0" w:right="0" w:firstLine="270"/>
        <w:rPr/>
      </w:pPr>
      <w:r>
        <w:rPr/>
      </w:r>
    </w:p>
    <w:p>
      <w:pPr>
        <w:pStyle w:val="TextBody"/>
        <w:spacing w:before="0" w:after="0"/>
        <w:ind w:left="0" w:right="0" w:firstLine="270"/>
        <w:rPr/>
      </w:pPr>
      <w:r>
        <w:rPr/>
      </w:r>
    </w:p>
    <w:p>
      <w:pPr>
        <w:pStyle w:val="TextBody"/>
        <w:spacing w:before="0" w:after="0"/>
        <w:ind w:left="0" w:right="0" w:firstLine="270"/>
        <w:rPr/>
      </w:pPr>
      <w:r>
        <w:rPr/>
      </w:r>
    </w:p>
    <w:p>
      <w:pPr>
        <w:pStyle w:val="TextBody"/>
        <w:spacing w:before="0" w:after="0"/>
        <w:ind w:left="0" w:right="0" w:firstLine="270"/>
        <w:rPr/>
      </w:pPr>
      <w:r>
        <w:rPr/>
      </w:r>
    </w:p>
    <w:p>
      <w:pPr>
        <w:pStyle w:val="TextBody"/>
        <w:spacing w:before="0" w:after="0"/>
        <w:ind w:left="0" w:right="0" w:firstLine="27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pPr>
      <w:r>
        <w:rPr>
          <w:rFonts w:ascii="Times New Roman;sans-serif" w:hAnsi="Times New Roman;sans-serif"/>
          <w:b w:val="false"/>
          <w:i/>
          <w:color w:val="000000"/>
          <w:sz w:val="20"/>
        </w:rPr>
        <w:t>Used Vehicle—</w:t>
      </w:r>
      <w:r>
        <w:rPr>
          <w:color w:val="000000"/>
        </w:rPr>
        <w:t> </w:t>
      </w:r>
    </w:p>
    <w:tbl>
      <w:tblPr>
        <w:tblW w:w="8821" w:type="dxa"/>
        <w:jc w:val="left"/>
        <w:tblInd w:w="0" w:type="dxa"/>
        <w:tblCellMar>
          <w:top w:w="28" w:type="dxa"/>
          <w:left w:w="28" w:type="dxa"/>
          <w:bottom w:w="28" w:type="dxa"/>
          <w:right w:w="28" w:type="dxa"/>
        </w:tblCellMar>
      </w:tblPr>
      <w:tblGrid>
        <w:gridCol w:w="1079"/>
        <w:gridCol w:w="950"/>
        <w:gridCol w:w="956"/>
        <w:gridCol w:w="229"/>
        <w:gridCol w:w="832"/>
        <w:gridCol w:w="118"/>
        <w:gridCol w:w="118"/>
        <w:gridCol w:w="118"/>
        <w:gridCol w:w="118"/>
        <w:gridCol w:w="229"/>
        <w:gridCol w:w="832"/>
        <w:gridCol w:w="118"/>
        <w:gridCol w:w="109"/>
        <w:gridCol w:w="109"/>
        <w:gridCol w:w="109"/>
        <w:gridCol w:w="370"/>
        <w:gridCol w:w="1029"/>
        <w:gridCol w:w="191"/>
        <w:gridCol w:w="109"/>
        <w:gridCol w:w="109"/>
        <w:gridCol w:w="109"/>
        <w:gridCol w:w="216"/>
        <w:gridCol w:w="219"/>
        <w:gridCol w:w="445"/>
      </w:tblGrid>
      <w:tr>
        <w:trPr/>
        <w:tc>
          <w:tcPr>
            <w:tcW w:w="1079"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8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3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revenues</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revenues</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88" w:before="0" w:after="0"/>
        <w:rPr/>
      </w:pPr>
      <w:r>
        <w:rPr>
          <w:rFonts w:ascii="Times New Roman;sans-serif" w:hAnsi="Times New Roman;sans-serif"/>
          <w:b w:val="false"/>
          <w:color w:val="000000"/>
          <w:sz w:val="20"/>
        </w:rPr>
        <w:t>NM</w:t>
      </w:r>
      <w:r>
        <w:rPr>
          <w:color w:val="000000"/>
        </w:rPr>
        <w:t>—</w:t>
      </w:r>
      <w:r>
        <w:rPr>
          <w:rFonts w:ascii="Times New Roman;sans-serif" w:hAnsi="Times New Roman;sans-serif"/>
          <w:b w:val="false"/>
          <w:color w:val="000000"/>
          <w:sz w:val="20"/>
        </w:rPr>
        <w:t>Not Meaningful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Used Vehicle Metrics—</w:t>
      </w:r>
    </w:p>
    <w:tbl>
      <w:tblPr>
        <w:tblW w:w="8871" w:type="dxa"/>
        <w:jc w:val="left"/>
        <w:tblInd w:w="0" w:type="dxa"/>
        <w:tblCellMar>
          <w:top w:w="28" w:type="dxa"/>
          <w:left w:w="28" w:type="dxa"/>
          <w:bottom w:w="28" w:type="dxa"/>
          <w:right w:w="28" w:type="dxa"/>
        </w:tblCellMar>
      </w:tblPr>
      <w:tblGrid>
        <w:gridCol w:w="1117"/>
        <w:gridCol w:w="983"/>
        <w:gridCol w:w="989"/>
        <w:gridCol w:w="211"/>
        <w:gridCol w:w="721"/>
        <w:gridCol w:w="271"/>
        <w:gridCol w:w="109"/>
        <w:gridCol w:w="109"/>
        <w:gridCol w:w="109"/>
        <w:gridCol w:w="211"/>
        <w:gridCol w:w="721"/>
        <w:gridCol w:w="271"/>
        <w:gridCol w:w="109"/>
        <w:gridCol w:w="109"/>
        <w:gridCol w:w="109"/>
        <w:gridCol w:w="305"/>
        <w:gridCol w:w="892"/>
        <w:gridCol w:w="392"/>
        <w:gridCol w:w="109"/>
        <w:gridCol w:w="109"/>
        <w:gridCol w:w="109"/>
        <w:gridCol w:w="180"/>
        <w:gridCol w:w="181"/>
        <w:gridCol w:w="445"/>
      </w:tblGrid>
      <w:tr>
        <w:trPr/>
        <w:tc>
          <w:tcPr>
            <w:tcW w:w="111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Used vehicle revenue increased by $37.9 million (2%), due to a $49.2 million (26%) increase in used vehicle wholesale revenue partially offset by a $11.3 million (1%) decrease in used retail revenue. Same store used vehicle revenue decreased by $71.4 million (4%) due to an $86.6 million (5%) decrease in used vehicle retail revenue, partially offset by a $15.2 million (9%) increase in used vehicle wholesale revenues.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2020, total Company and same store used vehicle retail gross profit margins increased 60 basis points to 7.5% and 7.6%, respectively. We primarily attribute the increase in used vehicle retail gross profit margin to increased demand for used vehicles as a result of new vehicle inventory shortages caused by the COVID-19 pandemic.</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believe that our used vehicle inventory continues to be well-aligned with current consumer demand, with approximately 31 days of supply as of December 31, 2020.</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Parts and Service—</w:t>
      </w:r>
    </w:p>
    <w:tbl>
      <w:tblPr>
        <w:tblW w:w="10205" w:type="dxa"/>
        <w:jc w:val="left"/>
        <w:tblInd w:w="0" w:type="dxa"/>
        <w:tblCellMar>
          <w:top w:w="28" w:type="dxa"/>
          <w:left w:w="28" w:type="dxa"/>
          <w:bottom w:w="28" w:type="dxa"/>
          <w:right w:w="28" w:type="dxa"/>
        </w:tblCellMar>
      </w:tblPr>
      <w:tblGrid>
        <w:gridCol w:w="1874"/>
        <w:gridCol w:w="1540"/>
        <w:gridCol w:w="1546"/>
        <w:gridCol w:w="223"/>
        <w:gridCol w:w="652"/>
        <w:gridCol w:w="286"/>
        <w:gridCol w:w="115"/>
        <w:gridCol w:w="115"/>
        <w:gridCol w:w="115"/>
        <w:gridCol w:w="223"/>
        <w:gridCol w:w="652"/>
        <w:gridCol w:w="286"/>
        <w:gridCol w:w="109"/>
        <w:gridCol w:w="109"/>
        <w:gridCol w:w="109"/>
        <w:gridCol w:w="211"/>
        <w:gridCol w:w="571"/>
        <w:gridCol w:w="271"/>
        <w:gridCol w:w="109"/>
        <w:gridCol w:w="109"/>
        <w:gridCol w:w="109"/>
        <w:gridCol w:w="210"/>
        <w:gridCol w:w="210"/>
        <w:gridCol w:w="451"/>
      </w:tblGrid>
      <w:tr>
        <w:trPr/>
        <w:tc>
          <w:tcPr>
            <w:tcW w:w="1874"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4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4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7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4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87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87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 Reconditioning and preparation represents the gross profit earned by our parts and service departments for internal work performed and is included as a reduction of Parts and service cost of sales within the accompanying Consolidated Statements of Income upon the sale of the vehicle.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$9.6 million (1%) decrease in parts and service revenue was primarily due to a $11.2 million decrease in wholesale parts revenue and a $0.3 million decrease in customer pay revenue partially offset by a $1.9 million increase in warranty revenue. The wholesale parts business was negatively affected by the COVID-19 pandemic which significantly reduced demand as a result of fewer miles being driven. Same store parts and service revenue decreased $64.6 million (8%) from $840.0 million in 2019 to $775.4 million in 2020. The decrease in same store parts and service revenue was due to a $33.9 million (7%) decrease in customer pay revenue, a $13.6 million (9%) decrease in warranty revenue, and a $11.1 million (9%) decrease in wholesale parts revenue.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 decreased by $4.4 million (1%) to $425.5 million and same store gross profit, excluding reconditioning and preparation, decreased by $38.0 million (9%) to $365.9 million. The $38.0 million decrease in same store gross profit, excluding reconditioning and preparation, is primarily due to a $29.2 million (10%) decrease in customer pay gross profit, a $6.7 million (8%) decrease in warranty gross profit, and a $2.1 million (10%) decrease in wholesale parts gross profit. The COVID-19 global pandemic negatively impacted our parts and service business for most of 2020 as a result of people driving fewer miles and therefore requiring less vehicle maintenance. In addition, fewer accidents on the roadways negatively impacted our collision repair business.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pPr>
      <w:r>
        <w:rPr>
          <w:rFonts w:ascii="Times New Roman;sans-serif" w:hAnsi="Times New Roman;sans-serif"/>
          <w:b w:val="false"/>
          <w:i/>
          <w:color w:val="000000"/>
          <w:sz w:val="20"/>
        </w:rPr>
        <w:t>Finance and Insurance, net—</w:t>
      </w:r>
      <w:r>
        <w:rPr>
          <w:color w:val="000000"/>
        </w:rPr>
        <w:t> </w:t>
      </w:r>
    </w:p>
    <w:tbl>
      <w:tblPr>
        <w:tblW w:w="8659" w:type="dxa"/>
        <w:jc w:val="center"/>
        <w:tblInd w:w="0" w:type="dxa"/>
        <w:tblCellMar>
          <w:top w:w="28" w:type="dxa"/>
          <w:left w:w="28" w:type="dxa"/>
          <w:bottom w:w="28" w:type="dxa"/>
          <w:right w:w="28" w:type="dxa"/>
        </w:tblCellMar>
      </w:tblPr>
      <w:tblGrid>
        <w:gridCol w:w="1306"/>
        <w:gridCol w:w="1151"/>
        <w:gridCol w:w="1157"/>
        <w:gridCol w:w="260"/>
        <w:gridCol w:w="760"/>
        <w:gridCol w:w="134"/>
        <w:gridCol w:w="134"/>
        <w:gridCol w:w="134"/>
        <w:gridCol w:w="134"/>
        <w:gridCol w:w="260"/>
        <w:gridCol w:w="760"/>
        <w:gridCol w:w="134"/>
        <w:gridCol w:w="109"/>
        <w:gridCol w:w="109"/>
        <w:gridCol w:w="109"/>
        <w:gridCol w:w="211"/>
        <w:gridCol w:w="586"/>
        <w:gridCol w:w="109"/>
        <w:gridCol w:w="109"/>
        <w:gridCol w:w="109"/>
        <w:gridCol w:w="109"/>
        <w:gridCol w:w="165"/>
        <w:gridCol w:w="165"/>
        <w:gridCol w:w="445"/>
      </w:tblGrid>
      <w:tr>
        <w:trPr/>
        <w:tc>
          <w:tcPr>
            <w:tcW w:w="130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77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4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F&amp;I revenue, net decreased by $10.9 million (3%) in 2020 when compared to 2019 primarily as a result of a 9% decrease in new and used retail unit sales partially offset by a 7% increase in F&amp;I per vehicle retailed.</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a same store basis F&amp;I revenue, net decreased by $12.9 million (4%) in 2020 when compared to 2019 primarily as a result of a 11% decrease in new and used retail unit sales partially offset by a 8% increase in F&amp;I per vehicle retailed.</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2020 we continued to benefit from a favorable consumer lending environment, which allowed more of our customers to take advantage of a broader array of F&amp;I products and our continued focus on improving the F&amp;I results at our lower-performing stores through our F&amp;I training programs.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pPr>
      <w:r>
        <w:rPr>
          <w:rFonts w:ascii="Times New Roman;sans-serif" w:hAnsi="Times New Roman;sans-serif"/>
          <w:b w:val="false"/>
          <w:color w:val="000000"/>
          <w:sz w:val="20"/>
        </w:rPr>
        <w:t>S</w:t>
      </w:r>
      <w:r>
        <w:rPr>
          <w:rFonts w:ascii="Times New Roman;sans-serif" w:hAnsi="Times New Roman;sans-serif"/>
          <w:b w:val="false"/>
          <w:i/>
          <w:color w:val="000000"/>
          <w:sz w:val="20"/>
        </w:rPr>
        <w:t>elling, General, and Administrative Expense—</w:t>
      </w:r>
    </w:p>
    <w:tbl>
      <w:tblPr>
        <w:tblW w:w="10205" w:type="dxa"/>
        <w:jc w:val="left"/>
        <w:tblInd w:w="0" w:type="dxa"/>
        <w:tblCellMar>
          <w:top w:w="28" w:type="dxa"/>
          <w:left w:w="28" w:type="dxa"/>
          <w:bottom w:w="28" w:type="dxa"/>
          <w:right w:w="28" w:type="dxa"/>
        </w:tblCellMar>
      </w:tblPr>
      <w:tblGrid>
        <w:gridCol w:w="781"/>
        <w:gridCol w:w="670"/>
        <w:gridCol w:w="603"/>
        <w:gridCol w:w="211"/>
        <w:gridCol w:w="766"/>
        <w:gridCol w:w="109"/>
        <w:gridCol w:w="109"/>
        <w:gridCol w:w="109"/>
        <w:gridCol w:w="109"/>
        <w:gridCol w:w="255"/>
        <w:gridCol w:w="256"/>
        <w:gridCol w:w="542"/>
        <w:gridCol w:w="109"/>
        <w:gridCol w:w="109"/>
        <w:gridCol w:w="109"/>
        <w:gridCol w:w="211"/>
        <w:gridCol w:w="766"/>
        <w:gridCol w:w="109"/>
        <w:gridCol w:w="109"/>
        <w:gridCol w:w="109"/>
        <w:gridCol w:w="109"/>
        <w:gridCol w:w="255"/>
        <w:gridCol w:w="256"/>
        <w:gridCol w:w="542"/>
        <w:gridCol w:w="109"/>
        <w:gridCol w:w="109"/>
        <w:gridCol w:w="109"/>
        <w:gridCol w:w="211"/>
        <w:gridCol w:w="545"/>
        <w:gridCol w:w="109"/>
        <w:gridCol w:w="109"/>
        <w:gridCol w:w="109"/>
        <w:gridCol w:w="109"/>
        <w:gridCol w:w="282"/>
        <w:gridCol w:w="278"/>
        <w:gridCol w:w="813"/>
      </w:tblGrid>
      <w:tr>
        <w:trPr/>
        <w:tc>
          <w:tcPr>
            <w:tcW w:w="781"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5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 (Decrease) Increase</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73"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compensation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services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compensation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services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SG&amp;A expense as a percentage of gross profit decreased 450 basis points from 68.4% in 2019 to 63.9% in 2020. Same store SG&amp;A expense as a percentage of gross profit decreased 340 basis points from 68.6% in 2019 to 65.2% in 2020. The decrease in SG&amp;A as a percentage of gross profit is the result of broad cost cutting measures implemented as a result of the COVID-19 global pandemic and higher gross profits on new and used vehicle sales triggered by new vehicle inventory shortages caused by pandemic related production disruptions. In addition to personnel cost savings realized as a result of headcount reductions, our cost cutting measures significantly reduced controllable expenses, such as advertising and travel. We were also able to generate savings by adjusting our loaner vehicle fleet to accommodate the COVID-19 triggered service volume downturn. We anticipate our SG&amp;A expense as a percentage of gross profit to gradually increase as new vehicle inventory levels begin to normalize in 2021.</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Expense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$2.3 million (6%) increase in depreciation and amortization expense during 2020 compared to 2019, was primarily the result of depreciation associated with dealership acquisitions during 2020, additional assets placed into service during 2020, and depreciation expense associated with the purchase of previously leased properties.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Franchise Rights Impairment —</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assessed our manufacturer franchise rights for impairment by comparing the present value of cash flows attributable to each franchise right to its carrying value. As a result of our impairment testing performed as of March 31, 2020, we recognized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$23.0 million pretax non-cash charge related to eleven dealerships during the year ended December 31, 2020 and a $7.1 million charge as a result of our annual impairment test related to six dealerships for the year ended December 31, 2019.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Operating Expenses (Income), net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(income), net includes gains and losses from the sale of property and equipment, income derived from lease arrangements, and other non-core operating items. During the twelve months ended December 31, 2020, the Company recorded other operating expense, net of $9.2 million, which included a $12.9 million related to the Park Place acquisition, $0.7 million real estate related impairment, partially offset by a $2.1 million gain related to legal settlements and a $0.3 million gain related to the sale of vacant real estate.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2019, the Company recorded expense of $0.8 million, net, which included a $2.6 million pre-tax loss related to the write-off of fixed assets, partially offset by $1.8 million, net of other non-core operating income.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Floor Plan Interest Expense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Floor plan interest decreased by $20.2 million (53%) to $17.7 million during 2020 compared to $37.9 million during 2019, as a result of a decrease in the LIBOR rate on which our floor plan interest rate is calculated as well as generally lower new vehicle inventory levels during 2020 as a result of pandemic related production issues.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$24.2 million (41%) increase in income tax expense was the result of a $94.2 million (39%) increase in income before income taxes. Our effective tax rate increased 40 basis points from 24.4% in 2019 to 24.8% in 2020. The increase in our effective tax rate was primarily due to an increased sate rate attributed to higher apportionment in certain jurisdictions in states in which the Company has significant activity. We expect our effective tax rate to be around 25% in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total available liquidity of $437.0 million, which consisted of cash and cash equivalents (excluding TCA), $83.5 million of available funds in our floor plan offset accounts, $270.2 million of availability under our revolving credit facility, and $20.6 million of availability under our used vehicle revolving floor plan facility. The borrowing capacities under our revolving credit facility and our used vehicle revolving floor plan facility are limited by borrowing base calculations and, from time to time, may be further limited by our required compliance with certain financial covenants. As of December 31, 2021, these financial covenants did not further limit our availability under our other credit facilities. For more information on our financial covenants, see "Covenants and Defaults" and "Share Repurchases and Dividend Restrictions" below.</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our liquidity and capital resources based upon (i) our cash and cash equivalents on hand, (ii) the funds that we expect to generate through future operations, (iii) current and expected borrowing availability under our 2019 Senior Credit Facility (discussed further below),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LHM Acquisition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17, 2021, the Company completed the LHM Acquisition, thereby acquiring 54 new vehicle dealerships, seven used cars stores, 11 collision centers, a used vehicle wholesale business, the real property related thereto, and the entities comprising the TCA business for a total purchase price of $3.48 billion. The real property was acquired in escrow, to be released, together with the related portion of the purchase price, subject to the satisfaction of certain title related conditions. The purchase price was financed through a combination of cash, proceeds from the issuance of common stock and borrowings including the issuance of the 2029 Senior Notes and 2032 Senior Notes, the drawdown on the 2021 Real Estate Facility and the 2019 Senior Credit Facility and other floor plan borrowings.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Park Place Acquisition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March 24, 2020, the Company delivered notice to the sellers terminating the 2019 Asset Purchase Agreement and the Real Estate Purchase Agreement related to the Park Place acquisition in exchange for the payment of $10.0 million of liquidated damages. In connection with the termination of the Transaction Agreements, the Company delivered a notice of special mandatory redemption to holders of its $525.0 million aggregate principal amount of Senior Notes due 2028 (the"2028 Notes") and $600.0 million aggregate principal amount of Senior Notes due 2030 (the "2030 Notes") pursuant to which it redeemed on a pro rata basis (1) $245.0 million of the 2028 Notes and (2) $280.0 million of the 2030 Notes, in each case, at 100% of the respective principal amount plus accrued and unpaid interest to, but excluding the special mandatory redemption date (the "Special Mandatory Redemption").</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6, 2020, the Company entered into the Revised Asset Purchase Agreement with respect to the Park Place acquisition. The Park Place acquisition was completed on August 24, 2020 for a purchase price of $889.9 million. The purchase price was financed through a combination of cash, floor plan facilities and seller financing discussed in more detail below. </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Material Indebtedness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currently are party to the following material credit facilities and agreements, and have the following material indebtedness outstanding. For a more detailed description of the material terms of these agreements and facilities, and this indebtedness, see Note 14 "Debt" footnote included in the Notes to Consolidated Financial Statements.</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2019 Senior Credit Facility</w:t>
      </w:r>
      <w:r>
        <w:rPr>
          <w:color w:val="000000"/>
        </w:rPr>
        <w:t>—</w:t>
      </w:r>
      <w:r>
        <w:rPr>
          <w:rFonts w:ascii="Times New Roman;sans-serif" w:hAnsi="Times New Roman;sans-serif"/>
          <w:b w:val="false"/>
          <w:color w:val="000000"/>
          <w:sz w:val="20"/>
        </w:rPr>
        <w:t>On September 25, 2019, the Company and certain of its subsidiaries entered into the 2019 third amended and restated credit agreement with Bank of America, as administrative agent, and the other lenders party thereto (the "2019 Senior Credit Facility"). In connection with LHM Acquisition, the Company entered into a 2021 Third Amendment to the 2019 Senior Credit Facility on October 29, 2021. As amended, the 2019 Senior Credit Agreement provides for the following:</w:t>
      </w:r>
    </w:p>
    <w:p>
      <w:pPr>
        <w:pStyle w:val="TextBody"/>
        <w:spacing w:lineRule="auto" w:line="288" w:before="0" w:after="180"/>
        <w:rPr/>
      </w:pPr>
      <w:r>
        <w:rPr>
          <w:rFonts w:ascii="Times New Roman;sans-serif" w:hAnsi="Times New Roman;sans-serif"/>
          <w:b w:val="false"/>
          <w:i/>
          <w:color w:val="000000"/>
          <w:sz w:val="20"/>
          <w:u w:val="single"/>
        </w:rPr>
        <w:t>Revolving Credit Facility</w:t>
      </w:r>
      <w:r>
        <w:rPr>
          <w:color w:val="000000"/>
        </w:rPr>
        <w:t xml:space="preserve"> — </w:t>
      </w:r>
      <w:r>
        <w:rPr>
          <w:rFonts w:ascii="Times New Roman;sans-serif" w:hAnsi="Times New Roman;sans-serif"/>
          <w:b w:val="false"/>
          <w:color w:val="000000"/>
          <w:sz w:val="20"/>
        </w:rPr>
        <w:t>A $450.0 million Revolving Credit Facility for, among other things, acquisitions, working capital and capital expenditures, including a $50.0 million sub-limit for letters of credit. As of December 31, 2021, we had $10.8 million in outstanding letters of credit, $169.0 million in borrowings and $270.2 million of borrowing availability.</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pPr>
      <w:r>
        <w:rPr>
          <w:rFonts w:ascii="Times New Roman;sans-serif" w:hAnsi="Times New Roman;sans-serif"/>
          <w:b w:val="false"/>
          <w:i/>
          <w:color w:val="000000"/>
          <w:sz w:val="20"/>
          <w:u w:val="single"/>
        </w:rPr>
        <w:t>New Vehicle Floor Plan Facility</w:t>
      </w:r>
      <w:r>
        <w:rPr>
          <w:color w:val="000000"/>
        </w:rPr>
        <w:t xml:space="preserve"> — </w:t>
      </w:r>
      <w:r>
        <w:rPr>
          <w:rFonts w:ascii="Times New Roman;sans-serif" w:hAnsi="Times New Roman;sans-serif"/>
          <w:b w:val="false"/>
          <w:color w:val="000000"/>
          <w:sz w:val="20"/>
        </w:rPr>
        <w:t>A $1.75 billion New Vehicle Floor Plan Facility which allows us to transfer cash as an offset to floor plan notes payable. These transfers reduce the amount of outstanding new vehicle floor plan notes payable that would otherwise accrue interest, while retaining the ability to transfer amounts from the offset account into our operating cash accounts within one to two days. As a result of the use of this floor plan offset account, we experienced a reduction in Floor Plan Interest Expense on our Consolidated Statements of Income. As of December 31, 2021, we had $233.2 million outstanding under the New Vehicle Floor Plan Facility, which is net of $81.5 million in our floor plan offset account.</w:t>
      </w:r>
    </w:p>
    <w:p>
      <w:pPr>
        <w:pStyle w:val="TextBody"/>
        <w:spacing w:lineRule="auto" w:line="288" w:before="0" w:after="180"/>
        <w:rPr/>
      </w:pPr>
      <w:r>
        <w:rPr>
          <w:rFonts w:ascii="Times New Roman;sans-serif" w:hAnsi="Times New Roman;sans-serif"/>
          <w:b w:val="false"/>
          <w:i/>
          <w:color w:val="000000"/>
          <w:sz w:val="20"/>
          <w:u w:val="single"/>
        </w:rPr>
        <w:t>Used Vehicle Floor Plan Facility</w:t>
      </w:r>
      <w:r>
        <w:rPr>
          <w:color w:val="000000"/>
        </w:rPr>
        <w:t xml:space="preserve"> — </w:t>
      </w:r>
      <w:r>
        <w:rPr>
          <w:rFonts w:ascii="Times New Roman;sans-serif" w:hAnsi="Times New Roman;sans-serif"/>
          <w:b w:val="false"/>
          <w:color w:val="000000"/>
          <w:sz w:val="20"/>
        </w:rPr>
        <w:t>A $350.0 million Used Vehicle Floor Plan Facility to finance the acquisition of used vehicle inventory and for, among other things, working capital and capital expenditures, as well as to refinance used vehicles. We began the year with nothing drawn on our used vehicle floor plan facility. As of December 31, 2021, we had borrowings of $294.0 million on our Used Vehicle Floor Plan Facility. Our remaining borrowing capacity under the Used Vehicle Floor Plan Facility was limited to $20.6 million based on our borrowing base calculation as of December 31, 2021.</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compliance with certain conditions, the 2019 Senior Credit Agreement provides that we have the ability, at our option and subject to the receipt of additional commitments from existing or new lenders, to increase the size of the facilities by up to $350.0 million in the aggregate without lender consent.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At our option, we have the ability to re-designate a portion of our availability under the Revolving Credit Facility to the New Vehicle Floor Plan Facility or the Used Vehicle Floor Plan Facility. The maximum amount we are allowed to re-designate is determined based on aggregate commitments under the Revolving Credit Facility, less $50.0 million. In addition, we are able to re-designate any amounts moved to the New Vehicle Floor Plan Facility or the Used Vehicle Floor Plan Facility back to the Revolving Credit Facility. As of December 31, 2021, no availability was re-designated.</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Borrowings under the 2019 Senior Credit Facility bear interest, at our option, based on LIBOR or the Base Rate, in each case, plus an Applicable Rate. The Base Rate is the highest of (i) the Federal Funds Rate plus 0.50%, (ii) the Bank of America prime rate, and (iii) one month LIBOR plus 1.00%. Applicable Rate means with respect to the Revolving Credit Facility, a range from 1.00% to 2.00% for LIBOR loans and 0.15% to 1.00% for Base Rate loans, in each case based on the Company's consolidated total lease adjusted leverage ratio. Borrowings under the New Vehicle Floorplan Facility bear interest, at our option, based on LIBOR plus 1.10% or the Base Rate plus 0.10%. Borrowings under the Used Vehicle Floorplan Facility bear interest, at our option, based on LIBOR plus 1.40% or the Base Rate plus 0.40%.</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payment of interest on borrowings outstanding under the 2019 Senior Credit Facility, we are required to pay a quarterly commitment fee on total unused commitments thereunder. The fee for unused commitments under the Revolving Credit Facility is between 0.15% and 0.40% per year, based on the Company's total lease adjusted leverage ratio, and the fee for unused commitments under the New Vehicle Facility Floor Plan and the Used Vehicle Facility Floor Plan Facility is 0.15% per year. </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Manufacturer affiliated new vehicle floor plan and other financing facilities</w:t>
      </w:r>
      <w:r>
        <w:rPr>
          <w:color w:val="000000"/>
        </w:rPr>
        <w:t>—</w:t>
      </w:r>
      <w:r>
        <w:rPr>
          <w:rFonts w:ascii="Times New Roman;sans-serif" w:hAnsi="Times New Roman;sans-serif"/>
          <w:b w:val="false"/>
          <w:color w:val="000000"/>
          <w:sz w:val="20"/>
        </w:rPr>
        <w:t xml:space="preserve">We have a floor plan facility with the Ford Motor Credit Company ("Ford Credit") to purchase new Ford and Lincoln vehicle inventory. Our floor plan facility with Ford Credit was amended in July 2020 and can be terminated by either the Company or Ford Credit with a 30-day notice period. We have also established a floor plan offset account with Ford Credit, which operates in a similar manner to our floor plan offset account with Bank of America. As of December 31, 2021, we had $37.3 million, which is net of $2.0 million in our floor plan offset account, outstanding under our floor plan facility. Additionally, we had $146.3 million, outstanding under our 2019 Senior Credit Facility and facilities with certain manufacturers for the financing of loaner vehicles, which were presented within Accounts payable and accrued liabilities in our Consolidated Balance Sheets. Neither our floor plan facility with Ford Credit nor our facilities for loaner vehicles have stated borrowing limitations. </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 xml:space="preserve">2029 and 2032 Senior Notes — </w:t>
      </w:r>
      <w:r>
        <w:rPr>
          <w:rFonts w:ascii="Times New Roman;sans-serif" w:hAnsi="Times New Roman;sans-serif"/>
          <w:b w:val="false"/>
          <w:color w:val="000000"/>
          <w:sz w:val="20"/>
        </w:rPr>
        <w:t>On November 19, 2021, the Company completed its offering of $800.0 million aggregate principal amount of 4.625% senior notes due 2029 (the “2029 Senior Notes”) and $600.0 million aggregate principal amount of 5.000% senior notes due 2032 (the “2032 Senior Notes”). The 2029 Senior Notes and 2032 Senior Notes mature on November 15, 2024 and February 15, 2032, respectively. Interest is payable semiannually, on November 15 and May 15 of each year. The 2029 Senior Notes and the 2032 Senior Notes were offered, together with additional borrowings and cash on hand, to (i) fund the LHM Acquisition and (ii) pay fees and expenses in connection with the foregoing.</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2029 Notes and 2032 Notes have been fully and unconditionally guaranteed, on a joint and several basis, by substantially all of our subsidiaries other than the TCA Non-Guarantor Subsidiaries. In addition, the notes are subject to customary covenants, events of default and optional redemption revisions.</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2028 and 2030 Senior Notes</w:t>
      </w:r>
      <w:r>
        <w:rPr>
          <w:color w:val="000000"/>
        </w:rPr>
        <w:t>—</w:t>
      </w:r>
      <w:r>
        <w:rPr>
          <w:rFonts w:ascii="Times New Roman;sans-serif" w:hAnsi="Times New Roman;sans-serif"/>
          <w:b w:val="false"/>
          <w:color w:val="000000"/>
          <w:sz w:val="20"/>
        </w:rPr>
        <w:t>On February 19, 2020, the Company completed its offering of senior unsecured notes, consisting of $525.0 million aggregate principal amount of the Existing 2028 Notes and $600.0 million aggregate principal amount of the Existing 2030 Notes. The 2028 Notes and 2030 Notes mature on March 1, 2028 and March 1, 2030, respectively. Interest is payable semiannually, on March 1 and September 1 of each year. The 2028 Notes and the 2030 Notes were offered, together with additional borrowings and cash on hand, to (i) fund the acquisition of substantially all of the assets of Park Place, (ii) redeem all of our outstanding $600.0 million aggregate principal amount of 6.0% Senior Subordinated Notes due 2024 (the "6.0% Notes") and (iii) pay fees and expenses in connection with the foregoing.</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2020, the Company delivered notice to the sellers terminating the 2019 Park Place Agreements. As a result, the Company redeemed $245.0 million aggregate principal million of the 2028 Notes and $280.0 million aggregate principal amount of the 2030 Notes pursuant to the Special Mandatory Redemption.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completed an add-on issuance of $250.0 million aggregate principal amount of additional senior notes consisting of $125.0 million aggregate principal amount of additional 2028 Notes at a price of 101.00% of par, plus accrued interest from September 1, 2020, and $125.0 million aggregate principal amount of additional 2030 Notes (together with the additional 2028 Notes, the "Additional Notes") at a price of 101.75% of par, plus accrued interest from September 1, 2020 (the "September 2020 Offering"). After deducting the initial purchasers' discounts of $2.8 million, we received net proceeds of approximately $250.6 million from the September Offering. The $3.5 million premium paid by the initial purchasers of the Additional Notes was recorded as a component of long-term debt on our Consolidated Balance Sheet and is being amortized as a reduction of interest expense over the remaining term of the Notes. The proceeds of the September 2020 Offering were used to redeem the Seller Notes issued in connection with the Park Place Acquisition.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notes of each series are guaranteed, jointly and severally, on a senior unsecured basis, by each of our existing and future restricted subsidiaries, other than the TCA Non-Guarantor Subsidiaries. In addition, the notes are subject to customary covenants, events of default and optional redemption revisions.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pStyle w:val="TextBody"/>
        <w:spacing w:lineRule="auto" w:line="288" w:before="180" w:after="180"/>
        <w:ind w:left="0" w:right="0" w:hanging="360"/>
        <w:rPr/>
      </w:pPr>
      <w:r>
        <w:rPr>
          <w:strike/>
          <w:color w:val="000000"/>
        </w:rPr>
        <w:t>•</w:t>
      </w:r>
      <w:r>
        <w:rPr>
          <w:rFonts w:ascii="Times New Roman;sans-serif" w:hAnsi="Times New Roman;sans-serif"/>
          <w:b/>
          <w:color w:val="000000"/>
          <w:sz w:val="20"/>
        </w:rPr>
        <w:t xml:space="preserve">6.0% Senior Subordinated Notes due 2024 </w:t>
      </w:r>
      <w:r>
        <w:rPr>
          <w:color w:val="000000"/>
        </w:rPr>
        <w:t xml:space="preserve">— </w:t>
      </w:r>
      <w:r>
        <w:rPr>
          <w:rFonts w:ascii="Times New Roman;sans-serif" w:hAnsi="Times New Roman;sans-serif"/>
          <w:b w:val="false"/>
          <w:color w:val="000000"/>
          <w:sz w:val="20"/>
        </w:rPr>
        <w:t>In connection with the issuance of the Existing 2028 Notes and Existing 2030 Notes, on March 4, 2020, we redeemed all of our 6.0% Notes at 103% of par, plus accrued and unpaid interest up to, but excluding, the date of redemption.</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 xml:space="preserve">Seller Notes </w:t>
      </w:r>
      <w:r>
        <w:rPr>
          <w:color w:val="000000"/>
        </w:rPr>
        <w:t xml:space="preserve">— </w:t>
      </w:r>
      <w:r>
        <w:rPr>
          <w:rFonts w:ascii="Times New Roman;sans-serif" w:hAnsi="Times New Roman;sans-serif"/>
          <w:b w:val="false"/>
          <w:color w:val="000000"/>
          <w:sz w:val="20"/>
        </w:rPr>
        <w:t>The Seller Notes comprised $150.0 million in aggregate principal amount of 4.00% promissory note due August 2021 and $50.0 million in aggregate principal amount of 4.00% promissory note due February 2022 and were issued on August 24, 2020 in conjunction with the Park Place Acquisition. In September 2020, the Company redeemed the Seller Notes with the proceeds of the September 2020 Offering of Senior Notes.</w:t>
      </w:r>
    </w:p>
    <w:p>
      <w:pPr>
        <w:pStyle w:val="TextBody"/>
        <w:spacing w:lineRule="auto" w:line="288" w:before="180" w:after="180"/>
        <w:ind w:left="0" w:right="0" w:hanging="360"/>
        <w:rPr/>
      </w:pPr>
      <w:r>
        <w:rPr>
          <w:strike/>
          <w:color w:val="000000"/>
        </w:rPr>
        <w:t>•</w:t>
      </w:r>
      <w:r>
        <w:rPr>
          <w:rFonts w:ascii="Times New Roman;sans-serif" w:hAnsi="Times New Roman;sans-serif"/>
          <w:b/>
          <w:color w:val="000000"/>
          <w:sz w:val="20"/>
        </w:rPr>
        <w:t>Mortgage Financings</w:t>
      </w:r>
      <w:r>
        <w:rPr>
          <w:color w:val="000000"/>
        </w:rPr>
        <w:t>—</w:t>
      </w:r>
      <w:r>
        <w:rPr>
          <w:rFonts w:ascii="Times New Roman;sans-serif" w:hAnsi="Times New Roman;sans-serif"/>
          <w:b w:val="false"/>
          <w:color w:val="000000"/>
          <w:sz w:val="20"/>
        </w:rPr>
        <w:t>We have multiple mortgage agreements with finance companies affiliated with our vehicle manufacturers ("captive mortgages") and other lenders. As of December 31, 2021 we had total mortgage notes payable outstanding of $71.7 million which are collateralized by the associated real estate.</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2021 Real Estate Facility</w:t>
      </w:r>
      <w:r>
        <w:rPr>
          <w:color w:val="000000"/>
        </w:rPr>
        <w:t>—</w:t>
      </w:r>
      <w:r>
        <w:rPr>
          <w:rFonts w:ascii="Times New Roman;sans-serif" w:hAnsi="Times New Roman;sans-serif"/>
          <w:b w:val="false"/>
          <w:color w:val="000000"/>
          <w:sz w:val="20"/>
        </w:rPr>
        <w:t>On December 17, 2021, we entered into a real estate term loan credit agreement with Bank of America, N.A., as administrative agent and the other lenders party thereto, which provides for term loans in an aggregate amount equal to $689.7 million (the “2021 Real Estate Facility”). As of December 31, 2021, we had $689.7 million of outstanding borrowings under the 2021 Real Estate Facility. There is no further borrowing availability under this agreement.</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2021 BofA Real Estate Facility</w:t>
      </w:r>
      <w:r>
        <w:rPr>
          <w:color w:val="000000"/>
        </w:rPr>
        <w:t>—</w:t>
      </w:r>
      <w:r>
        <w:rPr>
          <w:rFonts w:ascii="Times New Roman;sans-serif" w:hAnsi="Times New Roman;sans-serif"/>
          <w:b w:val="false"/>
          <w:color w:val="000000"/>
          <w:sz w:val="20"/>
        </w:rPr>
        <w:t>On May 10, 2021, we entered into a real estate term loan credit agreement (the “2021 BofA Real Estate Credit Agreement”), by and among the Company and certain of its subsidiaries, Bank of America, N.A., as administrative agent and the various financial institutions party thereto, as lenders, which provides for term loans in an aggregate amount equal to $184.4 million, subject to customary terms and conditions (the “2021 BofA Real Estate Facility”). As of December 31, 2021, we had $180.7 million of outstanding borrowings under the 2021 BofA Real Estate Facility. There is no further borrowing availability under this agreement.</w:t>
      </w:r>
    </w:p>
    <w:p>
      <w:pPr>
        <w:pStyle w:val="TextBody"/>
        <w:spacing w:before="180" w:after="18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2018 Bank of America Facility</w:t>
      </w:r>
      <w:r>
        <w:rPr>
          <w:color w:val="000000"/>
        </w:rPr>
        <w:t>—</w:t>
      </w:r>
      <w:r>
        <w:rPr>
          <w:rFonts w:ascii="Times New Roman;sans-serif" w:hAnsi="Times New Roman;sans-serif"/>
          <w:b w:val="false"/>
          <w:color w:val="000000"/>
          <w:sz w:val="20"/>
        </w:rPr>
        <w:t>On November 13, 2018, we entered into a real estate term loan credit agreement (as amended, restated or supplemented from time to time, the "2018 BofA Real Estate Credit Agreement") with Bank of America, as lender, providing for term loans in an aggregate amount not to exceed $128.1 million, subject to customary terms and conditions (the "2018 BofA Real Estate Facility"). Our right to make draws under the 2018 BofA Real Estate Facility terminated on November 13, 2019. All of the real property financed by an operating dealership subsidiary of the Company under the 2018 BofA Real Estate Facility is collateralized by first priority liens, subject to certain permitted exceptions. As of December 31, 2021, we had $78.8 million of outstanding borrowings under the 2018 BofA Real Estate Facility. There is no further borrowing availability under this facility.</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2018 Wells Fargo Master Loan Facility</w:t>
      </w:r>
      <w:r>
        <w:rPr>
          <w:color w:val="000000"/>
        </w:rPr>
        <w:t>—</w:t>
      </w:r>
      <w:r>
        <w:rPr>
          <w:rFonts w:ascii="Times New Roman;sans-serif" w:hAnsi="Times New Roman;sans-serif"/>
          <w:b w:val="false"/>
          <w:color w:val="000000"/>
          <w:sz w:val="20"/>
        </w:rPr>
        <w:t>On November 16, 2018, certain of our subsidiaries entered into a master loan agreement (the "2018 Wells Fargo Master Loan Agreement") with Wells Fargo as lender, which provides for term loans to certain of our subsidiaries that are borrowers under the 2018 Wells Fargo Master Loan Agreement in an aggregate amount not to exceed $100.0 million (the "2018 Wells Fargo Master Loan Facility"). Our right to make draws under the 2018 Wells Fargo Master Loan Facility terminated on June 30, 2020. On November 16, 2018 and June 26, 2020, we borrowed an aggregate amount of $25.0 million and $69.4 million, respectively, under the 2018 Wells Fargo Master Loan Facility, the proceeds of which were used for general corporate purposes. As of December 31, 2021, we had $81.9 million, outstanding borrowings under the 2018 Wells Fargo Master Loan Facility. There is no further borrowing availability under this agreement.</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2015 Wells Fargo Master Loan Facility</w:t>
      </w:r>
      <w:r>
        <w:rPr>
          <w:color w:val="000000"/>
        </w:rPr>
        <w:t>—</w:t>
      </w:r>
      <w:r>
        <w:rPr>
          <w:rFonts w:ascii="Times New Roman;sans-serif" w:hAnsi="Times New Roman;sans-serif"/>
          <w:b w:val="false"/>
          <w:color w:val="000000"/>
          <w:sz w:val="20"/>
        </w:rPr>
        <w:t>On February 3, 2015, certain of our subsidiaries entered into an amended and restated master loan agreement (the "2015 Wells Fargo Master Loan Agreement") with Wells Fargo Bank, National Association ("Wells Fargo"), as lender, which provides for term loans to certain of our subsidiaries that are borrowers under the 2015 Wells Fargo Master Loan Agreement in an aggregate amount not to exceed $100.0 million (the "2015 Wells Fargo Master Loan Facility"). Borrowings under the 2015 Wells Fargo Master Loan Facility are guaranteed by us and are collateralized by the real property financed under the 2015 Wells Fargo Master Loan Facility. As of December 31, 2021, the outstanding balance under this agreement was $53.2 million. There is no further borrowing availability under this facility.</w:t>
      </w:r>
    </w:p>
    <w:p>
      <w:pPr>
        <w:pStyle w:val="TextBody"/>
        <w:spacing w:lineRule="auto" w:line="288" w:before="180" w:after="180"/>
        <w:ind w:left="0" w:right="0" w:hanging="360"/>
        <w:rPr/>
      </w:pPr>
      <w:r>
        <w:rPr>
          <w:color w:val="000000"/>
        </w:rPr>
        <w:t>•</w:t>
      </w:r>
      <w:r>
        <w:rPr>
          <w:rFonts w:ascii="Times New Roman;sans-serif" w:hAnsi="Times New Roman;sans-serif"/>
          <w:b/>
          <w:color w:val="000000"/>
          <w:sz w:val="20"/>
        </w:rPr>
        <w:t>2013 BofA Real Estate Facility</w:t>
      </w:r>
      <w:r>
        <w:rPr>
          <w:color w:val="000000"/>
        </w:rPr>
        <w:t>—</w:t>
      </w:r>
      <w:r>
        <w:rPr>
          <w:rFonts w:ascii="Times New Roman;sans-serif" w:hAnsi="Times New Roman;sans-serif"/>
          <w:b w:val="false"/>
          <w:color w:val="000000"/>
          <w:sz w:val="20"/>
        </w:rPr>
        <w:t>On September 26, 2013, we entered into a real estate term loan credit agreement (the "2013 BofA Real Estate Credit Agreement") with Bank of America, N.A. ("Bank of America"), as lender, providing for term loans in an aggregate amount not to exceed $75.0 million, subject to customary terms and conditions (the "2013 BofA Real Estate Facility"). As of December 31, 2021, we had $31.1 million of outstanding borrowings under the 2013 BofA Real Estate Facility. There is no further borrowing availability under this agreement</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Covenants and Defaults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customary covenants in our various debt and lease agreements, including those described below. We were in compliance with all of our covenants as of December 31, 2021. Failure to comply with any of our debt covenants would constitute a default under the relevant debt agreements, which would entitle the lenders under such agreements to terminate our ability to borrow under the relevant agreements and accelerate our obligations to repay outstanding borrowings, if any, unless compliance with the covenants were waived. In many cases, defaults under one of our agreements could trigger cross-default provisions in our other agreements. If we are unable to remain in compliance with our financial or other covenants, we would be required to seek waivers or modifications of our covenants from our lenders, or we would need to raise debt and/or equity financing or sell assets to generate proceeds sufficient to repay such debt. We cannot give any assurance that we would be able to successfully take any of these actions on terms, or at times, that may be necessary or desirable.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2021 Real Estate Facility, 2021 BofA Real Estate Facility, 2018 BofA Real Estate Credit Agreement, 2018 Wells Fargo Master Loan Agreement, 2013 BofA Real Estate Credit Agreement, 2015 Wells Fargo Master Loan Agreement and the related documents are customary for financing transactions of this nature, including, among others, requirements to comply with a minimum consolidated fixed charge coverage ratio and maximum consolidated total lease adjusted leverage ratio, in each case, as applicable. In addition, certain other covenants could restrict our ability to incur additional debt, pay dividends or acquire or dispose of assets. Each of these agreements provides for events of default that are customary for financing transactions of this nature, including cross-defaults to other material indebtedness. Upon the occurrence of an event of default, we could be required by the applicable agreement to immediately repay all amounts outstanding thereunder.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representations and covenants contained in the agreement governing the 2019 Senior Credit Facility are customary for financing transactions of this nature including, among others, a requirement to comply with a minimum consolidated fixed charge coverage ratio and maximum consolidated total lease adjusted leverage ratio, in each case as set out in the agreement governing the 2019 Senior Credit Facility. In addition, certain other covenants could restrict the Company's ability to incur additional debt, pay dividends or acquire or dispose of assets. The agreement governing the 2019 Senior Credit Facility also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provides for events of default that are customary for financing transactions of this nature, including cross-defaults to other material indebtedness. In certain instances, an event of default under either the Revolving Credit Facility or the Used Vehicle Floor Plan Facility could be, or result in, an event of default under the New Vehicle Floor Plan Facility, and vice versa. Upon the occurrence of an event of default, the Company could be required to immediately repay all amounts outstanding under the applicable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2019 Senior Credit Facility and the Indentures currently allow for restricted payments without limit so long as our Consolidated Total Leverage Ratio (as defined in the 2019 Senior Credit Facility and the Indentures) is no greater than 3.0 to 1.0 after giving effect to such proposed restricted payments. Restricted payments generally include items such as dividends, share repurchases, unscheduled repayments of subordinated debt, or purchases of certain investments. Subject to our continued compliance with a consolidated fixed charge coverage ratio and a maximum consolidated total lease adjusted leverage ratio, in each case as set out in the Indentures, restricted payments capacity additions (or subtractions if negative) equal to a base level plus the cumulative amount of (i) 50% of our net income (as defined in the 2019 Senior Credit Facility) plus (ii) 100% of any cash proceeds we receive from the sale of equity interests minus (iii) the dollar amount of share purchases made and dividends paid during the defined measurement periods, subject to certain exceptions. In the event that our Consolidated Total Leverage Ratio does (or would) exceed 3.0 to 1.0, the 2019 Senior Credit Facility and the Indentures would then also allow for restricted payments under mutually exclusive parameters, subject to certain exclusions.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2028 Senior Notes and 2030 Senior Notes, our most restrictive indentures, these parameters 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may repurchase its own shares in an aggregate amount not to exceed $20.0 million in any fiscal year.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may otherwise make restricted payments only up the cumulative capacity above. Our restricted payment capacity balance as of December 31, 2021 was $958.6 million.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Share Repurchases and Dividend Restrictions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ability to repurchase shares or pay dividends on our common stock is subject to our compliance with the covenants and restrictions described in "Covenants and Defaults" above.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30, 2014, our Board of Directors authorized the Repurchase Program. On October 19, 2018, our Board of Directors reset the authorization under our Repurchase Program to $100.0 million in the aggregate, for the repurchase of our common stock in open market transactions or privately negotiated transactions, from time to time.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we did not repurchase any shares of our common stock under the Repurchase Program. As of December 31, 2021 we had remaining authorization to repurchase $100.0 million in shares of our common stock under the Repurchase Program.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February 14, 2022, the Board of Directors increased the Company’s share repurchase authorization under our Repurchase Program by $100.0 million to $200.0 million.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we repurchased 65,937 shares of our common stock for $10.4 million from employees in connection with a net share settlement feature of employee equity-based awards.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Contractual Obligations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the following contractual obligations (in millions; note references are to the notes to our Consolidated Financial Statements included elsewhere herein):</w:t>
      </w:r>
    </w:p>
    <w:tbl>
      <w:tblPr>
        <w:tblW w:w="10205" w:type="dxa"/>
        <w:jc w:val="left"/>
        <w:tblInd w:w="0" w:type="dxa"/>
        <w:tblCellMar>
          <w:top w:w="28" w:type="dxa"/>
          <w:left w:w="28" w:type="dxa"/>
          <w:bottom w:w="28" w:type="dxa"/>
          <w:right w:w="28" w:type="dxa"/>
        </w:tblCellMar>
      </w:tblPr>
      <w:tblGrid>
        <w:gridCol w:w="512"/>
        <w:gridCol w:w="415"/>
        <w:gridCol w:w="41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51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(Notes11&amp;12)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expense (a)</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14) (a)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(a)(b)</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(a)For additional information related to the Company's operating and finance lease liabilities presented within the accompanying Consolidated Financial Statements, see Note 19 "Leases" of the Notes thereto.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(b)Includes variable rate interest payments calculated using an estimated LIBOR rate of 0.10%, and assumes that borrowings will not be refinanced prior to or upon maturity.</w:t>
      </w:r>
    </w:p>
    <w:p>
      <w:pPr>
        <w:pStyle w:val="TextBody"/>
        <w:spacing w:lineRule="auto" w:line="288" w:before="180" w:after="283"/>
        <w:ind w:left="0" w:right="0" w:hanging="720"/>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Classification of Cash Flows Associated with Floor Plan Notes Payable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Borrowings and repayments of floor plan notes payable through our 2019 Senior Credit Facility ("Non-Trade"), and all floor plan notes payable relating to used vehicles (together referred to as "Floor Plan Notes Payable—Non-Trade"), are classified as financing activities on the accompanying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Consolidated Statements of Cash Flows. Borrowings of floor plan notes payable associated with inventory acquired in connection with all acquisitions and repayments made in connection with all divestitures are classified as a financing activity in the accompanying Consolidated Statement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2019 Senior Credit Facility that includes lenders affiliated with the manufacturers and lenders not affiliated with the manufacturers from which we purchased the related inventory. The majority of our floor plan notes are payable to our 2019 Senior Credit Facility, with the exception of floor plan notes payable relating to the financing of new Ford and Lincoln vehicles.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analysis of our operating results in accordance with GAAP. In order to compensate for these potential limitations we also review the related GAAP measures. Adjusted cash flow provided by operating activities for the years ended December 31, 2020 and 2019 differ from previously disclosed non-gaap operating cash flow measures presented in Management's Discussion and Analysis due to the impact on operating cash flows, as reported, of the Company's material acquisitions during the year ended December 31, 2021. We believe that the additional adjustments related to cash flows associated with our used vehicle borrowing base, floorplan offset accounts and the impact of acquisitions and divestitures eliminates cash flow volatility and provides an adjusted operating cash flow metric that best reflects our results of operations and our management of inventory and related financing activities.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floorplan offset accounts were classified as an operating activity for both Floorplan Notes Payable - Non-Trade and Floor Plan Notes Payable - Trade.</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293"/>
        <w:gridCol w:w="2013"/>
        <w:gridCol w:w="2023"/>
        <w:gridCol w:w="211"/>
        <w:gridCol w:w="766"/>
        <w:gridCol w:w="109"/>
        <w:gridCol w:w="109"/>
        <w:gridCol w:w="109"/>
        <w:gridCol w:w="109"/>
        <w:gridCol w:w="211"/>
        <w:gridCol w:w="616"/>
        <w:gridCol w:w="109"/>
        <w:gridCol w:w="109"/>
        <w:gridCol w:w="109"/>
        <w:gridCol w:w="109"/>
        <w:gridCol w:w="211"/>
        <w:gridCol w:w="616"/>
        <w:gridCol w:w="109"/>
        <w:gridCol w:w="109"/>
        <w:gridCol w:w="155"/>
      </w:tblGrid>
      <w:tr>
        <w:trPr/>
        <w:tc>
          <w:tcPr>
            <w:tcW w:w="2293"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Cash provided by operating activities to Cash provided by operating activities, as adjusted</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as reported</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 Non-Trade,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 Non-Trade associated with floor plan offset, used vehicle borrowing base changes adjusted for acquisition and divestitures</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 Trade associated with floor plan offset and net acquisition and divestitures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cash flow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18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10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totaled $1.16 billion, $652.5 million, and $349.8 million for the years ended December 31, 2021, 2020, and 2019, respectively. Adjusted cash flow provided by operating activities totaled $632.1 million, $442.6 million, and $282.3 million for the years ended December 31, 2021, 2020, and 2019, respectively. Adjusted cash flow provided by operating activities includes net income, adjustments to reconcile net income to net cash provided by operating activities, changes in working capital, changes in used vehicle borrowing base, changes in Floor Plan Notes Payable - Non-Trade and Trade, excluding the impact of offsets, and excluding operating cash flows associated with acquisitions and divestitures related to loaner vehicles and new vehicle inventories financed through Floor Plan Notes Payable - Trade.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$189.5 million increase in Adjusted cash flow provided by operating activities for the year ended December 31, 2021 compared to the year ended December 31, 2020, was primarily the result of the following:</w:t>
      </w:r>
    </w:p>
    <w:p>
      <w:pPr>
        <w:pStyle w:val="TextBody"/>
        <w:spacing w:before="0" w:after="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increase in $314.2 million net income and non-cash adjustments to net income primarily related to less gain on dealership divestitures in 2021 when compared to 2020, partially offset by no franchise rights impairment in 2021;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$69.7 million related to sales volume and the timing of collection of accounts receivable and contracts-in-transit during 2021 as compared to 2020.</w:t>
      </w:r>
    </w:p>
    <w:p>
      <w:pPr>
        <w:pStyle w:val="TextBody"/>
        <w:spacing w:lineRule="auto" w:line="288"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The increase in our Adjusted cash flow provided by operating activities, was partially offset 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$67.3 million related to a decrease in inventory, net of floor plan notes payable, including both trade and non-trade, excluding offset and including used vehicle borrowing base changes adjusted for acquisitions and divestitures;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$26.8 million related to the change in other long-term assets and liabilities;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$43.8 million related to the change in other current assets, net;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$56.8 million related to a decrease in accounts payable and accrued liabilities.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$160.3 million increase in our Adjusted cash flow provided by operating activities for the year ended December 31, 2020 compared to the year ended December 31, 2019, was primarily the result of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$23.6 million related to a increase in inventory, net of floor plan notes payable, including both trade and non-trade, excluding offset and including used vehicle borrowing base changes adjusted for acquisitions and divestitures;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$57.5 million related to an increase in accounts payable and accrued liabilities;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$59.2 million related to non-cash adjustments to net income primarily related to the gain on dealership divestitures in 2020 when compared to 2019;</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$16.5 million related to sales volume and the timing of collection of accounts receivable and contracts-in-transit during 2020 as compared to 2019;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$14.3 million related to the change in other long-term assets and liabilities.</w:t>
      </w:r>
    </w:p>
    <w:p>
      <w:pPr>
        <w:pStyle w:val="TextBody"/>
        <w:spacing w:before="0" w:after="180"/>
        <w:ind w:left="0" w:right="0" w:firstLine="270"/>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The decrease in our net cash provided by operating activities, as adjusted, was partially offset 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$9.6 million related to the change in other current assets, net;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$1.2 million related to operating lease liabilities.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totaled $3.92 billion, $820.8 million, and $227.6 million for the years ended December 31, 2021, 2020, and 2019, respectively. Cash flows from investing activities relate primarily to capital expenditures, acquisitions, divestitures, and the sale of property and equipment.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Capital expenditures, excluding the purchase of real estate and acquisitions, were $74.2 million, $46.5 million, and $57.6 million for the years ended December 31, 2021, 2020, and 2019, respectively. Purchases of real estate totaled $7.8 million, $2.3 million, and $9.2 million for the years ended December 31, 2021, 2020, and 2019, respectively. In addition, we purchased previously leased facilities for $217.1 million, and $4.9 million during the years ended December 31, 2021, and 2019, respectively.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expect that capital expenditures during 2022 will total approximately $150.0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17, 2021, we completed the acquisition of LHM and TCA for a total purchase price of approximately $3.48 billion. The sources of the purchase price included 2029 Notes, 2032 Notes, 2021 Real Estate Facility, proceeds from our common stock offering, new floorplan notes payable trade and non-trade, used vehicle floorplan notes payable, payables to Seller and cash. In addition to these acquisitions, during the year ended December 31, 2021, we acquired the assets of 11 franchises (10 dealership locations) in in the Denver, Colorado market and three franchises (one dealership location) in the Indianapolis, Indiana market for a combined purchase price of $485.7 million. We funded this acquisition with an aggregate of $455.1 million of cash, and $9.6 million of floor plan borrowings for the purchase of the related new vehicle inventory. In the aggregate, these acquisitions included purchase price holdbacks of $21.0 million for potential indemnity claims made by us with respect to the acquired franchises. In addition to the acquisition amounts above, we released $1.0 million of purchase price holdbacks related to current and prior year acquisitions during the year ended December 31, 2021.</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acquired substantially all of the assets of, and leased the real property related to 12 new vehicle dealership franchises (eight dealership locations), two collision centers and an auto auction comprising the Park Place Dealership group for a purchase price of $889.9 million. We funded this acquisition with $527.4 million of cash, $200.0 million of Seller Notes, $127.5 million of floor plan borrowings for the purchase of the related new vehicle inventory and $35.0 million of floor plan borrowings for the purchase of the related used vehicle inventory. In addition, we acquired the assets of three franchises (one dealership location) in the Denver, Colorado market for a purchase price of $63.6 million. This acquisition was funded with an aggregate of $34.5 million of cash and $27.1 million of floor plan borrowings for the purchase of the related new vehicle inventory. These acquisitions included purchase price holdbacks of $2.0 million for potential indemnity claims made by us with respect to the acquired franchises. In addition to the acquisition amounts above, we released $2.5 million of purchase price holdbacks related to a prior year acquisition.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2019, we acquired the assets of nine franchises (five dealership locations) and one collision center in the Indianapolis, Indiana market and one franchise (one dealership location) in the Denver, Colorado market for a combined purchase price of $210.4 million. We funded these acquisitions with an aggregate of $153.9 million of cash and $55.3 million of floor plan borrowings for the purchase of the related new vehicle inventory. In the aggregate, these acquisitions included purchase price holdbacks of $1.2 million for potential indemnity claims made by us with respect to the acquired franchises. In addition to the acquisition amounts above, we released $0.8 million of purchase price holdbacks related to a prior year acquisition. </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divested one franchise (one dealership location) in the Charlottesville, Virginia market for proceeds of $21.3 million. </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divested two franchises (two dealership locations) in the Atlanta, Georgia market, six franchises (five dealership locations) and one collision center in the Jackson, Mississippi market, and one franchise (one dealership location) in the Greenville, South Carolina market for proceeds of $177.9 million.</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we divested one franchise (one dealership location) and one collision center for proceeds of $39.1 million. Additionally, proceeds from the sale of assets, unrelated to a dealership divestiture, were $21.5 million, $4.2 million, and $15.0 million for the years ended December 31, 2021, 2020, and 2019, respectively.</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upon the acquisition of TCA, we purchased available-for-sale debt securities and equity securities for $1.1 million and $0.4 million, respectively. During December 2021, we also received proceeds of $0.8 million and $0.4 million from the sale of available for sale debt securities and equity securities, respectively.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totaled $2.93 billion and $166.2 million for the years ended December 31, 2021 and 2020, respectively. Net cash used in financing activities totaled $127.0 million for the year ended December 31, 2019.</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2020, and 2019, we had non-trade floor plan borrowings of $5.04 billion, $4.31 billion, and $4.32 billion, respectively. Included in our non-trade floor plan borrowings, were borrowings of $294.0 million, $220.0 million, and $80.0 million for the years ended December 31, 2021, 2020, and 2019, respectively, related to our used vehicle floor plan facility. During the year ended December 31, 2021 we borrowed $439.0 million and repaid $270.0 million on our revolving line of credit. In addition, during the years ended December 31, 2021, 2020, and 2019, we had non-trade floor plan borrowings of $214.5 million, $131.6 million, and $55.3 million respectively, related to acquisitions. The majority of our floor plan notes are payable to parties unaffiliated with the entities from which we purchase our new vehicle inventory, with the exception of floor plan notes payable relating to the financing of new Ford and Lincoln vehicles.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2020, and 2019, we made non-trade floor plan repayments of $5.36 billion, $4.47 billion, and $4.51 billion, respectively. Included in our non-trade floor plan repayments were repayments of $220.0 million and $110.0 million for the years ended December 31, 2020, and 2019, respectively, related to our used vehicle floor plan facility. We had no repayment for the year ended December 31, 2021. In addition, during the years ended December 31, 2021, 2020 and 2019 we had floor plan repayments associated with dealership divestitures of $0.8 million, $60.4 million, and $14.1 million respectively.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we received proceeds from borrowings totaling $2.27 billion, $1.88 billion and $97.7 million, respectively.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Repayments of borrowings totaled $41.5 million, $1.62 billion, and $48.4 million, for the years ended December 31, 2021, 2020, and 2019, respectively.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received net proceeds from the issuance of common stock totaling $666.9 million.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did not repurchase any shares of our common stock under our Repurchase Program. We did repurchase 65,937 shares of our common stock for $10.4 million from employees in connection with a net share settlement feature of employee equity-based awards.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had no off balance sheet arrangements during any of the periods presented other than those disclosed in Note 21 "Commitments and Contingencies" of the Notes to Consolidated Financial Statements thereto.</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outstanding $405 million of 4.500% Senior Notes due 2028 and $445 million of 4.750% Senior Notes due 2030. As explained in Note 14 of the Company's Consolidated Financial Statements as of and for the year ended December 31, 2021, the Senior Notes have been fully and unconditionally guaranteed, jointly and severally, on a senior unsecured basis, by each existing and future restricted subsidiary of the Company (the “Guarantor Subsidiaries”), which are listed in Exhibit 22, with the exception of Landcar Administration Company, Landcar Agency, Inc. and Landcar Casualty Company and their respective subsidiaries (collectively, the “TCA Non-Guarantor Subsidiaries).</w:t>
      </w:r>
    </w:p>
    <w:p>
      <w:pPr>
        <w:pStyle w:val="TextBody"/>
        <w:spacing w:before="0" w:after="0"/>
        <w:rPr/>
      </w:pPr>
      <w:r>
        <w:rPr/>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7171" w:type="dxa"/>
        <w:jc w:val="left"/>
        <w:tblInd w:w="0" w:type="dxa"/>
        <w:tblCellMar>
          <w:top w:w="28" w:type="dxa"/>
          <w:left w:w="28" w:type="dxa"/>
          <w:bottom w:w="28" w:type="dxa"/>
          <w:right w:w="28" w:type="dxa"/>
        </w:tblCellMar>
      </w:tblPr>
      <w:tblGrid>
        <w:gridCol w:w="875"/>
        <w:gridCol w:w="770"/>
        <w:gridCol w:w="770"/>
        <w:gridCol w:w="887"/>
        <w:gridCol w:w="3222"/>
        <w:gridCol w:w="647"/>
      </w:tblGrid>
      <w:tr>
        <w:trPr/>
        <w:tc>
          <w:tcPr>
            <w:tcW w:w="87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222"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717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 Data of Asbury and Guarantor Subsidiaries</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1,778.4 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affiliates</w:t>
            </w:r>
          </w:p>
        </w:tc>
        <w:tc>
          <w:tcPr>
            <w:tcW w:w="4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4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5,511.3 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4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affiliates</w:t>
            </w:r>
          </w:p>
        </w:tc>
        <w:tc>
          <w:tcPr>
            <w:tcW w:w="4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4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3,916.7 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7521" w:type="dxa"/>
        <w:jc w:val="left"/>
        <w:tblInd w:w="0" w:type="dxa"/>
        <w:tblCellMar>
          <w:top w:w="28" w:type="dxa"/>
          <w:left w:w="28" w:type="dxa"/>
          <w:bottom w:w="28" w:type="dxa"/>
          <w:right w:w="28" w:type="dxa"/>
        </w:tblCellMar>
      </w:tblPr>
      <w:tblGrid>
        <w:gridCol w:w="740"/>
        <w:gridCol w:w="650"/>
        <w:gridCol w:w="650"/>
        <w:gridCol w:w="1022"/>
        <w:gridCol w:w="3713"/>
        <w:gridCol w:w="746"/>
      </w:tblGrid>
      <w:tr>
        <w:trPr/>
        <w:tc>
          <w:tcPr>
            <w:tcW w:w="74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371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752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 Data for Asbury and Guarantor Subsidiaries</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9,825.7 </w:t>
            </w:r>
          </w:p>
        </w:tc>
        <w:tc>
          <w:tcPr>
            <w:tcW w:w="7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1,901.7 </w:t>
            </w:r>
          </w:p>
        </w:tc>
        <w:tc>
          <w:tcPr>
            <w:tcW w:w="7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47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788.3 </w:t>
            </w:r>
          </w:p>
        </w:tc>
        <w:tc>
          <w:tcPr>
            <w:tcW w:w="7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529.1 </w:t>
            </w:r>
          </w:p>
        </w:tc>
        <w:tc>
          <w:tcPr>
            <w:tcW w:w="7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exposed to risk from changes in interest rates on a significant portion of our outstanding indebtedness. Based on $1.40 billion of non-hedged total variable interest rate debt, which includes our floor plan notes payable, amounts drawn on our used vehicle floor plan, revolver and certain mortgage liabilities, outstanding as of December 31, 2021, a 100 basis point change in interest rates would result in a change of $14.0 million in annual interest expense.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periodically receive floor plan assistance from certain automobile manufacturers, which is accounted for as a reduction in our new vehicle inventory cost. Floor plan assistance reduced our cost of sales for the years ended December 31, 2021, 2020, and 2019, by $57.5 million, $44.0 million, and $42.2 million, respectively. We cannot provide assurance as to the future amount of floor plan assistance and these amounts may be negatively impacted due to future changes in interest rates.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part of our strategy to mitigate our exposure to fluctuations in interest rates, we have various interest rate swap agreements. All of our interest rate swaps qualify for cash flow hedge accounting treatment and do not contain any ineffectiveness.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five interest rate swap agreements. In May 2021, we entered into a new interest rate swap agreement with a notional principal amount of $184.4 million which will reduce to $110.6 million at maturity. This swap, along with our existing swaps, was designed to provide a hedge against changes in variable rate cash flows regarding fluctuations in the one month LIBOR rate, through each swap's maturity date as noted in the table below. The following table provides information on the attributes of each swap as of December 31, 2021:</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487"/>
        <w:gridCol w:w="401"/>
        <w:gridCol w:w="403"/>
        <w:gridCol w:w="109"/>
        <w:gridCol w:w="109"/>
        <w:gridCol w:w="109"/>
        <w:gridCol w:w="420"/>
        <w:gridCol w:w="1226"/>
        <w:gridCol w:w="216"/>
        <w:gridCol w:w="109"/>
        <w:gridCol w:w="109"/>
        <w:gridCol w:w="109"/>
        <w:gridCol w:w="579"/>
        <w:gridCol w:w="1692"/>
        <w:gridCol w:w="302"/>
        <w:gridCol w:w="109"/>
        <w:gridCol w:w="109"/>
        <w:gridCol w:w="109"/>
        <w:gridCol w:w="412"/>
        <w:gridCol w:w="1204"/>
        <w:gridCol w:w="213"/>
        <w:gridCol w:w="109"/>
        <w:gridCol w:w="109"/>
        <w:gridCol w:w="109"/>
        <w:gridCol w:w="423"/>
        <w:gridCol w:w="377"/>
        <w:gridCol w:w="542"/>
      </w:tblGrid>
      <w:tr>
        <w:trPr/>
        <w:tc>
          <w:tcPr>
            <w:tcW w:w="48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 at Inception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Notional Value as of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 at 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2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BFE4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21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30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1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BFE4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2031</w:t>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2028</w:t>
            </w:r>
          </w:p>
        </w:tc>
      </w:tr>
      <w:tr>
        <w:trPr/>
        <w:tc>
          <w:tcPr>
            <w:tcW w:w="1291" w:type="dxa"/>
            <w:gridSpan w:val="3"/>
            <w:tcBorders/>
            <w:shd w:fill="BFE4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1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0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1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BFE4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r>
      <w:tr>
        <w:trPr/>
        <w:tc>
          <w:tcPr>
            <w:tcW w:w="1291" w:type="dxa"/>
            <w:gridSpan w:val="3"/>
            <w:tcBorders/>
            <w:shd w:fill="BFE4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2013</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1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30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1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BFE4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r>
    </w:tbl>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the effect of our derivative instruments, please refer to Note 15 "Financial Instruments and Fair Value" within the accompanying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8.</w:t>
      </w:r>
      <w:r>
        <w:rPr>
          <w:rFonts w:ascii="Times New Roman;sans-serif" w:hAnsi="Times New Roman;sans-serif"/>
          <w:b/>
          <w:color w:val="000000"/>
          <w:sz w:val="20"/>
        </w:rPr>
        <w:t>Financial Statements and Supplementary Data</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435" w:type="dxa"/>
        <w:jc w:val="center"/>
        <w:tblInd w:w="0" w:type="dxa"/>
        <w:tblCellMar>
          <w:top w:w="28" w:type="dxa"/>
          <w:left w:w="28" w:type="dxa"/>
          <w:bottom w:w="28" w:type="dxa"/>
          <w:right w:w="28" w:type="dxa"/>
        </w:tblCellMar>
      </w:tblPr>
      <w:tblGrid>
        <w:gridCol w:w="3209"/>
        <w:gridCol w:w="2820"/>
        <w:gridCol w:w="2835"/>
        <w:gridCol w:w="167"/>
        <w:gridCol w:w="167"/>
        <w:gridCol w:w="237"/>
      </w:tblGrid>
      <w:tr>
        <w:trPr/>
        <w:tc>
          <w:tcPr>
            <w:tcW w:w="3209" w:type="dxa"/>
            <w:tcBorders/>
            <w:shd w:fill="auto" w:val="clear"/>
            <w:vAlign w:val="center"/>
          </w:tcPr>
          <w:p>
            <w:pPr>
              <w:pStyle w:val="TableContents"/>
              <w:spacing w:before="0" w:after="283"/>
              <w:rPr>
                <w:sz w:val="4"/>
                <w:szCs w:val="4"/>
              </w:rPr>
            </w:pPr>
            <w:r>
              <w:rPr>
                <w:sz w:val="4"/>
                <w:szCs w:val="4"/>
              </w:rPr>
            </w:r>
          </w:p>
        </w:tc>
        <w:tc>
          <w:tcPr>
            <w:tcW w:w="2820"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67">
              <w:r>
                <w:rPr>
                  <w:rStyle w:val="InternetLink"/>
                </w:rPr>
                <w:t>Reports of Independent Registered Public Accounting Firm</w:t>
              </w:r>
            </w:hyperlink>
            <w:hyperlink w:anchor="ica60ed0147874e66890b2a322b937654_67">
              <w:r>
                <w:rPr>
                  <w:rStyle w:val="InternetLink"/>
                </w:rPr>
                <w:t xml:space="preserve"> (PCAOB ID: </w:t>
              </w:r>
            </w:hyperlink>
            <w:r>
              <w:rPr>
                <w:rFonts w:ascii="Times New Roman;sans-serif" w:hAnsi="Times New Roman;sans-serif"/>
                <w:b w:val="false"/>
                <w:color w:val="000000"/>
                <w:sz w:val="20"/>
              </w:rPr>
              <w:t>42)</w:t>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ca60ed0147874e66890b2a322b937654_67">
              <w:r>
                <w:rPr>
                  <w:rStyle w:val="InternetLink"/>
                  <w:rFonts w:ascii="Times New Roman;sans-serif" w:hAnsi="Times New Roman;sans-serif"/>
                  <w:b w:val="false"/>
                  <w:color w:val="0000FF"/>
                  <w:sz w:val="20"/>
                  <w:u w:val="single"/>
                </w:rPr>
                <w:t>70</w:t>
              </w:r>
            </w:hyperlink>
          </w:p>
        </w:tc>
      </w:tr>
      <w:tr>
        <w:trPr/>
        <w:tc>
          <w:tcPr>
            <w:tcW w:w="8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73">
              <w:r>
                <w:rPr>
                  <w:rStyle w:val="InternetLink"/>
                </w:rPr>
                <w:t>Consolidated Balance Sheets as of December 31, 202</w:t>
              </w:r>
            </w:hyperlink>
            <w:hyperlink w:anchor="ica60ed0147874e66890b2a322b937654_73">
              <w:r>
                <w:rPr>
                  <w:rStyle w:val="InternetLink"/>
                </w:rPr>
                <w:t>1</w:t>
              </w:r>
            </w:hyperlink>
            <w:hyperlink w:anchor="ica60ed0147874e66890b2a322b937654_73">
              <w:r>
                <w:rPr>
                  <w:rStyle w:val="InternetLink"/>
                </w:rPr>
                <w:t xml:space="preserve"> and 20</w:t>
              </w:r>
            </w:hyperlink>
            <w:hyperlink w:anchor="ica60ed0147874e66890b2a322b937654_73">
              <w:r>
                <w:rPr>
                  <w:rStyle w:val="InternetLink"/>
                </w:rPr>
                <w:t>20</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73">
              <w:r>
                <w:rPr>
                  <w:rStyle w:val="InternetLink"/>
                  <w:rFonts w:ascii="Times New Roman;sans-serif" w:hAnsi="Times New Roman;sans-serif"/>
                  <w:b w:val="false"/>
                  <w:color w:val="0000FF"/>
                  <w:sz w:val="20"/>
                  <w:u w:val="single"/>
                </w:rPr>
                <w:t>74</w:t>
              </w:r>
            </w:hyperlink>
          </w:p>
        </w:tc>
      </w:tr>
      <w:tr>
        <w:trPr/>
        <w:tc>
          <w:tcPr>
            <w:tcW w:w="8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76">
              <w:r>
                <w:rPr>
                  <w:rStyle w:val="InternetLink"/>
                </w:rPr>
                <w:t>Consolidated Statements of Income for the Year Ended December 31, 202</w:t>
              </w:r>
            </w:hyperlink>
            <w:hyperlink w:anchor="ica60ed0147874e66890b2a322b937654_76">
              <w:r>
                <w:rPr>
                  <w:rStyle w:val="InternetLink"/>
                </w:rPr>
                <w:t>1</w:t>
              </w:r>
            </w:hyperlink>
            <w:hyperlink w:anchor="ica60ed0147874e66890b2a322b937654_76">
              <w:r>
                <w:rPr>
                  <w:rStyle w:val="InternetLink"/>
                </w:rPr>
                <w:t>, 20</w:t>
              </w:r>
            </w:hyperlink>
            <w:hyperlink w:anchor="ica60ed0147874e66890b2a322b937654_76">
              <w:r>
                <w:rPr>
                  <w:rStyle w:val="InternetLink"/>
                </w:rPr>
                <w:t>20</w:t>
              </w:r>
            </w:hyperlink>
            <w:hyperlink w:anchor="ica60ed0147874e66890b2a322b937654_76">
              <w:r>
                <w:rPr>
                  <w:rStyle w:val="InternetLink"/>
                </w:rPr>
                <w:t>, and 201</w:t>
              </w:r>
            </w:hyperlink>
            <w:hyperlink w:anchor="ica60ed0147874e66890b2a322b937654_76">
              <w:r>
                <w:rPr>
                  <w:rStyle w:val="InternetLink"/>
                </w:rPr>
                <w:t>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76">
              <w:r>
                <w:rPr>
                  <w:rStyle w:val="InternetLink"/>
                  <w:rFonts w:ascii="Times New Roman;sans-serif" w:hAnsi="Times New Roman;sans-serif"/>
                  <w:b w:val="false"/>
                  <w:color w:val="0000FF"/>
                  <w:sz w:val="20"/>
                  <w:u w:val="single"/>
                </w:rPr>
                <w:t>75</w:t>
              </w:r>
            </w:hyperlink>
          </w:p>
        </w:tc>
      </w:tr>
      <w:tr>
        <w:trPr/>
        <w:tc>
          <w:tcPr>
            <w:tcW w:w="8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79">
              <w:r>
                <w:rPr>
                  <w:rStyle w:val="InternetLink"/>
                </w:rPr>
                <w:t>Consolidated Statements of Comprehensive Income for the Year Ended December 31, 202</w:t>
              </w:r>
            </w:hyperlink>
            <w:hyperlink w:anchor="ica60ed0147874e66890b2a322b937654_79">
              <w:r>
                <w:rPr>
                  <w:rStyle w:val="InternetLink"/>
                </w:rPr>
                <w:t>1</w:t>
              </w:r>
            </w:hyperlink>
            <w:hyperlink w:anchor="ica60ed0147874e66890b2a322b937654_79">
              <w:r>
                <w:rPr>
                  <w:rStyle w:val="InternetLink"/>
                </w:rPr>
                <w:t>, 20</w:t>
              </w:r>
            </w:hyperlink>
            <w:hyperlink w:anchor="ica60ed0147874e66890b2a322b937654_79">
              <w:r>
                <w:rPr>
                  <w:rStyle w:val="InternetLink"/>
                </w:rPr>
                <w:t>20</w:t>
              </w:r>
            </w:hyperlink>
            <w:hyperlink w:anchor="ica60ed0147874e66890b2a322b937654_79">
              <w:r>
                <w:rPr>
                  <w:rStyle w:val="InternetLink"/>
                </w:rPr>
                <w:t>, and 201</w:t>
              </w:r>
            </w:hyperlink>
            <w:hyperlink w:anchor="ica60ed0147874e66890b2a322b937654_79">
              <w:r>
                <w:rPr>
                  <w:rStyle w:val="InternetLink"/>
                </w:rPr>
                <w:t>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79">
              <w:r>
                <w:rPr>
                  <w:rStyle w:val="InternetLink"/>
                  <w:rFonts w:ascii="Times New Roman;sans-serif" w:hAnsi="Times New Roman;sans-serif"/>
                  <w:b w:val="false"/>
                  <w:color w:val="0000FF"/>
                  <w:sz w:val="20"/>
                  <w:u w:val="single"/>
                </w:rPr>
                <w:t>76</w:t>
              </w:r>
            </w:hyperlink>
          </w:p>
        </w:tc>
      </w:tr>
      <w:tr>
        <w:trPr/>
        <w:tc>
          <w:tcPr>
            <w:tcW w:w="8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82">
              <w:r>
                <w:rPr>
                  <w:rStyle w:val="InternetLink"/>
                </w:rPr>
                <w:t>Consolidated Statements of Shareholders' Equity for the Year Ended December 31, 202</w:t>
              </w:r>
            </w:hyperlink>
            <w:hyperlink w:anchor="ica60ed0147874e66890b2a322b937654_82">
              <w:r>
                <w:rPr>
                  <w:rStyle w:val="InternetLink"/>
                </w:rPr>
                <w:t>1</w:t>
              </w:r>
            </w:hyperlink>
            <w:hyperlink w:anchor="ica60ed0147874e66890b2a322b937654_82">
              <w:r>
                <w:rPr>
                  <w:rStyle w:val="InternetLink"/>
                </w:rPr>
                <w:t>, 20</w:t>
              </w:r>
            </w:hyperlink>
            <w:hyperlink w:anchor="ica60ed0147874e66890b2a322b937654_82">
              <w:r>
                <w:rPr>
                  <w:rStyle w:val="InternetLink"/>
                </w:rPr>
                <w:t>20</w:t>
              </w:r>
            </w:hyperlink>
            <w:hyperlink w:anchor="ica60ed0147874e66890b2a322b937654_82">
              <w:r>
                <w:rPr>
                  <w:rStyle w:val="InternetLink"/>
                </w:rPr>
                <w:t>, and 20</w:t>
              </w:r>
            </w:hyperlink>
            <w:hyperlink w:anchor="ica60ed0147874e66890b2a322b937654_82">
              <w:r>
                <w:rPr>
                  <w:rStyle w:val="InternetLink"/>
                </w:rPr>
                <w:t>19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82">
              <w:r>
                <w:rPr>
                  <w:rStyle w:val="InternetLink"/>
                  <w:rFonts w:ascii="Times New Roman;sans-serif" w:hAnsi="Times New Roman;sans-serif"/>
                  <w:b w:val="false"/>
                  <w:color w:val="0000FF"/>
                  <w:sz w:val="20"/>
                  <w:u w:val="single"/>
                </w:rPr>
                <w:t>77</w:t>
              </w:r>
            </w:hyperlink>
          </w:p>
        </w:tc>
      </w:tr>
      <w:tr>
        <w:trPr/>
        <w:tc>
          <w:tcPr>
            <w:tcW w:w="8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85">
              <w:r>
                <w:rPr>
                  <w:rStyle w:val="InternetLink"/>
                </w:rPr>
                <w:t>Consolidated Statements of Cash Flows for the Year Ended December 31, 202</w:t>
              </w:r>
            </w:hyperlink>
            <w:hyperlink w:anchor="ica60ed0147874e66890b2a322b937654_85">
              <w:r>
                <w:rPr>
                  <w:rStyle w:val="InternetLink"/>
                </w:rPr>
                <w:t>1</w:t>
              </w:r>
            </w:hyperlink>
            <w:hyperlink w:anchor="ica60ed0147874e66890b2a322b937654_85">
              <w:r>
                <w:rPr>
                  <w:rStyle w:val="InternetLink"/>
                </w:rPr>
                <w:t>, 20</w:t>
              </w:r>
            </w:hyperlink>
            <w:hyperlink w:anchor="ica60ed0147874e66890b2a322b937654_85">
              <w:r>
                <w:rPr>
                  <w:rStyle w:val="InternetLink"/>
                </w:rPr>
                <w:t>20</w:t>
              </w:r>
            </w:hyperlink>
            <w:hyperlink w:anchor="ica60ed0147874e66890b2a322b937654_85">
              <w:r>
                <w:rPr>
                  <w:rStyle w:val="InternetLink"/>
                </w:rPr>
                <w:t>, and 201</w:t>
              </w:r>
            </w:hyperlink>
            <w:hyperlink w:anchor="ica60ed0147874e66890b2a322b937654_85">
              <w:r>
                <w:rPr>
                  <w:rStyle w:val="InternetLink"/>
                </w:rPr>
                <w:t>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85">
              <w:r>
                <w:rPr>
                  <w:rStyle w:val="InternetLink"/>
                  <w:rFonts w:ascii="Times New Roman;sans-serif" w:hAnsi="Times New Roman;sans-serif"/>
                  <w:b w:val="false"/>
                  <w:color w:val="0000FF"/>
                  <w:sz w:val="20"/>
                  <w:u w:val="single"/>
                </w:rPr>
                <w:t>78</w:t>
              </w:r>
            </w:hyperlink>
          </w:p>
        </w:tc>
      </w:tr>
      <w:tr>
        <w:trPr/>
        <w:tc>
          <w:tcPr>
            <w:tcW w:w="8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60ed0147874e66890b2a322b937654_88">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60ed0147874e66890b2a322b937654_88">
              <w:r>
                <w:rPr>
                  <w:rStyle w:val="InternetLink"/>
                  <w:rFonts w:ascii="Times New Roman;sans-serif" w:hAnsi="Times New Roman;sans-serif"/>
                  <w:b w:val="false"/>
                  <w:color w:val="0000FF"/>
                  <w:sz w:val="20"/>
                  <w:u w:val="single"/>
                </w:rPr>
                <w:t>80</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Board of Directors of Asbury Automotive Group, Inc.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Asbury Automotive Group, Inc. (the Company) as of December 31, 2021 and 2020, the related consolidated statements of income,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180"/>
        <w:jc w:val="both"/>
        <w:rPr>
          <w:rFonts w:ascii="Times New Roman;sans-serif" w:hAnsi="Times New Roman;sans-serif"/>
          <w:b/>
          <w:color w:val="333333"/>
          <w:sz w:val="20"/>
        </w:rPr>
      </w:pPr>
      <w:r>
        <w:rPr>
          <w:rFonts w:ascii="Times New Roman;sans-serif" w:hAnsi="Times New Roman;sans-serif"/>
          <w:b/>
          <w:color w:val="333333"/>
          <w:sz w:val="20"/>
        </w:rPr>
        <w:t>Critical Audit Matter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506"/>
        <w:gridCol w:w="445"/>
        <w:gridCol w:w="448"/>
        <w:gridCol w:w="2641"/>
        <w:gridCol w:w="2549"/>
        <w:gridCol w:w="3616"/>
      </w:tblGrid>
      <w:tr>
        <w:trPr/>
        <w:tc>
          <w:tcPr>
            <w:tcW w:w="50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641" w:type="dxa"/>
            <w:tcBorders/>
            <w:shd w:fill="auto" w:val="clear"/>
            <w:vAlign w:val="center"/>
          </w:tcPr>
          <w:p>
            <w:pPr>
              <w:pStyle w:val="TableContents"/>
              <w:spacing w:before="0" w:after="283"/>
              <w:rPr>
                <w:sz w:val="4"/>
                <w:szCs w:val="4"/>
              </w:rPr>
            </w:pPr>
            <w:r>
              <w:rPr>
                <w:sz w:val="4"/>
                <w:szCs w:val="4"/>
              </w:rPr>
            </w:r>
          </w:p>
        </w:tc>
        <w:tc>
          <w:tcPr>
            <w:tcW w:w="2549" w:type="dxa"/>
            <w:tcBorders/>
            <w:shd w:fill="auto" w:val="clear"/>
            <w:vAlign w:val="center"/>
          </w:tcPr>
          <w:p>
            <w:pPr>
              <w:pStyle w:val="TableContents"/>
              <w:spacing w:before="0" w:after="283"/>
              <w:rPr>
                <w:sz w:val="4"/>
                <w:szCs w:val="4"/>
              </w:rPr>
            </w:pPr>
            <w:r>
              <w:rPr>
                <w:sz w:val="4"/>
                <w:szCs w:val="4"/>
              </w:rPr>
            </w:r>
          </w:p>
        </w:tc>
        <w:tc>
          <w:tcPr>
            <w:tcW w:w="3616" w:type="dxa"/>
            <w:tcBorders/>
            <w:shd w:fill="auto" w:val="clear"/>
            <w:vAlign w:val="center"/>
          </w:tcPr>
          <w:p>
            <w:pPr>
              <w:pStyle w:val="TableContents"/>
              <w:spacing w:before="0" w:after="283"/>
              <w:rPr>
                <w:sz w:val="4"/>
                <w:szCs w:val="4"/>
              </w:rPr>
            </w:pPr>
            <w:r>
              <w:rPr>
                <w:sz w:val="4"/>
                <w:szCs w:val="4"/>
              </w:rPr>
            </w:r>
          </w:p>
        </w:tc>
      </w:tr>
      <w:tr>
        <w:trPr/>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Manufacturer Franchise Rights Impairment Assessment</w:t>
            </w:r>
          </w:p>
        </w:tc>
      </w:tr>
      <w:tr>
        <w:trPr/>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0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the Company's manufacturer franchise rights for car dealerships had an aggregate carrying value for franchises acquired of approximately $1,335.7 million, as disclosed in Note 10 of the consolidated financial statements. Each manufacturer franchise right asset is assessed for impairment annually as of October 1st, or more often if events or circumstances indicated that impairment may have occurred. If the fair value of the intangible asset is less than its carrying amount, an impairment loss is recognized in an amount equal to the difference. </w:t>
            </w:r>
          </w:p>
        </w:tc>
      </w:tr>
      <w:tr>
        <w:trPr/>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assessment of the Company’s qualitative impairment tests over manufacturer franchise rights acquired prior to the fourth quarter of 2021 as a critical audit matter. The tests included the evaluation of qualitative factors such as future revenue growth and profitability as well as comparable dealership sales, that required subjective auditor judgment. </w:t>
            </w:r>
          </w:p>
        </w:tc>
      </w:tr>
      <w:tr>
        <w:trPr/>
        <w:tc>
          <w:tcPr>
            <w:tcW w:w="1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the Company’s process over the manufacturer franchise rights annual impairment tests. For example, this included testing controls over management’s review of significant assumptions, other inputs and the completeness and accuracy of the data used in the qualitative analysis over manufacturer franchise rights acquired prior to the fourth quarter of 2021.</w:t>
            </w:r>
          </w:p>
        </w:tc>
      </w:tr>
      <w:tr>
        <w:trPr/>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recoverability of the Company's manufacturer franchise rights as part of the impairment assessments, our audit procedures included, among others, understanding cost factors, financial performance, legal and regulatory factors, industry, market and macroeconomic conditions, and other relevant entity-specific events to determine whether a potential impairment indicator was present at one or multiple dealerships. We also evaluated the Company’s assessment of the change to key assumptions most likely to affect the fair value of the manufacturer franchise rights since the previous quantitative analysis was performed. Additionally, we evaluated dealership sales and profitability trends to identify potential indicators of impairment.</w:t>
            </w:r>
          </w:p>
        </w:tc>
      </w:tr>
    </w:tbl>
    <w:p>
      <w:pPr>
        <w:pStyle w:val="TextBody"/>
        <w:spacing w:lineRule="auto" w:line="256" w:before="180" w:after="283"/>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2008.</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center"/>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 of</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spacing w:before="0" w:after="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audited Asbury Automotive Group, Inc.’s internal control over financial reporting as of December 31, 2021, based on criteria established in Internal Control—Integrated Framework issued by the Committee of Sponsoring Organizations of the Treadway Commission (2013 framework) (the COSO criteria). In our opinion, Asbury Automotive Group, Inc. (the Company) maintained, in all material respects, effective internal control over financial reporting as of December 31, 2021, based on the COSO criteria.</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indicated in the accompanying Management’s Report on Internal Control Over Financial Reporting, management’s assessment of and conclusion on the effectiveness of internal control over financial reporting did not include the internal controls of 94 franchises (65 new dealership locations), seven used vehicle stores, eleven collision centers, a used wholesale business and an F&amp;I product provider business acquired during 2021, which are included in the 2021 consolidated financial statements of the Company and constituted approximately $3.34 billion of consolidated assets as of December 31, 2021 and approximately $346.0 million of consolidated revenues for the year then ended. Our audit of internal control over financial reporting of the Company also did not include an evaluation of the internal control over financial reporting of the 94 franchises (65 new dealership locations), seven used vehicle stores, eleven collision centers, a used wholesale business and an F&amp;I product provider business.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Asbury Automotive Group, Inc. as of December 31, 2021 and 2020, the related consolidated statements of income, comprehensive income, shareholders' equity and cash flows for each of the three years in the period ended December 31, 2021, and the related notes and our report dated March 1, 2022 expressed an unqualified opinion thereon.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56" w:before="180" w:after="16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ASBURY AUTOMOTIVE GROUP,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data)</w:t>
      </w:r>
    </w:p>
    <w:tbl>
      <w:tblPr>
        <w:tblW w:w="10205" w:type="dxa"/>
        <w:jc w:val="center"/>
        <w:tblInd w:w="0" w:type="dxa"/>
        <w:tblCellMar>
          <w:top w:w="28" w:type="dxa"/>
          <w:left w:w="28" w:type="dxa"/>
          <w:bottom w:w="28" w:type="dxa"/>
          <w:right w:w="28" w:type="dxa"/>
        </w:tblCellMar>
      </w:tblPr>
      <w:tblGrid>
        <w:gridCol w:w="2859"/>
        <w:gridCol w:w="2451"/>
        <w:gridCol w:w="2350"/>
        <w:gridCol w:w="211"/>
        <w:gridCol w:w="766"/>
        <w:gridCol w:w="109"/>
        <w:gridCol w:w="109"/>
        <w:gridCol w:w="109"/>
        <w:gridCol w:w="109"/>
        <w:gridCol w:w="211"/>
        <w:gridCol w:w="766"/>
        <w:gridCol w:w="155"/>
      </w:tblGrid>
      <w:tr>
        <w:trPr/>
        <w:tc>
          <w:tcPr>
            <w:tcW w:w="2859" w:type="dxa"/>
            <w:tcBorders/>
            <w:shd w:fill="auto" w:val="clear"/>
            <w:vAlign w:val="center"/>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7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FRANCHISE RIGHTS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 of current portion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payable—non-trade,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revenue—current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associated with assets held for sale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21)</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10,000,000 shares authorized; none issued or outstanding</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90,000,000 shares authorized; 45,052,293 and 41,133,668 shares issued, including shares held in treasury, respectively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21,914,251 and 21,848,314 shares, respectively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spacing w:before="0" w:after="0"/>
        <w:jc w:val="center"/>
        <w:rPr/>
      </w:pPr>
      <w:r>
        <w:rPr/>
      </w:r>
    </w:p>
    <w:tbl>
      <w:tblPr>
        <w:tblW w:w="9222" w:type="dxa"/>
        <w:jc w:val="center"/>
        <w:tblInd w:w="0" w:type="dxa"/>
        <w:tblCellMar>
          <w:top w:w="28" w:type="dxa"/>
          <w:left w:w="28" w:type="dxa"/>
          <w:bottom w:w="28" w:type="dxa"/>
          <w:right w:w="28" w:type="dxa"/>
        </w:tblCellMar>
      </w:tblPr>
      <w:tblGrid>
        <w:gridCol w:w="1910"/>
        <w:gridCol w:w="1672"/>
        <w:gridCol w:w="1683"/>
        <w:gridCol w:w="211"/>
        <w:gridCol w:w="766"/>
        <w:gridCol w:w="109"/>
        <w:gridCol w:w="109"/>
        <w:gridCol w:w="109"/>
        <w:gridCol w:w="109"/>
        <w:gridCol w:w="211"/>
        <w:gridCol w:w="766"/>
        <w:gridCol w:w="109"/>
        <w:gridCol w:w="109"/>
        <w:gridCol w:w="109"/>
        <w:gridCol w:w="109"/>
        <w:gridCol w:w="211"/>
        <w:gridCol w:w="766"/>
        <w:gridCol w:w="154"/>
      </w:tblGrid>
      <w:tr>
        <w:trPr/>
        <w:tc>
          <w:tcPr>
            <w:tcW w:w="1910"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 impairment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long-term debt,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r>
      <w:tr>
        <w:trPr/>
        <w:tc>
          <w:tcPr>
            <w:tcW w:w="52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r>
    </w:tbl>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lineRule="auto" w:line="288" w:before="0" w:after="0"/>
        <w:ind w:left="0" w:right="0" w:hanging="360"/>
        <w:jc w:val="center"/>
        <w:rPr>
          <w:color w:val="000000"/>
        </w:rPr>
      </w:pPr>
      <w:r>
        <w:rPr>
          <w:color w:val="000000"/>
        </w:rPr>
        <w:t> </w:t>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spacing w:before="0" w:after="0"/>
        <w:jc w:val="center"/>
        <w:rPr/>
      </w:pPr>
      <w:r>
        <w:rPr/>
      </w:r>
    </w:p>
    <w:tbl>
      <w:tblPr>
        <w:tblW w:w="10121" w:type="dxa"/>
        <w:jc w:val="center"/>
        <w:tblInd w:w="0" w:type="dxa"/>
        <w:tblCellMar>
          <w:top w:w="28" w:type="dxa"/>
          <w:left w:w="28" w:type="dxa"/>
          <w:bottom w:w="28" w:type="dxa"/>
          <w:right w:w="28" w:type="dxa"/>
        </w:tblCellMar>
      </w:tblPr>
      <w:tblGrid>
        <w:gridCol w:w="2395"/>
        <w:gridCol w:w="2100"/>
        <w:gridCol w:w="2119"/>
        <w:gridCol w:w="211"/>
        <w:gridCol w:w="616"/>
        <w:gridCol w:w="109"/>
        <w:gridCol w:w="109"/>
        <w:gridCol w:w="109"/>
        <w:gridCol w:w="109"/>
        <w:gridCol w:w="211"/>
        <w:gridCol w:w="616"/>
        <w:gridCol w:w="109"/>
        <w:gridCol w:w="109"/>
        <w:gridCol w:w="109"/>
        <w:gridCol w:w="109"/>
        <w:gridCol w:w="211"/>
        <w:gridCol w:w="616"/>
        <w:gridCol w:w="154"/>
      </w:tblGrid>
      <w:tr>
        <w:trPr/>
        <w:tc>
          <w:tcPr>
            <w:tcW w:w="2395" w:type="dxa"/>
            <w:tcBorders/>
            <w:shd w:fill="auto" w:val="clear"/>
            <w:vAlign w:val="center"/>
          </w:tcPr>
          <w:p>
            <w:pPr>
              <w:pStyle w:val="TableContents"/>
              <w:spacing w:before="0" w:after="283"/>
              <w:rPr>
                <w:sz w:val="4"/>
                <w:szCs w:val="4"/>
              </w:rPr>
            </w:pPr>
            <w:r>
              <w:rPr>
                <w:sz w:val="4"/>
                <w:szCs w:val="4"/>
              </w:rPr>
            </w:r>
          </w:p>
        </w:tc>
        <w:tc>
          <w:tcPr>
            <w:tcW w:w="2100"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cash flow swaps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available-for-sale debt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associated with other comprehensive income items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ASBURY AUTOMOTIVE GROUP,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SHAREHOLDERS'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bl>
      <w:tblPr>
        <w:tblW w:w="11890" w:type="dxa"/>
        <w:jc w:val="center"/>
        <w:tblInd w:w="0" w:type="dxa"/>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42"/>
        <w:gridCol w:w="683"/>
        <w:gridCol w:w="191"/>
        <w:gridCol w:w="109"/>
        <w:gridCol w:w="109"/>
        <w:gridCol w:w="109"/>
        <w:gridCol w:w="196"/>
        <w:gridCol w:w="691"/>
        <w:gridCol w:w="154"/>
      </w:tblGrid>
      <w:tr>
        <w:trPr/>
        <w:tc>
          <w:tcPr>
            <w:tcW w:w="8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2018</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41,065,069 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21,719,339 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$1.1 tax benefit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of change in</w:t>
            </w:r>
          </w:p>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accounting principle - ASU 2018-02 </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209,390 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settlements of employee share-based awards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202,379 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Retirement of previously repurchased common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(202,379)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(202,379)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2019</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41,072,080 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21,791,707 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$0.9 tax benefit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61,588 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settlements of employee share-based awards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56,607 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2020</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41,133,668 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21,848,314 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on available-for-sale debt securities, net of $0 tax charge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$1.6 tax expense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secondary offering of common stock,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3,795,000 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123,625 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settlements of employee share-based awards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65,937 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2021</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45,052,293 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21,914,251 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24"/>
        <w:gridCol w:w="2112"/>
        <w:gridCol w:w="2123"/>
        <w:gridCol w:w="213"/>
        <w:gridCol w:w="625"/>
        <w:gridCol w:w="109"/>
        <w:gridCol w:w="109"/>
        <w:gridCol w:w="109"/>
        <w:gridCol w:w="109"/>
        <w:gridCol w:w="213"/>
        <w:gridCol w:w="625"/>
        <w:gridCol w:w="109"/>
        <w:gridCol w:w="109"/>
        <w:gridCol w:w="109"/>
        <w:gridCol w:w="109"/>
        <w:gridCol w:w="213"/>
        <w:gridCol w:w="625"/>
        <w:gridCol w:w="160"/>
      </w:tblGrid>
      <w:tr>
        <w:trPr/>
        <w:tc>
          <w:tcPr>
            <w:tcW w:w="2424"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4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 impairment</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investments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 amortization</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divestitures</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right-of-use asset</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 and divestitures—</w:t>
            </w:r>
          </w:p>
        </w:tc>
        <w:tc>
          <w:tcPr>
            <w:tcW w:w="9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 net</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and liabilities, net</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INVESTING ACTIVITIES:</w:t>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expenditures—excluding real estate</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expenditures—real estate</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previously leased real estate</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debt securities—available-for-sale</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equity securities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debt securities—available-for-sale</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equity securities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FINANCING ACTIVITIES:</w:t>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borrowings—non-trade</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borrowings—acquisitions</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repayments—non-trade</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repayments—divestitures</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658"/>
        <w:gridCol w:w="2200"/>
        <w:gridCol w:w="2205"/>
        <w:gridCol w:w="211"/>
        <w:gridCol w:w="616"/>
        <w:gridCol w:w="109"/>
        <w:gridCol w:w="109"/>
        <w:gridCol w:w="109"/>
        <w:gridCol w:w="109"/>
        <w:gridCol w:w="211"/>
        <w:gridCol w:w="406"/>
        <w:gridCol w:w="109"/>
        <w:gridCol w:w="109"/>
        <w:gridCol w:w="109"/>
        <w:gridCol w:w="109"/>
        <w:gridCol w:w="228"/>
        <w:gridCol w:w="441"/>
        <w:gridCol w:w="157"/>
      </w:tblGrid>
      <w:tr>
        <w:trPr/>
        <w:tc>
          <w:tcPr>
            <w:tcW w:w="2658"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0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70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7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and leaseback transaction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issuance of common stock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including amounts associated with net share settlements of employee share-based awards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r>
      <w:tr>
        <w:trPr/>
        <w:tc>
          <w:tcPr>
            <w:tcW w:w="706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 18 for supplemental cash flow information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 DESCRIPTION OF BUSINESS AND SUMMARY OF SIGNIFICANT ACCOUNTING POLICIES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a Delaware corporation organized in 2002, is one of the largest automotive retailers in the United States. Our store operations are conducted by our subsidiaries.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owned and operated 205 new vehicle franchises, representing 31 brands of automobiles at 155 dealership locations, 35 collision centers, seven stand-alone used vehicle dealerships, one used vehicle wholesale business and one auto auction within fifteen states.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products ("F&amp;I"), including arranging vehicle financing through third parties and aftermarket products, such as extended service contracts, guaranteed asset protection ("GAP") debt cancellation and prepaid maintenance.</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the Company completed the acquisition of the Larry H. Miller Dealerships ("LHM"), thereby acquiring 54 new vehicle dealerships, seven used car stores, 11 collision centers, a used vehicle wholesale business, the real property related thereto, and the entities comprising the F&amp;I product provider, Total Care Auto, Powered by Landcar ("TCA") for a total purchase price of $3.48 billion (the "LHM Acquisition"). The real property was acquired in escrow, to be released, together with the related portion of the purchase price, subject to the satisfaction of certain title related conditions. The purchase price was financed through a combination of cash, debt, including senior notes, real estate facilities, new and used vehicle floor plan facilities and the proceeds from the issuance of common stock.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TCA offers extended vehicle service contracts, prepaid maintenance contracts, vehicle theft assistance contracts, key replacement contracts, guaranteed asset protection contracts, paintless dent repair contracts, appearance protection contracts, tire and wheel, DrivePur, and lease wear and tear contracts. In addition, TCA provides the required contractual liability insurance if needed. The majority of these service contracts are sold through affiliated automobile dealerships.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acquiring the TCA as part of the LHM Acquisition, the Company now operates in two reportable segments, namely the Dealerships and TCA.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August 24, 2020 the Company closed on the purchase of the Park Place Dealership group, acquiring substantially all of the assets of and leasing the real property related to, 12 franchises (eight dealership locations), two collision centers and an auto auction for a purchase price of $889.9 million (the "Park Place Acquisition"). The purchase price was financed through a combination of cash, debt and seller financing. Certain of the leased real property was subsequently acquired in May 2021 for $217.1 million.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See Note 3 "Acquisitions and Divestitures" for details of the LHM Acquisition and the Park Place Acquisition.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generally subject to seasonal variations. Demand for new vehicles is generally highest during the second, third, and fourth quarters of each year and, accordingly, we expect our revenues to generally be higher during these periods. In addition, we typically experience higher sales of luxury vehicles in the fourth quarter, which have higher average selling prices and gross profit per vehicle retailed. Revenues and operating results may be impacted significantly from quarter to quarter by changing economic conditions, inventory availability, vehicle manufacturer incentive programs, or adverse weather events.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accounting principles generally accepted in the United States of America ("GAAP"), and reflect the consolidated accounts of Asbury Automotive Group, Inc. and our wholly owned subsidiaries. All intercompany transactions have been eliminated in consolidation. If necessary, reclassifications of amounts previously reported have been made to the accompanying Consolidated Financial Statements in order to conform to current presentation.</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reflected in the consolidated financial statements in the period they are determined to be necessary. Significant estimates made in the accompanying Consolidated Financial Statements include, but are not limited to, those relating to inventory valuation reserves, reserves for chargebacks against revenue recognized from the sale of finance and insurance products, reserves for self-insurance programs, certain assumptions related to intangible and long-lived assets, and reserves for certain legal or similar proceedings relating to our business operations.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investments in money market accounts and short-term certificates of deposit, which have maturity dates of less than 90 days when purchased.</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Restricted Cash and Securities</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TCA places securities on statutory deposit with certain state agencies to retain the right to do business in those states. Securities held on deposit with various state regulatory authorities had a fair value of $2.5 million at December 31, 2021.</w:t>
      </w:r>
    </w:p>
    <w:p>
      <w:pPr>
        <w:pStyle w:val="TextBody"/>
        <w:spacing w:lineRule="auto" w:line="276"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Short-term investments consist of debt securities that are callable or have a maturity date within the next 12 months and are classified as current assets. Debt securities classified as short-term investments are designated as available-for-sale as management intends to hold these securities for indefinite periods of time or may sell the securities in response to changes in interest rates, prepayments, or other similar factors. Available-for-sale debt securities are reported at fair market value with any unrealized gain or loss, net of applicable income tax, reported in other comprehensive income, as a separate component of shareholders’ equity. Premiums and discounts on debt securities classified as short-term investments are amortized or accreted using the effective interest method over the period from the purchase date to the expected maturity or call date of the related security and are reported in net income.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consist of available-for-sale debt securities, equity securities, and other investments. These securities are classified as non-current investments as they are not intended to fund current operations or have stated call dates or maturity dates beyond the next 12 months. Equity securities may consist of both preferred stock and common stock. Other investments consist of hedge funds and partnerships. </w:t>
      </w:r>
    </w:p>
    <w:p>
      <w:pPr>
        <w:pStyle w:val="TextBody"/>
        <w:spacing w:before="0" w:after="0"/>
        <w:ind w:left="0" w:right="0" w:firstLine="315"/>
        <w:rPr/>
      </w:pPr>
      <w:r>
        <w:rPr/>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Debt securities classified as non-current investments are designated as available-for-sale as management intends to hold these securities for indefinite periods of time or may sell the securities in response to changes in interest rates, prepayments, or other similar factors. Available-for-sale debt securities included in non-current investments are reported at fair market value with any unrealized gain or loss, net of applicable income tax, reported in other comprehensive income, as a separate component of shareholders’ equity. Premiums and discounts on debt securities included in non-current investments are amortized or accreted, as applicable, using the effective interest method over the period from the purchase date to the expected maturity or call date of the related security and are reported in net income. </w:t>
      </w:r>
    </w:p>
    <w:p>
      <w:pPr>
        <w:pStyle w:val="TextBody"/>
        <w:spacing w:before="0" w:after="0"/>
        <w:ind w:left="0" w:right="0" w:firstLine="315"/>
        <w:rPr/>
      </w:pPr>
      <w:r>
        <w:rPr/>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Equity securities included in non-current investments are reported at fair market value with the change in value recognized in net income.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Other investments are measured at net asset value as a practical expedient with the net change in net asset value recognized in net income.</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the debt securities portfolio at the security level on a quarterly basis for potential credit losses, which takes into consideration numerous factors. Some factors evaluated include changes in credit ratings, financial conditions of the issuer, recent payment activity, and other industry specific economic conditions. If a security is considered to have a potential credit loss, we compare the present value of expected cash flows to the amortized cost basis of the security to estimate the allowance for credit losses. The amount of the allowance is limited to the gross unrealized loss on an individual security. An unrealized loss on a debt security is generally considered to not be related to credit when the fair value of the security is below the carrying value of the security primarily due to changes in risk-free interest rates and when there has not been a significant deterioration in the financial condition of the issuer. If the Company no longer has the intent or ability to hold a security in an unrealized loss position until recovery of the of the security’s cost basis, a loss is realized immediately in net income.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Contracts-In-Transit</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Contracts-in-transit represent receivables from third-party finance companies for the portion of new and used vehicle purchase price financed by customers through sources arranged by us.</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and net realizable value. We use the specific identification method to value vehicle inventories and parts and accessories are valued at the lower of cost or net realizable value. Our new vehicle sales history indicates that the vast majority of the new vehicles we sell are sold for, or in excess of, our cost to purchase those vehicles. Therefore, we generally do not maintain a reserve for new vehicle inventory. We maintain a reserve for used vehicle inventory where cost basis exceeds net realizable value. In assessing lower of cost and net realizable value for used vehicles, we consider (i) the aging of our used vehicles, (ii) historical sales experience of used vehicles, and (iii) current market conditions and trends in used vehicle sales. We also review and consider the following metrics related to used vehicle sales (both on a recent and longer-term historical basis): (i) days of supply in our used vehicle inventory, (ii) used vehicle units sold at less than original cost as a percentage of total used vehicles sold, and (iii) average vehicle selling price of used vehicle units sold at less than original cost. We then determine the appropriate level of reserve required to reduce our used vehicle inventory to the lower of cost and net realizable value, and record the resulting adjustment in the period in which we determine a loss has occurred. The level of reserve determined to be appropriate for each reporting period is considered to be a permanent inventory write-down, and therefore is only released upon the sale of the related inventory.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receive assistance from certain automobile manufacturers in the form of advertising and floor plan interest credits. Manufacturer advertising credits that are reimbursements of costs associated with specific advertising programs are recognized as a reduction of advertising expense in the period they are earned. All other manufacturer advertising and floor plan interest credits are accounted for as purchase discounts, and are recorded as a reduction of inventory and recognized as a reduction to New vehicle cost of sales in the accompanying Consolidated Statements of Income in the period the related vehicle is sold.</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spacing w:lineRule="auto" w:line="288" w:before="180" w:after="180"/>
        <w:ind w:left="0" w:right="0" w:firstLine="315"/>
        <w:rPr/>
      </w:pPr>
      <w:r>
        <w:rPr>
          <w:rFonts w:ascii="Times New Roman;sans-serif" w:hAnsi="Times New Roman;sans-serif"/>
          <w:b w:val="false"/>
          <w:color w:val="000000"/>
          <w:sz w:val="20"/>
        </w:rPr>
        <w:t>Property and equipment are recorded at cost and depreciated using the straight-line method over their estimated useful lives. Depreciation is included in Depreciation and amortization on the accompanying Consolidated Statements of Income. Leasehold improvements are capitalized and amortized over the lesser of the remaining lease term or the useful life of the related asset. The ranges of estimated useful lives are as follows (in years):</w:t>
      </w:r>
      <w:r>
        <w:rPr>
          <w:color w:val="000000"/>
        </w:rPr>
        <w:t> </w:t>
      </w:r>
    </w:p>
    <w:tbl>
      <w:tblPr>
        <w:tblW w:w="3104" w:type="dxa"/>
        <w:jc w:val="left"/>
        <w:tblInd w:w="0" w:type="dxa"/>
        <w:tblCellMar>
          <w:top w:w="28" w:type="dxa"/>
          <w:left w:w="28" w:type="dxa"/>
          <w:bottom w:w="28" w:type="dxa"/>
          <w:right w:w="28" w:type="dxa"/>
        </w:tblCellMar>
      </w:tblPr>
      <w:tblGrid>
        <w:gridCol w:w="896"/>
        <w:gridCol w:w="787"/>
        <w:gridCol w:w="791"/>
        <w:gridCol w:w="184"/>
        <w:gridCol w:w="184"/>
        <w:gridCol w:w="262"/>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vehicles</w:t>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Expenditures for major additions or improvements, which extend the useful lives of assets, are capitalized. Minor replacements, maintenance and repairs, which do not improve or extend the lives of such assets, are expensed as incurred. We capitalize interest on borrowings during the active construction period of capital projects. Capitalized interest is added to the cost of the assets and is depreciated over the estimated useful lives of the assets.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review property and equipment for impairment whenever events or changes in circumstances indicate the carrying value may not be recoverable. When we test our long-lived assets for impairment, we first compare the carrying amount of the underlying assets to their net recoverable value by reviewing the undiscounted cash flows expected from the use and eventual disposition of the underlying assets. If the carrying amount of the underlying assets is less than their net recoverable value, then we calculate an impairment equal to the excess of the carrying amount over the fair market value, and the impairment loss would be charged to operations in the period identified. During the year ended December 31, 2020, we recorded a $0.7 million impairment related to a vacant property. We did not record an impairment of our property and equipment in 2021 and 2019.</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Acquisitions are accounted for under the acquisition method of accounting and the assets acquired and liabilities assumed are recorded at their fair value at the acquisition date. The results of operations of acquired dealerships and other businesses are included in the accompanying Consolidated Statements of Income, commencing on the date of acquisition.</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Goodwill and Franchise Rights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cost of an acquired business over the estimated fair market value of its identifiable net assets. We have determined that, based on how we integrate acquisitions into our business, how the components of our business share resources and interact with one another, and how we review the results of our operations, that we have several geographic market-based operating segments which consist of our dealerships. We have determined that the dealerships in each of our operating segments are components that are aggregated into several geographic market-based reporting units for the purpose of testing goodwill for impairment, as they (i) have similar economic characteristics, (ii) offer similar products and services (all of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dealerships offer new and used vehicles, service, parts and third-party finance and insurance products), (iii) have similar customers, (iv) have similar distribution and marketing practices (all of our dealerships distribute products and services through dealership facilities that market to customers in similar ways), and (v) operate under similar regulatory environments. Our dealership operating segments are aggregated into our single dealerships reportable segment. Goodwill associated with TCA will be tested annually for impairment at the operating segment level which is the same as the reporting unit for this business.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December 2021, we completed the LHM Acquisition which included 54 new vehicle dealerships, seven used car stores, 11 collision centers, a used vehicle wholesale business, the real property related thereto (Dealerships segment), and the entities comprising TCA. We have determined that the operations of TCA comprise a separate operating and reportable segment to that of our dealerships operations and have therefore allocated goodwill of $1.64 billion associated with the LHM Acquisition to each of our reportable segments. Approximately $710.3 million of goodwill was allocated to the TCA segment and $929.0 million was allocated to the Dealerships segment. This allocation is preliminary and subject to change once the purchase price allocation is finalized.</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manufacturer franchise rights are determined as of the acquisition date, by discounting the projected cash flows specific to each franchise. We have determined that manufacturer franchise rights have an indefinite life, as there are no economic, contractual or other factors that limit their useful lives, and they are expected to generate cash flows indefinitely due to the historically long lives of the manufacturers' brand names. Furthermore, to the extent that any agreements evidencing our manufacturer franchise rights would expire, we expect that we would be able to renew those agreements in the ordinary course of business. </w:t>
      </w:r>
    </w:p>
    <w:p>
      <w:pPr>
        <w:pStyle w:val="TextBody"/>
        <w:spacing w:lineRule="auto" w:line="288" w:before="180" w:after="180"/>
        <w:ind w:left="0" w:right="0" w:firstLine="315"/>
        <w:rPr/>
      </w:pPr>
      <w:r>
        <w:rPr>
          <w:rFonts w:ascii="Times New Roman;sans-serif" w:hAnsi="Times New Roman;sans-serif"/>
          <w:b w:val="false"/>
          <w:color w:val="000000"/>
          <w:sz w:val="20"/>
        </w:rPr>
        <w:t>Goodwill and manufacturer franchise rights are deemed to have indefinite lives and therefore are not subject to amortization. We review goodwill and manufacturer franchise rights for impairment annually as of October 1</w:t>
      </w:r>
      <w:r>
        <w:rPr>
          <w:rFonts w:ascii="Times New Roman;sans-serif" w:hAnsi="Times New Roman;sans-serif"/>
          <w:b w:val="false"/>
          <w:color w:val="000000"/>
          <w:sz w:val="13"/>
        </w:rPr>
        <w:t>st</w:t>
      </w:r>
      <w:r>
        <w:rPr>
          <w:rFonts w:ascii="Times New Roman;sans-serif" w:hAnsi="Times New Roman;sans-serif"/>
          <w:b w:val="false"/>
          <w:color w:val="000000"/>
          <w:sz w:val="20"/>
        </w:rPr>
        <w:t>, or more often if events or circumstances indicate that impairment may have occurred. We are subject to financial statement risk to the extent that goodwill becomes impaired due to decreases in the fair value of our automotive retail business or manufacturer franchise rights become impaired due to decreases in the fair value of our individual franchises.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identifiable intangible assets, other than goodwill, are our rights under franchise agreements with manufacturers, which are recorded at an individual franchise level, and the value of business acquired ("VOBA") which is recorded at the TCA operating unit level. We recorded VOBA of $5.6 million in connection with the acquisition of TCA. VOBA reflects the estimated fair value of the expected future profits in unearned premium for in-force service contracts acquired in the LHM Acquisition. VOBA is based on actuarially determined projections, by each type of service contract, of future charges, premiums, claims, operating expenses, investment returns and other factors. VOBA is reflected in Other long-term assets within the Consolidated Balance Sheets and is amortized over the period of the underlying contracts.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Debt issuance costs are presented as a contra-liability within Current maturities of long-term debt or Long-term debt on our Consolidated Balance Sheets, except for debt issuance costs associated with our line-of-credit arrangements, which are presented as an asset within Other current assets or Other long-term assets on our Consolidated Balance Sheets. Debt issuance costs are amortized to Floor plan interest expense and Other interest expense, net in the accompanying Consolidated Statements of Income through maturity using the effective interest method or the straight-line method for our line-of-credit arrangements.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and Hedging Activities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From time to time, we utilize derivative financial instruments to manage our interest rate risk. The types of risks hedged are those relating to the variability of cash flows caused by fluctuations in interest rates. We document our risk management strategy and assess hedge effectiveness at each interest rate swap's inception and during the term of each hedge. Derivatives are reported at fair value on the accompanying Consolidated Balance Sheets.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changes in fair value on our hedges is reported as a component of Accumulated Other Comprehensive Loss on the accompanying Consolidated Balance Sheets, and reclassified to Other interest expense, net in the accompanying Consolidated Statements of Income in the period during which the hedged transaction affects earnings.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Self-insurance Programs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self-insured for employee medical claims and maintain stop-loss insurance for large-dollar individual claims. We have high deductible insurance programs for workers compensation, property and general liability claims. We maintain and review our claim and loss history to assist in assessing our expected future liability for these claims. We also use professional service providers, such as account administrators and actuaries, to help us accumulate and assess this information. Provisions for retained losses and deductibles are made by charges to expense based upon periodic evaluations of the estimated ultimate liabilities on reported and unreported claims.</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recognize revenue in accordance with ASC 606, Revenue from Contracts with Customers (Topic 606). Under that guidance, the transaction price is attributed to the underlying performance obligations in the contract and revenue is deferred and recognized as income as the Company satisfies the performance obligations in the contract and as the obligations under the contracts are performed. Incremental costs of obtaining a contract are capitalized and amortized to the extent that the Company expects to recover those costs. The Company satisfies performance obligations either over time or at a point in time as discussed in further detail below. Revenue is recognized at the time the related performance obligation is satisfied by transferring a promised good or performing a service to a customer. Sales and other taxes we collect concurrent with revenue-producing activities are excluded from revenue.</w:t>
      </w:r>
    </w:p>
    <w:p>
      <w:pPr>
        <w:pStyle w:val="TextBody"/>
        <w:spacing w:lineRule="auto" w:line="288" w:before="140" w:after="180"/>
        <w:rPr>
          <w:rFonts w:ascii="Times New Roman;sans-serif" w:hAnsi="Times New Roman;sans-serif"/>
          <w:b w:val="false"/>
          <w:i/>
          <w:color w:val="000000"/>
          <w:sz w:val="20"/>
        </w:rPr>
      </w:pPr>
      <w:r>
        <w:rPr>
          <w:rFonts w:ascii="Times New Roman;sans-serif" w:hAnsi="Times New Roman;sans-serif"/>
          <w:b w:val="false"/>
          <w:i/>
          <w:color w:val="000000"/>
          <w:sz w:val="20"/>
        </w:rPr>
        <w:t>New vehicle and used vehicle retail</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Revenue from the sale of new and used vehicles is recognized when the terms of the customer contract are satisfied which generally occurs with the signing of the sales contract and transfer of control of the vehicle to the customer. Payment is generally received at the time of sale or from a third-party financial institution within a short period of time following the sale of the vehicle. Amounts due from third-party financial institutions are reflected in Contracts-in-transit or vehicle receivables within Accounts receivable, net on our Consolidated Balance Sheets. Costs associated with incidental items that are immaterial in the context of the contract are accrued at the time of sale.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Used vehicle wholesale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sale of these vehicles are recognized in used vehicle revenue upon transfer of control to end-users at auction.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Sale of vehicle parts and accessories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upon transfer of control to the customer which occurs at a point in time. Payment is typically received when control of the parts and accessories transfers to the customer or within 30 days of such time. When the Company performs shipping and handling activities after the transfer of control to the customer (e.g., when control transfers prior to delivery), they are considered as fulfillment activities, and accordingly, the costs are accrued when the related revenue is recognized. </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Vehicle repair and maintenance services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 provides vehicle repair and maintenance services to its customers pursuant to the terms and conditions included within the customer contract ("repair order"). Payment for services are typically received upon completion of the services or within 30 days following the completion of the services. Certain of these services are provided by the Dealerships segment to TCA customers in connection with claims related to TCA's vehicle protection products. Revenues recorded by the Dealerships segment and the associated claims expenses recorded by the TCA segment are eliminated upon consolidation. Satisfaction of this performance obligation creates an asset with no alternative use for which an enforceable right to payment for performance to date exists within our contractual agreements. As such, the Company recognizes revenue over time as the Company satisfies its performance obligation. Additionally, the Company has determined that parts and labor are not individually distinct in the context of a repair order and therefore treated as a single performance obligation.</w:t>
      </w:r>
    </w:p>
    <w:p>
      <w:pPr>
        <w:pStyle w:val="TextBody"/>
        <w:spacing w:lineRule="auto" w:line="288" w:before="18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Finance and insurance, net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Dealership segment, we receive commissions from third-party lending and insurance institutions for arranging customer financing and from the sale of vehicle service contracts, guaranteed asset protection debt cancellation, and other products, to end-users. In addition, we record commissions received from our TCA segment related to the sale of TCA's various vehicle protection F&amp;I products. Finance and insurance commission revenue is recognized at the point of sale since our performance obligation is to arrange financing or facilitating the sale of a third party's products or services to our customers.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dealerships commission arrangements with TCA, third-party lenders and insurance administrators consists of fixed ("upfront") and variable consideration. Variable consideration includes commission chargebacks ("chargebacks") in the event a contract is prepaid, defaulted upon, or terminated by the end-user. The Company reserves for future chargebacks based on historical chargeback experience and the termination provisions of the applicable contract, and these reserves are established in the same period that the related revenue is recognized. Commissions revenue and related reserves for future chargebacks in connection with the sale of TCA F&amp;I products by our dealerships, are eliminated in consolidation.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participate in future profits pursuant to retrospective commission arrangements, which meet the definition of variable consideration, for certain insurance products associated with a third-party portfolio. The Company estimates the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amount of variable consideration to be included in the transaction price based on historical payment trends and further constrains the variable consideration such that it is probable that a significant reversal of previously recognized revenue will not occur. In making these assessments the Company considers the likelihood and magnitude of a potential reversal of revenue and updates its assessment when uncertainties associated with the constraint are removed.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our TCA segment, all revenue other than investment and interest income is the result of contracts with customers. Each contract is considered to have a single performance obligation which extends over the life of the contract. Revenue is recognized over the contract term in proportion to the amount of insurance protection provided. Expenses are matched with earned premiums resulting in recognition of profits over the life of the contracts. These expenses include the incremental costs incurred, primarily in the form of commissions, to obtain the contracts with customers. These commissions are primarily paid to affiliated dealerships and are therefore eliminated upon consolidation. Unearned premium reserves are established to cover the unexpired portion of premiums written.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and recognize premium revenue related to the TCA segment over the period of the related service contract. Accordingly, we record deferred revenue as we ratably recognize revenue over the service contract period. </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Unpaid Losses and Loss Adjustment Expense Reserve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 reserves represent management's best estimate of the ultimate net cost of all reported and unreported losses incurred through December 31, 2021. The Company does not discount liabilities for unpaid losses or unpaid loss adjustment expense reserves. The reserves for unpaid losses and loss adjustment expenses are estimated using individual case-basis valuation and statistical analysis. Those estimates are subject to the effects of trends in loss severity and frequency. Although considerable variability is inherent in such estimates, management believes the reserves for losses and loss adjustment expenses are adequate. The estimates are continually reviewed and adjusted as necessary as experience develops or new information becomes known; such adjustments are included in income from operations.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Claims are counted when incidents that may result in a liability are reported and are based on policy coverage.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Internal Profit</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Revenues and expenses associated with internal work performed by our parts and service departments on new and used vehicle inventory are eliminated in consolidation. The gross profit earned by our parts and service departments for internal work performed is included as a reduction of Parts and service cost of sales on the accompanying Consolidated Statements of Income upon the sale of the vehicle. The costs incurred by our new and used vehicle departments for work performed by our parts and service departments is included in either New vehicle cost of sales or Used vehicle cost of sales on the accompanying Consolidated Statements of Income, depending on the classification of the vehicle serviced. We eliminate the internal profit on vehicles that remain in inventory.</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Intersegment Elimination</w:t>
      </w:r>
    </w:p>
    <w:p>
      <w:pPr>
        <w:pStyle w:val="TextBody"/>
        <w:spacing w:lineRule="auto" w:line="288" w:before="180" w:after="180"/>
        <w:ind w:left="0" w:right="0" w:firstLine="315"/>
        <w:rPr/>
      </w:pPr>
      <w:r>
        <w:rPr>
          <w:rFonts w:ascii="Times New Roman;sans-serif" w:hAnsi="Times New Roman;sans-serif"/>
          <w:b w:val="false"/>
          <w:color w:val="000000"/>
          <w:sz w:val="20"/>
        </w:rPr>
        <w:t>TCA's vehicle protection products are sold primarily through affiliated dealerships and the revenue from the related commissions are included in F&amp;I revenue in the Dealerships segment revenue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Revenues recorded by the Dealerships segment and the associated claims expenses recorded by the TCA segment are eliminated upon consolidation. Intersegment revenues and profits from contracts and services are eliminated in consolidation. See Note 20 "Segment Information" for further details</w:t>
      </w:r>
      <w:r>
        <w:rPr>
          <w:rFonts w:ascii="Calibri;sans-serif" w:hAnsi="Calibri;sans-serif"/>
          <w:b w:val="false"/>
          <w:color w:val="000000"/>
          <w:sz w:val="22"/>
        </w:rPr>
        <w:t xml:space="preserve">.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share-based compensation expense under the fair value method on a straight-line basis over the vesting period, unless the awards are subject to performance conditions, in which case we recognize the expense over the requisite service period of each separate vesting tranche. In addition, we account for the forfeiture of share-based awards as they occur.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for the same issue, and retained earnings. The Company did not repurchase any shares under the Repurchase Program or retire any treasury shares during 2021 and 2020.</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Earnings per Common Share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by dividing net income by the weighted-average common shares outstanding during the period. Diluted earnings per common share is computed by dividing net income by the weighted-average common shares and common share equivalents outstanding during the period. For all periods presented, there were no adjustments to the numerator necessary to compute diluted earnings per share.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Advertising</w:t>
      </w:r>
    </w:p>
    <w:p>
      <w:pPr>
        <w:pStyle w:val="TextBody"/>
        <w:spacing w:lineRule="auto" w:line="288" w:before="18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We expense costs of advertising as incurred and production costs when the advertising initially takes place, net of certain advertising credits and other discounts received from certain automobile manufacturers. Advertising expense totaled $30.7 million, $25.5 million and $34.4 million for the years ended December 31, 2021, 2020 and 2019, which was net of earned advertising credits of $22.4 million, $19.6 million, and $21.1 million, respectively, and is included in Selling, general, and administrative expense in the accompanying Consolidated Statements of Income.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liability method to account for income taxes. Under this method, deferred tax assets and liabilities are recognized for the expected future tax consequences of differences between the carrying amounts of assets and liabilities and their respective tax basis using currently enacted tax rates. The effect on deferred tax assets and liabilities of a change in tax rates is recognized in income in the period when the change is enacted. Deferred tax assets are reduced by a valuation allowance when it is more likely than not that some portion or all the deferred tax assets will not be realized.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Assets Held for Sale and Liabilities Associated with Assets Held for Sale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amounts have been classified as Assets held for sale as of December 31, 2021 and 2020 in the accompanying Consolidated Balance Sheets. Assets and liabilities classified as held for sale include assets and liabilities associated with pending dealership disposals, real estate we are actively marketing to sell, and any related mortgage notes payable or other liabilities, if applicable.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At the time of classifying assets as held for sale, we compare the carrying value of these assets to estimates of fair value to assess for impairment. We compare the carrying value to estimates of fair value utilizing the assistance of third-party broker opinions of value and third-party desktop appraisals to assist in our fair value estimates related to real estate properties. Classification as held for sale begins on the date that we have met all of the criteria for classification as held for sale.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Statements of Cash Flows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Borrowings and repayments of floor plan notes payable through our 2019 Senior Credit Facility ("Non-Trade"), and all floor plan notes payable relating to used vehicles (together referred to as "Floor Plan Notes Payable—Non-Trade"), are classified as financing activities on the accompanying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Consolidated Statements of Cash Flows. Borrowings of floor plan notes payable associated with inventory acquired in connection with all acquisitions and repayments made in connection with all divestitures are classified as a financing activity in the accompanying Consolidated Statement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2019 Senior Credit Facility that includes lenders affiliated with the manufacturers and lenders not affiliated with the manufacturers from which we purchased the related inventory. The majority of our floor plan notes are payable to our 2019 Senior Credit Facility, with the exception of floor plan notes payable relating to the financing of new Ford and Lincoln vehicles.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Loaner vehicles account for a significant portion of Other current assets. We acquire loaner vehicles either with available cash or through borrowings from either our manufacturer affiliated lenders or through our senior secured credit agreement with Bank of America, as administrative agent, and the other agents and lenders party thereto (as amended, the "2019 Senior Credit Facility"). Loaner vehicles are initially used by our service department for only a short period of time (typically 6 to 12 months) before we seek to sell them. Therefore, we classify the acquisition of loaner vehicles in Other current assets and the borrowings and repayments of loaner vehicle notes payable in Accounts payable and accrued liabilities in the accompanying Consolidated Statements of Cash Flows. Loaner vehicles are depreciated over the service period to their estimated value. At the end of the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loaner service period, loaner vehicles are transferred from Other current assets to used vehicle inventory. These transfers are reflected as non-cash transfers between Other current Assets and Inventory in the accompanying Consolidated Statements of Cash Flows.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Business and Credit Concentration Risk</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us to a concentration of credit risk, consist principally of cash deposits and investments. We maintain cash balances at financial institutions with strong credit ratings. Generally, amounts maintained with these financial institutions are in excess of FDIC insurance limits. In addition, we maintain a diverse investment portfolio across various asset categories and limit our exposure through the kind, quality and concentration of these investments. As of December 31, 2021, the Company had total investments of $134.5 million.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substantial debt service obligations. As of December 31, 2021, we had total debt of $3.61 billion, which excludes floor plan notes payable, debt issuance costs, and the debt premium on the 4.5% Senior Notes (the "4.5% Notes") and 4.75% Senior Notes (the "4.75% Notes") due 2028 and 2030, respectively. In addition, we and our subsidiaries have the ability to obtain additional debt from time to time to finance acquisitions, real property purchases, capital expenditures, share repurchases or for other purposes, although such borrowings are subject to the restrictions contained in the third amended and restated senior secured credit agreement with Bank of America, N.A. ("Bank of America"), as administrative agent, and the other lenders party thereto (the "2019 Senior Credit Facility"), the indentures governing our 4.5% Notes, 4.625% Notes, 4.75% Notes and 5.0% Notes (the "Indentures"), and our other debt instruments. We will have substantial debt service obligations, consisting of required cash payments of principal and interest, for the foreseeable future.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subject to operating and financial restrictions and covenants in certain of our leases and in our debt instruments, including the 2019 Senior Credit Facility, the Indentures, and the credit agreements covering our mortgage obligations. These agreements contain restrictions on, among other things, our ability to incur additional indebtedness, to create liens or other encumbrances, and to make certain payments (including dividends and repurchases of our shares and investments). These agreements may also require us to maintain compliance with certain financial and other ratios. Our failure to comply with any of these covenants in the future would constitute a default under the relevant agreement, which would, depending on the relevant agreement, (i) entitle the creditors under such agreement to terminate our ability to borrow under the relevant agreement and accelerate our obligations to repay outstanding borrowings; (ii) require us to apply our available cash to repay these borrowings; (iii) entitle the creditors under such agreement to foreclose on the property securing the relevant indebtedness; and/or (iv) prevent us from making debt service payments on certain of our other indebtedness, any of which would have a material adverse effect on our business, financial condition or results of operations. In many cases, a default under one of our debt or mortgage agreements could trigger cross-default provisions in one or more of our other debt or mortgages.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 number of our dealerships are located on properties that we lease. Each of the leases governing such properties has certain covenants with which we must comply. If we fail to comply with the covenants under our leases, the respective landlords could terminate the leases and seek damages from us.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Concentrations of credit risk with respect to contracts-in-transit and accounts receivable are limited primarily to automotive manufacturers and financial institutions. Credit risk arising from receivables with commercial customers is minimal due to the large number of customers comprising our customer base.</w:t>
      </w:r>
    </w:p>
    <w:p>
      <w:pPr>
        <w:pStyle w:val="TextBody"/>
        <w:spacing w:lineRule="auto" w:line="288" w:before="180" w:after="180"/>
        <w:ind w:left="0" w:right="0" w:firstLine="315"/>
        <w:rPr/>
      </w:pPr>
      <w:r>
        <w:rPr>
          <w:rFonts w:ascii="Times New Roman;sans-serif" w:hAnsi="Times New Roman;sans-serif"/>
          <w:b w:val="false"/>
          <w:color w:val="000000"/>
          <w:sz w:val="20"/>
        </w:rPr>
        <w:t>A significant portion of our new vehicle sales are derived from a limited number of automotive manufacturers. For the year ended December 31, 2021, manufacturers representing 5% or more of our revenues from new vehicle sales were as follows:</w:t>
      </w:r>
      <w:r>
        <w:rPr>
          <w:color w:val="000000"/>
        </w:rPr>
        <w:t> </w:t>
      </w:r>
    </w:p>
    <w:tbl>
      <w:tblPr>
        <w:tblW w:w="6252" w:type="dxa"/>
        <w:jc w:val="left"/>
        <w:tblInd w:w="0" w:type="dxa"/>
        <w:tblCellMar>
          <w:top w:w="28" w:type="dxa"/>
          <w:left w:w="28" w:type="dxa"/>
          <w:bottom w:w="28" w:type="dxa"/>
          <w:right w:w="28" w:type="dxa"/>
        </w:tblCellMar>
      </w:tblPr>
      <w:tblGrid>
        <w:gridCol w:w="1717"/>
        <w:gridCol w:w="1509"/>
        <w:gridCol w:w="1513"/>
        <w:gridCol w:w="109"/>
        <w:gridCol w:w="109"/>
        <w:gridCol w:w="109"/>
        <w:gridCol w:w="242"/>
        <w:gridCol w:w="242"/>
        <w:gridCol w:w="702"/>
      </w:tblGrid>
      <w:tr>
        <w:trPr/>
        <w:tc>
          <w:tcPr>
            <w:tcW w:w="1717"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Manufacturer (Vehicle Brands):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New Vehicle</w:t>
              <w:br/>
              <w:t>Revenues</w:t>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Toyota Motor Sales, U.S.A., Inc. </w:t>
            </w:r>
            <w:r>
              <w:rPr>
                <w:rFonts w:ascii="Times New Roman;sans-serif" w:hAnsi="Times New Roman;sans-serif"/>
                <w:b w:val="false"/>
                <w:i/>
                <w:color w:val="000000"/>
                <w:sz w:val="20"/>
              </w:rPr>
              <w:t>(Toyota and Lexus)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American Honda Motor Co., Inc. </w:t>
            </w:r>
            <w:r>
              <w:rPr>
                <w:rFonts w:ascii="Times New Roman;sans-serif" w:hAnsi="Times New Roman;sans-serif"/>
                <w:b w:val="false"/>
                <w:i/>
                <w:color w:val="000000"/>
                <w:sz w:val="20"/>
              </w:rPr>
              <w:t>(Honda and Acura)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Mercedes-Benz USA, LLC (</w:t>
            </w:r>
            <w:r>
              <w:rPr>
                <w:rFonts w:ascii="Times New Roman;sans-serif" w:hAnsi="Times New Roman;sans-serif"/>
                <w:b w:val="false"/>
                <w:i/>
                <w:color w:val="000000"/>
                <w:sz w:val="20"/>
              </w:rPr>
              <w:t>Mercedes-Benz and Sprinter</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Ford Motor Company </w:t>
            </w:r>
            <w:r>
              <w:rPr>
                <w:rFonts w:ascii="Times New Roman;sans-serif" w:hAnsi="Times New Roman;sans-serif"/>
                <w:b w:val="false"/>
                <w:i/>
                <w:color w:val="000000"/>
                <w:sz w:val="20"/>
              </w:rPr>
              <w:t>(Ford and Lincoln)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Nissan North America, Inc. </w:t>
            </w:r>
            <w:r>
              <w:rPr>
                <w:rFonts w:ascii="Times New Roman;sans-serif" w:hAnsi="Times New Roman;sans-serif"/>
                <w:b w:val="false"/>
                <w:i/>
                <w:color w:val="000000"/>
                <w:sz w:val="20"/>
              </w:rPr>
              <w:t>(Nissan and Infiniti)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BMW of North America, LLC </w:t>
            </w:r>
            <w:r>
              <w:rPr>
                <w:rFonts w:ascii="Times New Roman;sans-serif" w:hAnsi="Times New Roman;sans-serif"/>
                <w:b w:val="false"/>
                <w:i/>
                <w:color w:val="000000"/>
                <w:sz w:val="20"/>
              </w:rPr>
              <w:t>(BMW and MINI)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4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No other manufacturers individually accounted for more than 5% of our total new vehicle revenue for the year ended December 31, 2021.</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spacing w:lineRule="auto" w:line="256" w:before="180" w:after="180"/>
        <w:ind w:left="0" w:right="0" w:firstLine="31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of December 31, 2021, the Company had two reportable segments: (1) Dealerships; and (2) TCA. Prior to the acquisition of TCA as part of the LHM Acquisition, we had one reportable segment as the geographic dealership groups are aggregated into one reportable segment. Segment information is discussed further in Note 20 "Segment Information".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spacing w:lineRule="auto" w:line="288" w:before="180" w:after="180"/>
        <w:ind w:left="0" w:right="0" w:firstLine="315"/>
        <w:rPr/>
      </w:pPr>
      <w:r>
        <w:rPr>
          <w:rFonts w:ascii="Times New Roman;sans-serif" w:hAnsi="Times New Roman;sans-serif"/>
          <w:b w:val="false"/>
          <w:color w:val="000000"/>
          <w:sz w:val="20"/>
        </w:rPr>
        <w:t>Effective October 1, 2021, the Company adopted Financial Accounting Standard Board Accounting Standards Update 2021-08, </w:t>
      </w:r>
      <w:r>
        <w:rPr>
          <w:rFonts w:ascii="Times New Roman;sans-serif" w:hAnsi="Times New Roman;sans-serif"/>
          <w:b w:val="false"/>
          <w:i/>
          <w:color w:val="000000"/>
          <w:sz w:val="20"/>
        </w:rPr>
        <w:t>Accounting for Contract Assets and Contract Liabilities from Contracts with Customers</w:t>
      </w:r>
      <w:r>
        <w:rPr>
          <w:rFonts w:ascii="Times New Roman;sans-serif" w:hAnsi="Times New Roman;sans-serif"/>
          <w:b w:val="false"/>
          <w:color w:val="000000"/>
          <w:sz w:val="20"/>
        </w:rPr>
        <w:t>, which requires an acquiring entity to apply ASC Topic 606 to recognize and measure contract assets acquired and contract liabilities assumed in a business combination. The Company applied ASC Topic 606 in recording contract assets acquired and contract liabilities assumed in business combinations that occurred in the quarter ended December 31, 2021. We assumed contract liabilities or deferred revenue of $644.3 million in connection with the LHM Acquisition which closed in December 2021.</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March 2020, the Financial Accounting Standards Board ("FASB") issued Accounting Standards Update 2020-04, Reference Rate Reform (Topic 848): Facilitation of the Effects of Reference Rate Reform on Financial Reporting ("ASU 2020-04"). In January 2021, the FASB issued Accounting Standards Update No. 2021-01, Reference Rate Reform (Topic 848): Scope, which clarified the scope and application of the original guidance. The guidance in these standards apply to contract accounting, hedging relationships, and other transactions affected by reference rate reform if certain criteria are met, and provides optional expedients and exceptions for a limited time to ease the potential burden in accounting for reference rate reform. The amendments apply only to contracts and hedging relationships that reference LIBOR or another reference rate expected to be discontinued due to reference rate reform. ASU 2020-04 is effective upon issuance and generally can be applied to applicable contract modifications through December 31, 2022. LIBOR benchmarking is utilized in our debt (including mortgages), revolving credit facilities, floorplan facilities, and interest rate swaps. We are in the process of amending our LIBOR-based debt arrangements and related hedging to revise their interest basis from LIBOR to a Secured Overnight Financing Rate ("SOFR"). The impact of these proposed amendments to our debt arrangements along with the adoption of the provisions from this standard is not anticipated to have a material impact on our Consolidated Financial Statements.</w:t>
      </w:r>
    </w:p>
    <w:p>
      <w:pPr>
        <w:pStyle w:val="TextBody"/>
        <w:spacing w:lineRule="auto" w:line="288" w:before="180" w:after="180"/>
        <w:ind w:left="0" w:right="0" w:firstLine="315"/>
        <w:rPr/>
      </w:pPr>
      <w:r>
        <w:rPr>
          <w:rFonts w:ascii="Times New Roman;sans-serif" w:hAnsi="Times New Roman;sans-serif"/>
          <w:b w:val="false"/>
          <w:color w:val="000000"/>
          <w:sz w:val="20"/>
        </w:rPr>
        <w:t>Effective January 1, 2020, the Company adopted Financial Accounting Standard Board Accounting Standards Update 2016-13, </w:t>
      </w:r>
      <w:r>
        <w:rPr>
          <w:rFonts w:ascii="Times New Roman;sans-serif" w:hAnsi="Times New Roman;sans-serif"/>
          <w:b w:val="false"/>
          <w:i/>
          <w:color w:val="000000"/>
          <w:sz w:val="20"/>
        </w:rPr>
        <w:t>Measurement of Credit Losses on Financial Instruments</w:t>
      </w:r>
      <w:r>
        <w:rPr>
          <w:rFonts w:ascii="Times New Roman;sans-serif" w:hAnsi="Times New Roman;sans-serif"/>
          <w:b w:val="false"/>
          <w:color w:val="000000"/>
          <w:sz w:val="20"/>
        </w:rPr>
        <w:t>, which changed the way entities assess the impairment of its financial instruments based on its estimate of expected credit losses versus the current incurred loss model. The adoption of this standard did not have a material impact on our Consolidated Financial Statements.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Effective January 1, 2019, the Company adopted the new lease accounting guidance in Accounting Standards Update (ASU) No. 2016-02, Leases (Topic 842) (“ASC 842”). For additional information, please refer to Note 19 "Leases" within the accompanying Notes to Consolidated Financial Statements for additional information.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Effective January 1, 2019, the Company adopted ASU No. 2018-02, "Income Statement - Reporting Comprehensive Income (Topic 220): Reclassification of Certain Tax Effects from Accumulated Other Comprehensive Income ("ASU 2018-02")." ASU 2018-02 allows entities to elect to reclassify the income tax effects resulting from the Tax Cuts and Jobs Act on items within accumulated other comprehensive income to retained earnings. The Company elected to reclassify $0.2 million related to the change in deferred taxes associated with our cash flow hedges from accumulated other comprehensive income to retained earnings. This reclassification was recognized as a cumulative effect adjustment in the Consolidated Statements of Shareholders' Equity.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January 1, 2019, the Company adopted ASU No. 2017-12, "Derivatives and Hedging" (Topic 815): Targeted Improvements to Accounting for Hedging Activities ("ASU 2017-12"). This update intended to simplify hedge accounting by better aligning how an entity's risk management activities and hedging relationships are presented in its financial statements and simplifies the application of hedge accounting guidance in certain situations. This update expands and refines hedge accounting for both non-financial and financial risk components and aligns the recognition and presentation of the effects of the hedging instrument and the hedged item in the financial statements. For cash flow hedges existing at the adoption date, this update required adoption on a modified retrospective basis with a cumulative-effect adjustment to retained earnings as of the effective date and the amendments to presentation guidance and disclosure requirements were required to be adopted prospectively. The adoption of this update did not have a material impact on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hanging="1440"/>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180" w:after="283"/>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contracts with customers consists of the following: </w:t>
      </w:r>
    </w:p>
    <w:tbl>
      <w:tblPr>
        <w:tblW w:w="7451" w:type="dxa"/>
        <w:jc w:val="left"/>
        <w:tblInd w:w="0" w:type="dxa"/>
        <w:tblCellMar>
          <w:top w:w="28" w:type="dxa"/>
          <w:left w:w="28" w:type="dxa"/>
          <w:bottom w:w="28" w:type="dxa"/>
          <w:right w:w="28" w:type="dxa"/>
        </w:tblCellMar>
      </w:tblPr>
      <w:tblGrid>
        <w:gridCol w:w="1261"/>
        <w:gridCol w:w="1115"/>
        <w:gridCol w:w="1118"/>
        <w:gridCol w:w="211"/>
        <w:gridCol w:w="766"/>
        <w:gridCol w:w="109"/>
        <w:gridCol w:w="109"/>
        <w:gridCol w:w="109"/>
        <w:gridCol w:w="109"/>
        <w:gridCol w:w="211"/>
        <w:gridCol w:w="766"/>
        <w:gridCol w:w="109"/>
        <w:gridCol w:w="109"/>
        <w:gridCol w:w="109"/>
        <w:gridCol w:w="109"/>
        <w:gridCol w:w="211"/>
        <w:gridCol w:w="766"/>
        <w:gridCol w:w="154"/>
      </w:tblGrid>
      <w:tr>
        <w:trPr/>
        <w:tc>
          <w:tcPr>
            <w:tcW w:w="1261"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New vehicle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Used vehicle retail</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Used vehicle wholesale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and used vehicle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Sale of vehicle parts and accessories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Vehicle repair and maintenance services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 </w:t>
      </w:r>
    </w:p>
    <w:tbl>
      <w:tblPr>
        <w:tblW w:w="10205" w:type="dxa"/>
        <w:jc w:val="left"/>
        <w:tblInd w:w="0" w:type="dxa"/>
        <w:tblCellMar>
          <w:top w:w="28" w:type="dxa"/>
          <w:left w:w="28" w:type="dxa"/>
          <w:bottom w:w="28" w:type="dxa"/>
          <w:right w:w="28" w:type="dxa"/>
        </w:tblCellMar>
      </w:tblPr>
      <w:tblGrid>
        <w:gridCol w:w="1312"/>
        <w:gridCol w:w="1110"/>
        <w:gridCol w:w="1113"/>
        <w:gridCol w:w="474"/>
        <w:gridCol w:w="1149"/>
        <w:gridCol w:w="247"/>
        <w:gridCol w:w="109"/>
        <w:gridCol w:w="109"/>
        <w:gridCol w:w="109"/>
        <w:gridCol w:w="351"/>
        <w:gridCol w:w="851"/>
        <w:gridCol w:w="182"/>
        <w:gridCol w:w="109"/>
        <w:gridCol w:w="109"/>
        <w:gridCol w:w="109"/>
        <w:gridCol w:w="450"/>
        <w:gridCol w:w="868"/>
        <w:gridCol w:w="234"/>
        <w:gridCol w:w="109"/>
        <w:gridCol w:w="109"/>
        <w:gridCol w:w="109"/>
        <w:gridCol w:w="211"/>
        <w:gridCol w:w="511"/>
        <w:gridCol w:w="161"/>
      </w:tblGrid>
      <w:tr>
        <w:trPr/>
        <w:tc>
          <w:tcPr>
            <w:tcW w:w="1312"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Vehicle Repair and Maintenance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and Insurance,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Sales Commissions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 December 31, 2019</w:t>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to receivables from contract assets recognized at the beginning of the period</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revenue recognized, inclusive of adjustments to constraint, during the period</w:t>
            </w:r>
          </w:p>
        </w:tc>
        <w:tc>
          <w:tcPr>
            <w:tcW w:w="1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 December 31, 2020</w:t>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to receivables from contract assets recognized at the beginning of the period</w:t>
            </w:r>
          </w:p>
        </w:tc>
        <w:tc>
          <w:tcPr>
            <w:tcW w:w="1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revenue recognized, inclusive of adjustments to constraint, during the period</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 December 31, 2021</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6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 acquired $644.3 million in Deferred revenue as part of the LHM Acquisition in December 2021. As of December 31, 2021, we had $647.8 million of Deferred revenue reflected in the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of acquired businesses, which are primarily dealerships, are included in our accompanying Consolidated Statements of Income commencing on the date of acquisition. Our acquisitions are accounted for such that the assets acquired and liabilities assumed are recognized at their acquisition date fair values, with any excess of the consideration transferred over the estimated fair values of the identifiable net assets acquired recorded as goodwill. Goodwill is an asset representing operational synergies and future economic benefits arising from other assets acquired in a business combination that are not individually identified and separately recognized. Upon the completion of purchase accounting, the fair value of our manufacturer franchise rights are determined as of the acquisition date, by discounting the projected cash flows specific to each franchise. Included in this analysis are market participant assumptions related to the cash flows directly attributable to the franchise rights, including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year-over-year and terminal growth rates, working capital requirements, weighted average cost of capital, future gross margins, and future selling, general, and administrative expenses.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LHM Acquisition</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17, 2021, we completed the acquisition of the equity interests of, and the real property related to the businesses of the Larry H. Miller Dealerships and the Total Care Auto, Powered by Landcar business. The acquisition diversifies Asbury's geographic mix, with entry into six Western states; Arizona, Utah, New Mexico, Idaho, California and Washington, and adds to the Company’s growing Colorado presence.</w:t>
      </w:r>
    </w:p>
    <w:p>
      <w:pPr>
        <w:pStyle w:val="TextBody"/>
        <w:spacing w:before="0" w:after="0"/>
        <w:rPr/>
      </w:pPr>
      <w:r>
        <w:rPr/>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a result of the LHM Acquisition, we acquired 54 new vehicle dealerships, seven used car stores, 11 collision centers, a used vehicle wholesale business, the real property related thereto, and the entities comprising the TCA Business for a total purchase price of approximately $3.48 billion. The real property was acquired in escrow, to be released, together with the related portion of the preliminary purchase consideration, subject to the satisfaction of certain title related conditions. The preliminary purchase price was paid in cash.</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sources of the preliminary purchase consideration are as follows:</w:t>
      </w:r>
    </w:p>
    <w:tbl>
      <w:tblPr>
        <w:tblW w:w="5120" w:type="dxa"/>
        <w:jc w:val="left"/>
        <w:tblInd w:w="0" w:type="dxa"/>
        <w:tblCellMar>
          <w:top w:w="28" w:type="dxa"/>
          <w:left w:w="28" w:type="dxa"/>
          <w:bottom w:w="28" w:type="dxa"/>
          <w:right w:w="28" w:type="dxa"/>
        </w:tblCellMar>
      </w:tblPr>
      <w:tblGrid>
        <w:gridCol w:w="1445"/>
        <w:gridCol w:w="1270"/>
        <w:gridCol w:w="1274"/>
        <w:gridCol w:w="211"/>
        <w:gridCol w:w="766"/>
        <w:gridCol w:w="154"/>
      </w:tblGrid>
      <w:tr>
        <w:trPr/>
        <w:tc>
          <w:tcPr>
            <w:tcW w:w="1445"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offering </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floor plan facility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floor plan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sellers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purchase price, net of cash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firstLine="270"/>
        <w:rPr/>
      </w:pPr>
      <w:r>
        <w:rPr/>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the tangible and intangible assets acquired and liabilities assumed are recorded at their estimated fair value based on information currently available. The following table summarizes the amounts recorded based on preliminary estimates of fair value:</w:t>
      </w:r>
    </w:p>
    <w:tbl>
      <w:tblPr>
        <w:tblW w:w="5751" w:type="dxa"/>
        <w:jc w:val="left"/>
        <w:tblInd w:w="0" w:type="dxa"/>
        <w:tblCellMar>
          <w:top w:w="28" w:type="dxa"/>
          <w:left w:w="28" w:type="dxa"/>
          <w:bottom w:w="28" w:type="dxa"/>
          <w:right w:w="28" w:type="dxa"/>
        </w:tblCellMar>
      </w:tblPr>
      <w:tblGrid>
        <w:gridCol w:w="1674"/>
        <w:gridCol w:w="1468"/>
        <w:gridCol w:w="1478"/>
        <w:gridCol w:w="211"/>
        <w:gridCol w:w="766"/>
        <w:gridCol w:w="154"/>
      </w:tblGrid>
      <w:tr>
        <w:trPr/>
        <w:tc>
          <w:tcPr>
            <w:tcW w:w="1674"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Assets Acquired and Liabilities Assumed</w:t>
            </w:r>
          </w:p>
        </w:tc>
        <w:tc>
          <w:tcPr>
            <w:tcW w:w="1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w:t>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franchise rights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315"/>
        <w:rPr/>
      </w:pPr>
      <w:r>
        <w:rPr>
          <w:rFonts w:ascii="Times New Roman;sans-serif" w:hAnsi="Times New Roman;sans-serif"/>
          <w:b w:val="false"/>
          <w:color w:val="000000"/>
          <w:sz w:val="20"/>
        </w:rPr>
        <w:t>The preliminary acquisition accounting is based upon the Company’s estimates of fair value. The estimated fair values of the assets acquired and liabilities assumed and the related preliminary acquisition accounting are based on management’s estimates and assumptions, as well as other information compiled by management, including the books and records of Larry H. Miller. Our estimates and assumptions are subject to change during the measurement period, not to exceed one year from the acquisition date. The areas of acquisition accounting that are not yet finalized primarily relate to the following significant items: (i)</w:t>
      </w:r>
      <w:r>
        <w:rPr>
          <w:color w:val="000000"/>
        </w:rPr>
        <w:t xml:space="preserve"> </w:t>
      </w:r>
      <w:r>
        <w:rPr>
          <w:rFonts w:ascii="Times New Roman;sans-serif" w:hAnsi="Times New Roman;sans-serif"/>
          <w:b w:val="false"/>
          <w:color w:val="000000"/>
          <w:sz w:val="20"/>
        </w:rPr>
        <w:t>finalizing the review and valuation of land, land improvements, buildings and non-real property and equipment (including the models, key assumptions, estimates and inputs used) and assignment of remaining useful lives associated with the depreciable assets, (ii) finalizing the review and valuation of manufacturer franchise rights (including key assumptions, inputs and estimates), (iii) finalizing the review of the actuarial inputs to the value of business added intangible asset for TCA, (iv) finalizing the valuation of certain in-place contracts or contractual relationships (including but not limited to leases), including determining the appropriate amortization period, (v) finalizing our review of certain assets acquired and liabilities assumed, (vi) finalizing the evaluation and valuation of certain legal matters and/or other loss contingencies, including those that we may not yet be aware of but meet the requirement to qualify as a pre-acquisition contingency, and (vii) finalizing our estimate of the impact of acquisition accounting on deferred income taxes or liabilities. As the initial acquisition accounting is based on our preliminary assessments, actual values may differ (possibly materially) when final information becomes available that differs from our current estimates. Additionally, the total consideration transferred is subject to certain post-close adjustments. We believe that the information gathered to date provides a reasonable basis for estimating the preliminary fair values of assets acquired and liabilities assumed. We will continue to evaluate these items until they are satisfactorily resolved and adjust our acquisition accounting accordingly, within the allowable measurement period.</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 recorded $4.9 million of acquisition related costs during the year ended December 31, 2021. These costs are included in Selling, general, and administrative in the Consolidated Statements of Income.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Income included revenue and net income attributable to LHM from December 17, 2021 through December 31, 2021 of $256.4 million and $15.7 million, respectively.</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the unaudited pro forma information as if LHM had been included in the consolidated results of the Company since January 1, 2020:</w:t>
      </w:r>
    </w:p>
    <w:tbl>
      <w:tblPr>
        <w:tblW w:w="4602" w:type="dxa"/>
        <w:jc w:val="left"/>
        <w:tblInd w:w="0" w:type="dxa"/>
        <w:tblCellMar>
          <w:top w:w="28" w:type="dxa"/>
          <w:left w:w="28" w:type="dxa"/>
          <w:bottom w:w="28" w:type="dxa"/>
          <w:right w:w="28" w:type="dxa"/>
        </w:tblCellMar>
      </w:tblPr>
      <w:tblGrid>
        <w:gridCol w:w="667"/>
        <w:gridCol w:w="587"/>
        <w:gridCol w:w="590"/>
        <w:gridCol w:w="211"/>
        <w:gridCol w:w="873"/>
        <w:gridCol w:w="109"/>
        <w:gridCol w:w="109"/>
        <w:gridCol w:w="109"/>
        <w:gridCol w:w="109"/>
        <w:gridCol w:w="211"/>
        <w:gridCol w:w="873"/>
        <w:gridCol w:w="154"/>
      </w:tblGrid>
      <w:tr>
        <w:trPr/>
        <w:tc>
          <w:tcPr>
            <w:tcW w:w="66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844"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1565" w:type="dxa"/>
            <w:gridSpan w:val="6"/>
            <w:tcBorders/>
            <w:shd w:fill="auto" w:val="clea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 forma information incorporates the Company's accounting policies and adjusts the results of the LHM Acquisition for depreciation, rent expense, and interest expense assuming that the fair value adjustments and indebtedness incurred in connection with the LHM Acquisition had occurred on January 1, 2020. They have also been adjusted to reflect the $4.9 million of acquisition related costs incurred during 2021 as having occurred on January 1, 2020. </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Park Place Acquisition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2019, we announced the proposed acquisition of substantially all of the assets of the businesses of the Park Place Dealership family of entities (collectively, "Park Place") pursuant to that certain Asset Purchase Agreement, dated as of December 11, 2019, among the Company, Park Place and the other parties thereto (the "2019 Asset Purchase Agreement"), and related agreements and transactions (collectively, the "2019 Acquisition"). On March 24, 2020, as a result of the uncertainties related to the COVID-19 pandemic we delivered notice to the sellers terminating the 2019 Acquisition pursuant to the terms of the related agreements and transactions in exchange for the payment of $10.0 million of liquidated damages which is reflected in our accompanying Consolidated Statements of Income as Other operating (income) expense, net. See Note 14 "Debt" for details related to the impact on certain financing arrangements as a result of terminating the 2019 Acquisition.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July 6, 2020, the Company, through two of its subsidiaries, entered into an Asset Purchase Agreement with certain members of the Park Place Dealership group, to acquire substantially all of the assets of, and lease the real property related to, 12 new vehicle dealership franchises (8 dealership locations), two collision centers and an auto auction (collectively, the "Park Place Acquisition"). The Park Place acquisition was completed on August 24, 2020 and financed through a combination of cash, floor plan facilities and seller financing. The seller financing comprised $150.0 million in aggregate principal amount of a 4.00% promissory note due August 2021 and $50.0 million in aggregate principal amount of a 4.00% promissory note due February 2022 (collectively, the "Seller Notes"). In September 2020, the Company redeemed the Seller Notes with proceeds from the offering of 4.50% Notes due 2028 and 4.75% Notes due 2030. See Note 14 "Debt" for further details.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sources of the purchase consideration are as follows:</w:t>
      </w:r>
    </w:p>
    <w:tbl>
      <w:tblPr>
        <w:tblW w:w="3734" w:type="dxa"/>
        <w:jc w:val="left"/>
        <w:tblInd w:w="0" w:type="dxa"/>
        <w:tblCellMar>
          <w:top w:w="28" w:type="dxa"/>
          <w:left w:w="28" w:type="dxa"/>
          <w:bottom w:w="28" w:type="dxa"/>
          <w:right w:w="28" w:type="dxa"/>
        </w:tblCellMar>
      </w:tblPr>
      <w:tblGrid>
        <w:gridCol w:w="950"/>
        <w:gridCol w:w="838"/>
        <w:gridCol w:w="851"/>
        <w:gridCol w:w="235"/>
        <w:gridCol w:w="688"/>
        <w:gridCol w:w="172"/>
      </w:tblGrid>
      <w:tr>
        <w:trPr/>
        <w:tc>
          <w:tcPr>
            <w:tcW w:w="95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Seller notes</w:t>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floor plan facility</w:t>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floor plan facility</w:t>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the purchase price is allocated to the tangible and intangible assets acquired and liabilities assumed based on information currently available. For the year ended December 31, 2021, we recorded a $1.5 million measurement period adjustment to Property and equipment and Goodwill, respectively. The following table summarizes the allocation of the purchase price:</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5715" w:type="dxa"/>
        <w:jc w:val="center"/>
        <w:tblInd w:w="0" w:type="dxa"/>
        <w:tblCellMar>
          <w:top w:w="28" w:type="dxa"/>
          <w:left w:w="28" w:type="dxa"/>
          <w:bottom w:w="28" w:type="dxa"/>
          <w:right w:w="28" w:type="dxa"/>
        </w:tblCellMar>
      </w:tblPr>
      <w:tblGrid>
        <w:gridCol w:w="1674"/>
        <w:gridCol w:w="1468"/>
        <w:gridCol w:w="1478"/>
        <w:gridCol w:w="235"/>
        <w:gridCol w:w="688"/>
        <w:gridCol w:w="172"/>
      </w:tblGrid>
      <w:tr>
        <w:trPr/>
        <w:tc>
          <w:tcPr>
            <w:tcW w:w="1674"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Assets Acquired and Liabilities Assumed</w:t>
            </w:r>
          </w:p>
        </w:tc>
        <w:tc>
          <w:tcPr>
            <w:tcW w:w="10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vehicles</w:t>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 franchise rights</w:t>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May 20, 2021, we exercised the purchase option for certain Park Place real estate leases whose original operating lease right-of-use assets and liabilities totaled $99.5 million. We acquired these properties for $217.1 million which was partly financed through the 2021 BofA Real Estate Facility.</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Income included revenue attributable to Park Place for the year ended December 31, 2021 of $1.79 billion.</w:t>
      </w:r>
    </w:p>
    <w:p>
      <w:pPr>
        <w:pStyle w:val="TextBody"/>
        <w:spacing w:lineRule="auto" w:line="288" w:before="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 recorded $1.3 million of acquisition related costs during the year ended December 31, 2020. These costs are included in Selling, general, and administrative in the Consolidated Statements of Income.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Income included revenue and net income attributable to Park Place from August 24, 2020 through December 31, 2020 of $589.6 million and $27.6 million, respectively.</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the unaudited pro forma information as if Park Place had been included in the consolidated results of the Company since January 1, 2019:</w:t>
      </w:r>
    </w:p>
    <w:tbl>
      <w:tblPr>
        <w:tblW w:w="4601" w:type="dxa"/>
        <w:jc w:val="left"/>
        <w:tblInd w:w="0" w:type="dxa"/>
        <w:tblCellMar>
          <w:top w:w="28" w:type="dxa"/>
          <w:left w:w="28" w:type="dxa"/>
          <w:bottom w:w="28" w:type="dxa"/>
          <w:right w:w="28" w:type="dxa"/>
        </w:tblCellMar>
      </w:tblPr>
      <w:tblGrid>
        <w:gridCol w:w="667"/>
        <w:gridCol w:w="587"/>
        <w:gridCol w:w="590"/>
        <w:gridCol w:w="228"/>
        <w:gridCol w:w="831"/>
        <w:gridCol w:w="118"/>
        <w:gridCol w:w="118"/>
        <w:gridCol w:w="118"/>
        <w:gridCol w:w="118"/>
        <w:gridCol w:w="228"/>
        <w:gridCol w:w="831"/>
        <w:gridCol w:w="167"/>
      </w:tblGrid>
      <w:tr>
        <w:trPr/>
        <w:tc>
          <w:tcPr>
            <w:tcW w:w="66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844"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c>
          <w:tcPr>
            <w:tcW w:w="1580" w:type="dxa"/>
            <w:gridSpan w:val="6"/>
            <w:tcBorders/>
            <w:shd w:fill="auto" w:val="clea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This pro forma information incorporates the Company's accounting policies and adjusts the results of Park Place for depreciation, rent expense, and interest expense assuming that the fair value adjustments and indebtedness incurred in connection with the Park Place Acquisition had occurred on January 1, 2019. They have also been adjusted to reflect the $1.3 million of acquisition related costs incurred during 2020 as having occurred on January 1, 2019. The pro forma information also assumes that the September 2020 divestiture of the Lexus Greenville dealership, which was related to the Park Place Acquisition, occurred on January 1, 2019.</w:t>
      </w:r>
    </w:p>
    <w:p>
      <w:pPr>
        <w:pStyle w:val="TextBody"/>
        <w:spacing w:lineRule="auto" w:line="288" w:before="180" w:after="180"/>
        <w:rPr/>
      </w:pPr>
      <w:r>
        <w:rPr>
          <w:rFonts w:ascii="Times New Roman;sans-serif" w:hAnsi="Times New Roman;sans-serif"/>
          <w:b/>
          <w:color w:val="000000"/>
          <w:sz w:val="20"/>
        </w:rPr>
        <w:t>Other Acquisitions and Divestitures</w:t>
      </w:r>
      <w:r>
        <w:rPr>
          <w:color w:val="000000"/>
        </w:rPr>
        <w:t xml:space="preserve">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to the LHM Acquisition during the year ended December 31, 2021, we acquired the assets of 11 franchises (10 dealership locations) in in the Denver, Colorado market and three franchises (one dealership location) in the Indianapolis, Indiana market for a combined purchase price of $485.7 million. We funded these acquisitions with an aggregate of $455.1 million of cash and $9.6 million of floor plan borrowings for the purchase of the related new vehicle inventory. In the aggregate, these acquisitions included purchase price holdbacks of $21.0 million for potential indemnity claims made by us with respect to the acquired franchises. In addition to the acquisition amounts above, we released $1.0 million of purchase price holdbacks related to current and prior year acquisitions during the year ended December 31, 2021.</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Park Place Acquisition during the year ended December 31, 2020, we acquired the assets of three franchises (one dealership location) in the Denver, Colorado market for a combined purchase price of $63.6 million. We funded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acquisition with an aggregate of $34.5 million of cash and $27.1 million of floor plan borrowings for the purchase of the related new vehicle inventory. In the aggregate, this acquisition included purchase price holdbacks of $2.0 million for potential indemnity claims made by us with respect to the acquired franchises. In addition to the acquisition amounts above, we released $2.5 million of purchase price holdbacks related to current and prior year acquisitions during the year ended December 31, 2020.</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2019, we acquired the assets of nine franchises (five dealership locations) and one collision center in the Indianapolis, Indiana market and one franchise (one dealership location) in the Denver, Colorado market for a combined purchase price of $210.4 million. We funded these acquisitions with an aggregate of $153.9 million of cash and $55.3 million of floor plan borrowings for the purchase of the related new vehicle inventory. In the aggregate, these acquisitions included purchase price holdbacks of $1.2 million for potential indemnity claims made by us with respect to the acquired franchises. In addition to the acquisition amounts above, we released $ 0.8 million of purchase price holdbacks related to a prior year acquisition.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Goodwill and manufacturer franchise rights associated with our Dealership segment acquisitions will be deductible for federal and state income tax purposes ratably over a 15-year period.</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Below is the allocation of the purchase price for the acquisitions (other than the LHM Acquisition and the Park Place Acquisition) for the years ended December 31, 2021 and 2020. For the 11 franchises (10 dealership locations) in the Denver, Colorado market and three franchises (one dealership location) in the Indianapolis, Indiana market acquired in 2021, the preliminary acquisition accounting is based upon the Company’s estimates of fair value. The estimated fair values of the assets acquired and liabilities assumed and the related preliminary acquisition accounting are based on management’s estimates and assumptions, as well as other information compiled by management. As the initial acquisition accounting is based on our preliminary assessments, actual values may differ (possibly materially) when final information becomes available that differs from our current estimates. Additionally, the total consideration transferred is subject to certain post-close adjustments. We believe that the information gathered to date provides a reasonable basis for estimating the preliminary fair values of assets acquired and liabilities assumed. We will continue to evaluate these items until they are satisfactorily resolved and adjust our acquisition accounting accordingly, within the allowable measurement period.</w:t>
      </w:r>
    </w:p>
    <w:tbl>
      <w:tblPr>
        <w:tblW w:w="5260" w:type="dxa"/>
        <w:jc w:val="left"/>
        <w:tblInd w:w="0" w:type="dxa"/>
        <w:tblCellMar>
          <w:top w:w="28" w:type="dxa"/>
          <w:left w:w="28" w:type="dxa"/>
          <w:bottom w:w="28" w:type="dxa"/>
          <w:right w:w="28" w:type="dxa"/>
        </w:tblCellMar>
      </w:tblPr>
      <w:tblGrid>
        <w:gridCol w:w="907"/>
        <w:gridCol w:w="796"/>
        <w:gridCol w:w="801"/>
        <w:gridCol w:w="272"/>
        <w:gridCol w:w="795"/>
        <w:gridCol w:w="140"/>
        <w:gridCol w:w="140"/>
        <w:gridCol w:w="140"/>
        <w:gridCol w:w="140"/>
        <w:gridCol w:w="272"/>
        <w:gridCol w:w="659"/>
        <w:gridCol w:w="198"/>
      </w:tblGrid>
      <w:tr>
        <w:trPr/>
        <w:tc>
          <w:tcPr>
            <w:tcW w:w="907"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 franchise rights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sold one franchise (one dealership location) in the Charlottesville, Virginia market. The Company recorded a pre-tax gain totaling $8.0 million, which is presented in our accompanying Consolidated Statements of Income as Gain on dealership divestitures, net.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2020, we sold two franchises (two dealership locations) in the Atlanta, Georgia market, we sold six franchises (five dealership locations) and one collision center in the Jackson, Mississippi market, and we sold one franchise (one dealership location) in the Greenville, South Carolina market. The Company recorded a pre-tax gain totaling $62.3 million, which is presented in our accompanying Consolidated Statements of Income as Gain on dealership divestitures, net.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2019, we sold one franchise (one dealership location) and one collision center in the Houston, Texas market. The Company divested $30.1 million of assets, which primarily consisted of inventory and property and equipment, resulting in a pre-tax gain of $11.7 million, which is presented in our accompanying Consolidated Statements of Income as Gain on divestitures.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divested businesses would not be considered a significant subsidiary as defined in Rule 1-02(w) of Regulation S-X.</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4. ACCOUNTS RECEIVABLE</w:t>
      </w:r>
    </w:p>
    <w:p>
      <w:pPr>
        <w:pStyle w:val="TextBody"/>
        <w:spacing w:lineRule="auto" w:line="288" w:before="100" w:after="283"/>
        <w:ind w:left="0" w:right="0" w:firstLine="315"/>
        <w:rPr/>
      </w:pPr>
      <w:r>
        <w:rPr>
          <w:rFonts w:ascii="Times New Roman;sans-serif" w:hAnsi="Times New Roman;sans-serif"/>
          <w:b w:val="false"/>
          <w:color w:val="000000"/>
          <w:sz w:val="20"/>
        </w:rPr>
        <w:t>Accounts receivable consisted of the following:</w:t>
      </w:r>
      <w:r>
        <w:rPr>
          <w:color w:val="000000"/>
        </w:rPr>
        <w:t> </w:t>
      </w:r>
    </w:p>
    <w:tbl>
      <w:tblPr>
        <w:tblW w:w="5093" w:type="dxa"/>
        <w:jc w:val="center"/>
        <w:tblInd w:w="0" w:type="dxa"/>
        <w:tblCellMar>
          <w:top w:w="28" w:type="dxa"/>
          <w:left w:w="28" w:type="dxa"/>
          <w:bottom w:w="28" w:type="dxa"/>
          <w:right w:w="28" w:type="dxa"/>
        </w:tblCellMar>
      </w:tblPr>
      <w:tblGrid>
        <w:gridCol w:w="1031"/>
        <w:gridCol w:w="908"/>
        <w:gridCol w:w="910"/>
        <w:gridCol w:w="211"/>
        <w:gridCol w:w="616"/>
        <w:gridCol w:w="109"/>
        <w:gridCol w:w="109"/>
        <w:gridCol w:w="109"/>
        <w:gridCol w:w="109"/>
        <w:gridCol w:w="211"/>
        <w:gridCol w:w="616"/>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receivables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 receivables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Less—Allowance for credit losses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5. INVENTORIES</w:t>
      </w:r>
    </w:p>
    <w:p>
      <w:pPr>
        <w:pStyle w:val="TextBody"/>
        <w:spacing w:lineRule="auto" w:line="288" w:before="10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4359" w:type="dxa"/>
        <w:jc w:val="left"/>
        <w:tblInd w:w="0" w:type="dxa"/>
        <w:tblCellMar>
          <w:top w:w="28" w:type="dxa"/>
          <w:left w:w="28" w:type="dxa"/>
          <w:bottom w:w="28" w:type="dxa"/>
          <w:right w:w="28" w:type="dxa"/>
        </w:tblCellMar>
      </w:tblPr>
      <w:tblGrid>
        <w:gridCol w:w="766"/>
        <w:gridCol w:w="671"/>
        <w:gridCol w:w="678"/>
        <w:gridCol w:w="211"/>
        <w:gridCol w:w="616"/>
        <w:gridCol w:w="109"/>
        <w:gridCol w:w="109"/>
        <w:gridCol w:w="109"/>
        <w:gridCol w:w="109"/>
        <w:gridCol w:w="211"/>
        <w:gridCol w:w="616"/>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accessories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 (a)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Amounts reflected for inventory as of December 31, 2021, excluded $24.1 million, of inventories classified as Assets held for sale.</w:t>
      </w:r>
    </w:p>
    <w:p>
      <w:pPr>
        <w:pStyle w:val="TextBody"/>
        <w:spacing w:lineRule="auto" w:line="288" w:before="14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lower of cost and net realizable value reserves reduced total inventory cost by $7.7 million and $6.7 million, respectively as of December 31, 2021 and December 31, 2020. As of December 31, 2021 and December 31, 2020, certain automobile manufacturer incentives reduced new vehicle inventory cost by $1.2 million and $8.3 million, respectively, and reduced new vehicle cost of sales for the year ended December 31, 2021, 2020, and 2019 by $60.4 million, $47.0 million, and $45.7 million, respectively. New vehicle inventories as of December 31, 2021 have decreased from December 31, 2020 as a result of manufacturer production challenges caused by the semiconductor chip shortage.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ind w:left="0" w:right="0" w:hanging="1440"/>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6. ASSETS HELD FOR SALE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Assets and liabilities classified as held for sale include (i) assets and liabilities associated with pending dealership disposals,(ii) real estate not currently used in our operations that we are actively marketing to sell and (iii) the related mortgage notes payable, if applicable.</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 summary of assets held for sale and liabilities associated with assets held for sale is as follows:</w:t>
      </w:r>
    </w:p>
    <w:tbl>
      <w:tblPr>
        <w:tblW w:w="6413" w:type="dxa"/>
        <w:jc w:val="left"/>
        <w:tblInd w:w="0" w:type="dxa"/>
        <w:tblCellMar>
          <w:top w:w="28" w:type="dxa"/>
          <w:left w:w="28" w:type="dxa"/>
          <w:bottom w:w="28" w:type="dxa"/>
          <w:right w:w="28" w:type="dxa"/>
        </w:tblCellMar>
      </w:tblPr>
      <w:tblGrid>
        <w:gridCol w:w="1542"/>
        <w:gridCol w:w="1356"/>
        <w:gridCol w:w="1376"/>
        <w:gridCol w:w="211"/>
        <w:gridCol w:w="616"/>
        <w:gridCol w:w="109"/>
        <w:gridCol w:w="109"/>
        <w:gridCol w:w="109"/>
        <w:gridCol w:w="109"/>
        <w:gridCol w:w="211"/>
        <w:gridCol w:w="511"/>
        <w:gridCol w:w="154"/>
      </w:tblGrid>
      <w:tr>
        <w:trPr/>
        <w:tc>
          <w:tcPr>
            <w:tcW w:w="154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Loaners,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held for sale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payable—non-trade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Loaners/ Notes payable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associated with assets held for sale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held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assets held for sale consisted of eight franchises (eight dealership locations) in addition to one real estate property not currently used in our operations. Assets and liabilities associated with these dealerships and properties totaled $375.1 million and $20.8 million, respectively.</w:t>
      </w:r>
    </w:p>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2020, assets held for sale consisted of three real estate properties not used in our operations. Assets and liabilities associated with these properties totaled $28.3 million and $8.9 million, respectively.</w:t>
      </w:r>
    </w:p>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sold one franchise (one dealership location) for a pre-tax gain totaling $8.0 million and two vacant properties with a net book value of $12.5 million.</w:t>
      </w:r>
    </w:p>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2020, the Company sold nine franchises (eight dealership locations) and one collision center for a pre-tax gain totaling $62.3 million and one vacant property with a net book value of $3.7 million. </w:t>
      </w:r>
    </w:p>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recorded $0.7 million of impairment expense related to a real estate property we were actively marketing to sell, based on offers received from prospective buyers and third-party brokers' opinions of value. We did not record impairment expense associated with real estate properties that we were actively marketing to sell during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OTHER CURRENT ASSETS</w:t>
      </w:r>
    </w:p>
    <w:p>
      <w:pPr>
        <w:pStyle w:val="TextBody"/>
        <w:spacing w:lineRule="auto" w:line="288" w:before="100" w:after="283"/>
        <w:ind w:left="0" w:right="0" w:firstLine="315"/>
        <w:rPr/>
      </w:pPr>
      <w:r>
        <w:rPr>
          <w:rFonts w:ascii="Times New Roman;sans-serif" w:hAnsi="Times New Roman;sans-serif"/>
          <w:b w:val="false"/>
          <w:color w:val="000000"/>
          <w:sz w:val="20"/>
        </w:rPr>
        <w:t>Other current assets consisted of the following:</w:t>
      </w:r>
      <w:r>
        <w:rPr>
          <w:color w:val="000000"/>
        </w:rPr>
        <w:t> </w:t>
      </w:r>
    </w:p>
    <w:tbl>
      <w:tblPr>
        <w:tblW w:w="4629" w:type="dxa"/>
        <w:jc w:val="left"/>
        <w:tblInd w:w="0" w:type="dxa"/>
        <w:tblCellMar>
          <w:top w:w="28" w:type="dxa"/>
          <w:left w:w="28" w:type="dxa"/>
          <w:bottom w:w="28" w:type="dxa"/>
          <w:right w:w="28" w:type="dxa"/>
        </w:tblCellMar>
      </w:tblPr>
      <w:tblGrid>
        <w:gridCol w:w="863"/>
        <w:gridCol w:w="758"/>
        <w:gridCol w:w="764"/>
        <w:gridCol w:w="211"/>
        <w:gridCol w:w="616"/>
        <w:gridCol w:w="109"/>
        <w:gridCol w:w="109"/>
        <w:gridCol w:w="109"/>
        <w:gridCol w:w="109"/>
        <w:gridCol w:w="211"/>
        <w:gridCol w:w="616"/>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(see Note 2)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ind w:left="0" w:right="0" w:hanging="1440"/>
        <w:rPr>
          <w:rFonts w:ascii="Times New Roman;sans-serif" w:hAnsi="Times New Roman;sans-serif"/>
          <w:b/>
          <w:color w:val="000000"/>
          <w:sz w:val="20"/>
        </w:rPr>
      </w:pPr>
      <w:r>
        <w:rPr>
          <w:rFonts w:ascii="Times New Roman;sans-serif" w:hAnsi="Times New Roman;sans-serif"/>
          <w:b/>
          <w:color w:val="000000"/>
          <w:sz w:val="20"/>
        </w:rPr>
        <w:t>8. INVESTMENTS</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acquisition of TCA included an investment portfolio funded primarily by product premiums. The amortized cost, gross unrealized gains and losses and estimated fair values of debt securities available-for-sale, equity securities, and other investments measured at net asset value are as follows:</w:t>
      </w:r>
    </w:p>
    <w:tbl>
      <w:tblPr>
        <w:tblW w:w="10205" w:type="dxa"/>
        <w:jc w:val="left"/>
        <w:tblInd w:w="0" w:type="dxa"/>
        <w:tblCellMar>
          <w:top w:w="28" w:type="dxa"/>
          <w:left w:w="28" w:type="dxa"/>
          <w:bottom w:w="28" w:type="dxa"/>
          <w:right w:w="28" w:type="dxa"/>
        </w:tblCellMar>
      </w:tblPr>
      <w:tblGrid>
        <w:gridCol w:w="894"/>
        <w:gridCol w:w="758"/>
        <w:gridCol w:w="760"/>
        <w:gridCol w:w="251"/>
        <w:gridCol w:w="735"/>
        <w:gridCol w:w="129"/>
        <w:gridCol w:w="109"/>
        <w:gridCol w:w="109"/>
        <w:gridCol w:w="109"/>
        <w:gridCol w:w="453"/>
        <w:gridCol w:w="873"/>
        <w:gridCol w:w="237"/>
        <w:gridCol w:w="109"/>
        <w:gridCol w:w="109"/>
        <w:gridCol w:w="109"/>
        <w:gridCol w:w="405"/>
        <w:gridCol w:w="780"/>
        <w:gridCol w:w="211"/>
        <w:gridCol w:w="109"/>
        <w:gridCol w:w="109"/>
        <w:gridCol w:w="109"/>
        <w:gridCol w:w="405"/>
        <w:gridCol w:w="808"/>
        <w:gridCol w:w="211"/>
        <w:gridCol w:w="109"/>
        <w:gridCol w:w="109"/>
        <w:gridCol w:w="109"/>
        <w:gridCol w:w="211"/>
        <w:gridCol w:w="616"/>
        <w:gridCol w:w="160"/>
      </w:tblGrid>
      <w:tr>
        <w:trPr/>
        <w:tc>
          <w:tcPr>
            <w:tcW w:w="89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2021</w:t>
            </w:r>
          </w:p>
        </w:tc>
      </w:tr>
      <w:tr>
        <w:trPr/>
        <w:tc>
          <w:tcPr>
            <w:tcW w:w="2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 measured at net asset value</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$0.6 million of accrued interest receivable, which is included in Other current assets on the Consolidated Balance Sheet. The Company does not consider accrued interest receivable in the carrying amount of financial assets held at amortized cost basis or in the allowance for credit losses calculation. </w:t>
      </w:r>
    </w:p>
    <w:p>
      <w:pPr>
        <w:pStyle w:val="TextBody"/>
        <w:spacing w:before="120" w:after="283"/>
        <w:ind w:left="0" w:right="0" w:hanging="1170"/>
        <w:rPr/>
      </w:pPr>
      <w:r>
        <w:rPr/>
      </w:r>
    </w:p>
    <w:p>
      <w:pPr>
        <w:pStyle w:val="TextBody"/>
        <w:spacing w:before="120" w:after="283"/>
        <w:ind w:left="0" w:right="0" w:hanging="1530"/>
        <w:rPr/>
      </w:pPr>
      <w:r>
        <w:rPr/>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 summary of amortized costs and fair value of investments by time to maturity, is as follows:</w:t>
      </w:r>
    </w:p>
    <w:tbl>
      <w:tblPr>
        <w:tblW w:w="6526" w:type="dxa"/>
        <w:jc w:val="left"/>
        <w:tblInd w:w="0" w:type="dxa"/>
        <w:tblCellMar>
          <w:top w:w="28" w:type="dxa"/>
          <w:left w:w="28" w:type="dxa"/>
          <w:bottom w:w="28" w:type="dxa"/>
          <w:right w:w="28" w:type="dxa"/>
        </w:tblCellMar>
      </w:tblPr>
      <w:tblGrid>
        <w:gridCol w:w="1380"/>
        <w:gridCol w:w="1213"/>
        <w:gridCol w:w="1231"/>
        <w:gridCol w:w="314"/>
        <w:gridCol w:w="918"/>
        <w:gridCol w:w="162"/>
        <w:gridCol w:w="109"/>
        <w:gridCol w:w="109"/>
        <w:gridCol w:w="109"/>
        <w:gridCol w:w="211"/>
        <w:gridCol w:w="616"/>
        <w:gridCol w:w="154"/>
      </w:tblGrid>
      <w:tr>
        <w:trPr/>
        <w:tc>
          <w:tcPr>
            <w:tcW w:w="1380"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2021</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 or less</w:t>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1-5 years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5-10 years</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by maturity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 measured at net asset value</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There were no gross gains and losses realized related to sales of available-for-sale debt securities carried at fair value from the acquisition date of December 17, 2021 to December 31, 2021</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of unrealized losses, defined as the amount by which the amortized cost exceeds fair value, and the related fair value of investments with unrealized losses as of December 31, 2021. The investments were segregated into two categories: those that have been in a continuous unrealized loss position for less than 12 months and those that have been in a continuous unrealized loss position of 12 or more months. The reference point for determining how long an investment was in an unrealized loss position was December 31, 2021. All investments were acquired in the LHM acquisition on December 17, 2021, therefore there are no unrealized losses greater than 12 months at December 31, 2021.</w:t>
      </w:r>
    </w:p>
    <w:tbl>
      <w:tblPr>
        <w:tblW w:w="10205" w:type="dxa"/>
        <w:jc w:val="left"/>
        <w:tblInd w:w="0" w:type="dxa"/>
        <w:tblCellMar>
          <w:top w:w="28" w:type="dxa"/>
          <w:left w:w="28" w:type="dxa"/>
          <w:bottom w:w="28" w:type="dxa"/>
          <w:right w:w="28" w:type="dxa"/>
        </w:tblCellMar>
      </w:tblPr>
      <w:tblGrid>
        <w:gridCol w:w="959"/>
        <w:gridCol w:w="703"/>
        <w:gridCol w:w="686"/>
        <w:gridCol w:w="221"/>
        <w:gridCol w:w="536"/>
        <w:gridCol w:w="114"/>
        <w:gridCol w:w="109"/>
        <w:gridCol w:w="109"/>
        <w:gridCol w:w="109"/>
        <w:gridCol w:w="341"/>
        <w:gridCol w:w="680"/>
        <w:gridCol w:w="177"/>
        <w:gridCol w:w="109"/>
        <w:gridCol w:w="109"/>
        <w:gridCol w:w="109"/>
        <w:gridCol w:w="237"/>
        <w:gridCol w:w="457"/>
        <w:gridCol w:w="122"/>
        <w:gridCol w:w="114"/>
        <w:gridCol w:w="114"/>
        <w:gridCol w:w="114"/>
        <w:gridCol w:w="347"/>
        <w:gridCol w:w="669"/>
        <w:gridCol w:w="181"/>
        <w:gridCol w:w="109"/>
        <w:gridCol w:w="109"/>
        <w:gridCol w:w="109"/>
        <w:gridCol w:w="221"/>
        <w:gridCol w:w="536"/>
        <w:gridCol w:w="114"/>
        <w:gridCol w:w="109"/>
        <w:gridCol w:w="109"/>
        <w:gridCol w:w="109"/>
        <w:gridCol w:w="333"/>
        <w:gridCol w:w="665"/>
        <w:gridCol w:w="256"/>
      </w:tblGrid>
      <w:tr>
        <w:trPr/>
        <w:tc>
          <w:tcPr>
            <w:tcW w:w="95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7"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2021</w:t>
            </w:r>
          </w:p>
        </w:tc>
      </w:tr>
      <w:tr>
        <w:trPr/>
        <w:tc>
          <w:tcPr>
            <w:tcW w:w="23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3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57"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48"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January 1, 2020, the Company adopted the amendments within ASU 2016-13, which replaced the legacy GAAP other-than-temporary impairment (“OTTI”) model with a credit loss model. The credit loss model under ASC 326-30, applicable to the available-for-sale debt securities, requires the recognition of credit losses through an allowance account, but retains the concept from the OTTI model that credit losses are recognized once securities become impaired. The Company reviews the investment securities portfolio at the security level on a quarterly basis for potential credit losses, which takes into consideration numerous factors as described in Note 1.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pStyle w:val="TextBody"/>
        <w:spacing w:before="120" w:after="283"/>
        <w:ind w:left="0" w:right="0" w:hanging="1440"/>
        <w:rPr/>
      </w:pPr>
      <w:r>
        <w:rPr/>
      </w:r>
    </w:p>
    <w:p>
      <w:pPr>
        <w:pStyle w:val="TextBody"/>
        <w:spacing w:before="120" w:after="283"/>
        <w:ind w:left="0" w:right="0" w:hanging="1440"/>
        <w:rPr/>
      </w:pPr>
      <w:r>
        <w:rPr/>
      </w:r>
    </w:p>
    <w:p>
      <w:pPr>
        <w:pStyle w:val="TextBody"/>
        <w:spacing w:before="120" w:after="283"/>
        <w:ind w:left="0" w:right="0" w:hanging="1440"/>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1440"/>
        <w:rPr>
          <w:rFonts w:ascii="Times New Roman;sans-serif" w:hAnsi="Times New Roman;sans-serif"/>
          <w:b/>
          <w:color w:val="000000"/>
          <w:sz w:val="20"/>
        </w:rPr>
      </w:pPr>
      <w:r>
        <w:rPr>
          <w:rFonts w:ascii="Times New Roman;sans-serif" w:hAnsi="Times New Roman;sans-serif"/>
          <w:b/>
          <w:color w:val="000000"/>
          <w:sz w:val="20"/>
        </w:rPr>
        <w:t>9. PROPERTY AND EQUIPMENT, NET</w:t>
      </w:r>
    </w:p>
    <w:p>
      <w:pPr>
        <w:pStyle w:val="TextBody"/>
        <w:spacing w:lineRule="auto" w:line="288" w:before="10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694" w:type="dxa"/>
        <w:jc w:val="left"/>
        <w:tblInd w:w="0" w:type="dxa"/>
        <w:tblCellMar>
          <w:top w:w="28" w:type="dxa"/>
          <w:left w:w="28" w:type="dxa"/>
          <w:bottom w:w="28" w:type="dxa"/>
          <w:right w:w="28" w:type="dxa"/>
        </w:tblCellMar>
      </w:tblPr>
      <w:tblGrid>
        <w:gridCol w:w="1195"/>
        <w:gridCol w:w="1047"/>
        <w:gridCol w:w="1058"/>
        <w:gridCol w:w="211"/>
        <w:gridCol w:w="766"/>
        <w:gridCol w:w="109"/>
        <w:gridCol w:w="109"/>
        <w:gridCol w:w="109"/>
        <w:gridCol w:w="109"/>
        <w:gridCol w:w="211"/>
        <w:gridCol w:w="616"/>
        <w:gridCol w:w="154"/>
      </w:tblGrid>
      <w:tr>
        <w:trPr/>
        <w:tc>
          <w:tcPr>
            <w:tcW w:w="1195"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vehicles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Less—Accumulated depreciation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Amounts reflected for Property and equipment, net as of December 31, 2021 and 2020, excluded $110.8 million and $28.3 million, respectively classified as Assets held for sale. In addition, Property and equipment, net as of December 31, 2021 and 2020 included finance leases of $8.4 million and $14.6 million, respectively.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we capitalized $0.8 million, $0.4 million, and $0.6 million, respectively, of interest in connection with various capital projects to upgrade or remodel our facilities. Depreciation expense was $41.9 million, $38.5 million, and $36.2 million for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10. GOODWILL AND INTANGIBLE FRANCHISE RIGHTS</w:t>
      </w:r>
    </w:p>
    <w:p>
      <w:pPr>
        <w:pStyle w:val="TextBody"/>
        <w:spacing w:lineRule="auto" w:line="288" w:before="180" w:after="283"/>
        <w:ind w:left="0" w:right="0" w:firstLine="315"/>
        <w:rPr/>
      </w:pPr>
      <w:r>
        <w:rPr>
          <w:rFonts w:ascii="Times New Roman;sans-serif" w:hAnsi="Times New Roman;sans-serif"/>
          <w:b w:val="false"/>
          <w:color w:val="000000"/>
          <w:sz w:val="20"/>
        </w:rPr>
        <w:t>Our acquisitions have resulted in the recording of goodwill and intangible franchise rights. Goodwill is an asset representing operational synergies and future economic benefits arising from other assets acquired in a business combination that are not individually identified and separately recognized. Intangible franchise rights is an asset representing our rights under franchise agreements with vehicle manufacturers. Goodwill and intangible franchise rights are tested annually as of October 1</w:t>
      </w:r>
      <w:r>
        <w:rPr>
          <w:rFonts w:ascii="Times New Roman;sans-serif" w:hAnsi="Times New Roman;sans-serif"/>
          <w:b w:val="false"/>
          <w:color w:val="000000"/>
          <w:sz w:val="13"/>
        </w:rPr>
        <w:t>st</w:t>
      </w:r>
      <w:r>
        <w:rPr>
          <w:rFonts w:ascii="Times New Roman;sans-serif" w:hAnsi="Times New Roman;sans-serif"/>
          <w:b w:val="false"/>
          <w:color w:val="000000"/>
          <w:sz w:val="20"/>
        </w:rPr>
        <w:t xml:space="preserve">, or more frequently in the event that facts and circumstances indicate a triggering event has occurred.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the Company completed the LHM Acquisition, thereby acquiring 54 new vehicle dealerships, seven used car stores, 11 collision centers, a used vehicle wholesale business, the real property related thereto, and the entities comprising the TCA operations for a total purchase price of $3.48 billion. We preliminarily recorded goodwill of $1.64 billion, franchise rights of $870.0 million and value of business acquired ("VOBA") of $5.6 million in connection with the LHM Acquisition.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determined that the TCA operations are a separate operating and reportable segment from our dealership operations and have therefore allocated goodwill of $1.64 billion associated with the LHM Acquisition between our reportable segments. Approximately $710.3 million of goodwill was allocated to the TCA segment and $929.0 million was allocated to the Dealerships segment. This allocation is preliminary and subject to change once the purchase price allocation is finalized. Values may differ, possibly materially, when final information becomes available that differs from current estimates.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LHM Acquisition, the Company now operates in two reportable segments namely, the Dealerships and TCA segments. </w:t>
      </w:r>
    </w:p>
    <w:p>
      <w:pPr>
        <w:pStyle w:val="TextBody"/>
        <w:spacing w:before="180" w:after="283"/>
        <w:ind w:left="0" w:right="0" w:firstLine="270"/>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The changes in goodwill and intangible franchise rights for the years ended December 31, 2021 and 2020 are as follows:</w:t>
      </w:r>
    </w:p>
    <w:tbl>
      <w:tblPr>
        <w:tblW w:w="4206" w:type="dxa"/>
        <w:jc w:val="left"/>
        <w:tblInd w:w="0" w:type="dxa"/>
        <w:tblCellMar>
          <w:top w:w="28" w:type="dxa"/>
          <w:left w:w="28" w:type="dxa"/>
          <w:bottom w:w="28" w:type="dxa"/>
          <w:right w:w="28" w:type="dxa"/>
        </w:tblCellMar>
      </w:tblPr>
      <w:tblGrid>
        <w:gridCol w:w="1114"/>
        <w:gridCol w:w="979"/>
        <w:gridCol w:w="982"/>
        <w:gridCol w:w="211"/>
        <w:gridCol w:w="766"/>
        <w:gridCol w:w="154"/>
      </w:tblGrid>
      <w:tr>
        <w:trPr/>
        <w:tc>
          <w:tcPr>
            <w:tcW w:w="111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Goodwill</w:t>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2019 (a)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assets held for sale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assets held for sale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 (a)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0" w:after="0"/>
        <w:ind w:left="0" w:right="0" w:hanging="270"/>
        <w:rPr/>
      </w:pPr>
      <w:r>
        <w:rPr>
          <w:rFonts w:ascii="Times New Roman;sans-serif" w:hAnsi="Times New Roman;sans-serif"/>
          <w:b w:val="false"/>
          <w:color w:val="000000"/>
          <w:sz w:val="20"/>
        </w:rPr>
        <w:t>(a)</w:t>
      </w:r>
      <w:r>
        <w:rPr>
          <w:color w:val="000000"/>
          <w:highlight w:val="white"/>
        </w:rPr>
        <w:t xml:space="preserve"> </w:t>
      </w:r>
      <w:r>
        <w:rPr>
          <w:rFonts w:ascii="Times New Roman;sans-serif" w:hAnsi="Times New Roman;sans-serif"/>
          <w:b w:val="false"/>
          <w:color w:val="000000"/>
          <w:sz w:val="20"/>
          <w:highlight w:val="white"/>
        </w:rPr>
        <w:t xml:space="preserve">Net of accumulated impairment losses of </w:t>
      </w:r>
      <w:r>
        <w:rPr>
          <w:rFonts w:ascii="Times New Roman;sans-serif" w:hAnsi="Times New Roman;sans-serif"/>
          <w:b w:val="false"/>
          <w:color w:val="000000"/>
          <w:sz w:val="20"/>
        </w:rPr>
        <w:t>$537.7 million</w:t>
      </w:r>
      <w:r>
        <w:rPr>
          <w:color w:val="000000"/>
          <w:highlight w:val="white"/>
        </w:rPr>
        <w:t xml:space="preserve"> </w:t>
      </w:r>
      <w:r>
        <w:rPr>
          <w:rFonts w:ascii="Times New Roman;sans-serif" w:hAnsi="Times New Roman;sans-serif"/>
          <w:b w:val="false"/>
          <w:color w:val="000000"/>
          <w:sz w:val="20"/>
          <w:highlight w:val="white"/>
        </w:rPr>
        <w:t xml:space="preserve">recorded prior to the </w:t>
      </w:r>
      <w:r>
        <w:rPr>
          <w:rFonts w:ascii="Times New Roman;sans-serif" w:hAnsi="Times New Roman;sans-serif"/>
          <w:b w:val="false"/>
          <w:color w:val="000000"/>
          <w:sz w:val="20"/>
        </w:rPr>
        <w:t>year ended December 31, 2019.</w:t>
      </w:r>
    </w:p>
    <w:tbl>
      <w:tblPr>
        <w:tblW w:w="5159" w:type="dxa"/>
        <w:jc w:val="left"/>
        <w:tblInd w:w="0" w:type="dxa"/>
        <w:tblCellMar>
          <w:top w:w="28" w:type="dxa"/>
          <w:left w:w="28" w:type="dxa"/>
          <w:bottom w:w="28" w:type="dxa"/>
          <w:right w:w="28" w:type="dxa"/>
        </w:tblCellMar>
      </w:tblPr>
      <w:tblGrid>
        <w:gridCol w:w="1038"/>
        <w:gridCol w:w="912"/>
        <w:gridCol w:w="914"/>
        <w:gridCol w:w="428"/>
        <w:gridCol w:w="1555"/>
        <w:gridCol w:w="312"/>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Intangible Franchise Rights</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2019</w:t>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1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1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2295"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2295"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2295"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assets held for sale</w:t>
            </w:r>
          </w:p>
        </w:tc>
        <w:tc>
          <w:tcPr>
            <w:tcW w:w="1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elected to perform a qualitative assessment for our October 1, 2021 goodwill and franchise rights impairment testing and determined that it was more likely than not that the fair value of our reporting units exceeded their carrying value. We did not record an impairment charge for goodwill or franchise rights in the year ended December 31, 2021. </w:t>
      </w:r>
    </w:p>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a result of the adverse impact on our dealership operations caused by the COVID-19 pandemic in the first quarter of 2020, the Company considered the extent to which the COVID-19 impacts combined with other relevant circumstances (e.g., the results of the Company’s impairment test) could affect the significant inputs used to determine the fair value of the Company’s franchise rights and goodwill associated with the Company’s reporting units.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To the extent that we determined that the totality of events and circumstances, and their effect on the significant inputs into the fair value determination of our franchise rights and reporting units, would more likely than not lead to an impairment of the carrying value of the franchise rights or goodwill reporting units, we performed quantitative impairment tests as of March 31, 2020. The quantitative impairment tests for franchise rights included a comparison of the estimated fair value to the carrying value of each franchise right asset. The Company estimates fair value by using a discounted cash flow model (income approach) based on market participant assumptions related to the cash flows directly attributable to the franchise. These assumptions include year-over-year and terminal growth rates, working capital requirements, weighted average cost of capital, future gross margins, and future selling, general, and administrative expenses. The results of the quantitative impairment testing identified that the carrying values of certain of our franchise rights assets exceeded their fair value. As a result, we recognized a $23.0 million pre-tax non-cash impairment charge during the three months ended March 31, 2020.</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also performed qualitative assessments on the remaining franchise rights and goodwill reporting units as of March 31, 2020. The results of our quantitative and qualitative assessments indicated that the carrying value of goodwill related to all reporting units did not exceed their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11. FLOOR PLAN NOTES PAYABLE—TRADE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floor plan notes payable to a party that is affiliated with the entity from which we purchase our new vehicle inventory as Floor Plan Notes Payable—Trade on our Consolidated Balance Sheets. Floor plan notes payable—trade, net </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consisted of the following:</w:t>
      </w:r>
    </w:p>
    <w:tbl>
      <w:tblPr>
        <w:tblW w:w="5544" w:type="dxa"/>
        <w:jc w:val="left"/>
        <w:tblInd w:w="0" w:type="dxa"/>
        <w:tblCellMar>
          <w:top w:w="28" w:type="dxa"/>
          <w:left w:w="28" w:type="dxa"/>
          <w:bottom w:w="28" w:type="dxa"/>
          <w:right w:w="28" w:type="dxa"/>
        </w:tblCellMar>
      </w:tblPr>
      <w:tblGrid>
        <w:gridCol w:w="1272"/>
        <w:gridCol w:w="1117"/>
        <w:gridCol w:w="1121"/>
        <w:gridCol w:w="211"/>
        <w:gridCol w:w="511"/>
        <w:gridCol w:w="109"/>
        <w:gridCol w:w="109"/>
        <w:gridCol w:w="109"/>
        <w:gridCol w:w="109"/>
        <w:gridCol w:w="211"/>
        <w:gridCol w:w="511"/>
        <w:gridCol w:w="154"/>
      </w:tblGrid>
      <w:tr>
        <w:trPr/>
        <w:tc>
          <w:tcPr>
            <w:tcW w:w="12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Floor plan notes payable—trade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offset account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floor plan notes payable—trade,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floor plan facility with the Ford Motor Credit Company ("Ford Credit") to purchase new Ford and Lincoln vehicle inventory. Our floor plan facility with Ford Credit was amended in July 2020 and can be terminated by either the Company or Ford Credit with a 30-day notice period.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have established a floor plan notes payable offset account with Ford Credit that allows us to transfer cash to the account as an offset to our outstanding Floor Plan Notes Payable—Trade. These transfers reduce the amount of outstanding new vehicle floor plan notes payable that would otherwise accrue interest, while retaining the ability to transfer amounts from the offset account into our operating cash accounts within one to two days. As a result of using our floor plan offset account, we experienced a reduction in Floor plan interest expense on our Consolidated Statements of Income.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agreement governing our floor plan facility with Ford Credit are customary for financing transactions of this nature. Further, the agreement governing our floor plan facility with Ford Credit also provides for events of default that are customary for financing transactions of this nature, including cross-defaults to other material indebtedness. Upon the occurrence of an event of default, the Company could be required to immediately repay all outstanding amounts under our floor plan facility with Ford Credit.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12. FLOOR PLAN NOTES PAYABLE—NON-TRADE</w:t>
      </w:r>
    </w:p>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consider floor plan notes payable to a party that is not affiliated with the entity from which we purchase our new vehicle inventory as Floor Plan Notes Payable—Non-Trade on our Consolidated Balance Sheets. Floor plan notes payable—non-trade, net consisted of the following:</w:t>
      </w:r>
    </w:p>
    <w:tbl>
      <w:tblPr>
        <w:tblW w:w="6129" w:type="dxa"/>
        <w:jc w:val="left"/>
        <w:tblInd w:w="0" w:type="dxa"/>
        <w:tblCellMar>
          <w:top w:w="28" w:type="dxa"/>
          <w:left w:w="28" w:type="dxa"/>
          <w:bottom w:w="28" w:type="dxa"/>
          <w:right w:w="28" w:type="dxa"/>
        </w:tblCellMar>
      </w:tblPr>
      <w:tblGrid>
        <w:gridCol w:w="1407"/>
        <w:gridCol w:w="1237"/>
        <w:gridCol w:w="1241"/>
        <w:gridCol w:w="211"/>
        <w:gridCol w:w="616"/>
        <w:gridCol w:w="109"/>
        <w:gridCol w:w="109"/>
        <w:gridCol w:w="109"/>
        <w:gridCol w:w="109"/>
        <w:gridCol w:w="211"/>
        <w:gridCol w:w="616"/>
        <w:gridCol w:w="154"/>
      </w:tblGrid>
      <w:tr>
        <w:trPr/>
        <w:tc>
          <w:tcPr>
            <w:tcW w:w="140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payable—new non-trade (a)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payable—used non-trade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offset account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floor plan notes payable—non-trade,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Amounts reflected for Floor plan notes payable—new non-trade as of December 31, 2021, excluded $9.1 million classified as Liabilities associated with assets held for sale.</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2019 Senior Credit Facility</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LHM Acquisition, as of October 29, 2021 we entered into a Third Amendment (the "October 29, 2021 Amendment") to the Third Amended and Restated Credit Agreement dated September 25, 2019 with Bank of America, N.A. ("Bank of America"), as administrative agent, and the other lenders party thereto (the "2019 Senior Credit Facility").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October 29, 2021 Amendment, among other things, the 2019 Senior Credit Facility (1) increased the aggregate commitments under the Revolving Credit Facility to $450.0 million (2) increased the aggregate commitments under the Used Vehicle Floorplan Facility to $350.0 million, (3) increased the aggregate commitments under the New Vehicle Floorplan Facility to $1.75 billion, (4) removed our minimum consolidated current ratio covenant, and (5) permitted the use of borrowings under the 2021 Senior Credit Facility to fund a portion of the consideration for the LHM Acquisition.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under the 2019 Senior Credit Facility will be used, among other things, (i) to finance the purchase of new and used vehicles by the Company and certain of its subsidiaries, (ii) for working capital needs of the Company and certain of its subsidiaries, and (iii) for other general corporate purposes of the Company and certain of its subsidiaries.</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compliance with certain conditions, the 2019 Senior Credit Agreement provides that we have the ability, at our option and subject to the receipt of additional commitments from existing or new lenders, to increase the size of the facilities by up to $350.0 million in the aggregate without lender consent.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connection with the New Vehicle Floor Plan Facility, we continue to maintain an offset account with Bank of America that allows us to transfer cash as an offset to floor plan notes payable. These transfers reduce the amount of outstanding new vehicle floor plan notes payable that would otherwise accrue interest, while retaining the ability to transfer amounts from the offset account into our operating cash accounts within one to two days. As a result of the use of our floor plan offset account, we experienced a reduction in Floor plan interest expense on our Consolidated Statements of Income.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Borrowings under the 2019 Senior Credit Facility bear interest, at our option, based on the London Interbank Offered Rate ("LIBOR") or the Base Rate, in each case plus an Applicable Rate. The Base Rate is the highest of (i) the Federal Funds Rate plus 0.50%, (ii) the Bank of America prime rate, and (iii) one month LIBOR plus 1.00%. Applicable Rate means with respect to the Revolving Credit Facility, a range from 1.00% to 2.00% for LIBOR loans and 0.15% to 1.00% for Base Rate loans, in each case based on the Company's consolidated total lease adjusted leverage ratio. Borrowings under the New Vehicle Floorplan Facility bear interest, at our option, based on LIBOR plus 1.10% or the Base Rate plus 0.10%. Borrowings under the Used Vehicle Floorplan Facility bear interest, at our option, based on LIBOR plus 1.40% or the Base Rate plus 0.40%.</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addition to the payment of interest on borrowings outstanding under the 2019 Senior Credit Facility, we are required to pay a quarterly commitment fee on total unused commitments thereunder. The fee for unused commitments under the Revolving Credit Facility is between 0.15% and 0.40% per year, based on the Company's total lease adjusted leverage ratio, and the fee for unused commitments under the New Vehicle Facility Floor Plan and the Used Vehicle Facility Floor Plan Facility is 0.15% per year.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2019 Senior Credit Facility matures, and all amounts outstanding thereunder will be due and payable, on September 25, 2024.</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2019 Senior Credit Agreement are customary for financing transactions of this nature, including, among others, a requirement to comply with a minimum consolidated fixed charge coverage ratio and maximum consolidated total lease adjusted leverage ratio, in each case as set out in the 2019 Senior Credit Agreement. In addition, certain other covenants could restrict the Company's ability to incur additional debt, pay dividends or acquire or dispose of assets.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2019 Senior Credit Agreement also provides for events of default that are customary for financing transactions of this nature, including cross-defaults to other material indebtedness. In certain instances, an event of default under either the Revolving Credit Facility or the Used Vehicle Floorplan Facility could be, or result in, an event of default under the New Vehicle Floorplan Facility, and vice versa. Upon the occurrence of an event of default, the Company could be required to immediately repay all amounts outstanding under the applicable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See the "Representations and Covenants" section below under our "Long-Term Debt" footnote for a description of the representations, covenants and events of default contained in the 2019 Senior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ind w:left="0" w:right="0" w:hanging="1440"/>
        <w:rPr/>
      </w:pPr>
      <w:r>
        <w:rPr/>
      </w:r>
    </w:p>
    <w:p>
      <w:pPr>
        <w:pStyle w:val="TextBody"/>
        <w:spacing w:before="0" w:after="0"/>
        <w:ind w:left="0" w:right="0" w:hanging="1440"/>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13. ACCOUNTS PAYABLE AND ACCRUED LIABILITIES</w:t>
      </w:r>
    </w:p>
    <w:p>
      <w:pPr>
        <w:pStyle w:val="TextBody"/>
        <w:spacing w:lineRule="auto" w:line="288" w:before="100" w:after="283"/>
        <w:ind w:left="0" w:right="0" w:firstLine="315"/>
        <w:rPr/>
      </w:pPr>
      <w:r>
        <w:rPr>
          <w:rFonts w:ascii="Times New Roman;sans-serif" w:hAnsi="Times New Roman;sans-serif"/>
          <w:b w:val="false"/>
          <w:color w:val="000000"/>
          <w:sz w:val="20"/>
        </w:rPr>
        <w:t>Accounts payable and accrued liabilities consisted of the following:</w:t>
      </w:r>
      <w:r>
        <w:rPr>
          <w:color w:val="000000"/>
        </w:rPr>
        <w:t> </w:t>
      </w:r>
    </w:p>
    <w:tbl>
      <w:tblPr>
        <w:tblW w:w="5903" w:type="dxa"/>
        <w:jc w:val="center"/>
        <w:tblInd w:w="0" w:type="dxa"/>
        <w:tblCellMar>
          <w:top w:w="28" w:type="dxa"/>
          <w:left w:w="28" w:type="dxa"/>
          <w:bottom w:w="28" w:type="dxa"/>
          <w:right w:w="28" w:type="dxa"/>
        </w:tblCellMar>
      </w:tblPr>
      <w:tblGrid>
        <w:gridCol w:w="1326"/>
        <w:gridCol w:w="1164"/>
        <w:gridCol w:w="1169"/>
        <w:gridCol w:w="211"/>
        <w:gridCol w:w="616"/>
        <w:gridCol w:w="109"/>
        <w:gridCol w:w="109"/>
        <w:gridCol w:w="109"/>
        <w:gridCol w:w="109"/>
        <w:gridCol w:w="211"/>
        <w:gridCol w:w="616"/>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vehicles notes payable (a)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finance and insurance chargebacks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licenses and regulatory fees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we owe liabilities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advertising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Amounts reflected for Loaner vehicles notes payable as of December 31, 2021, excluded $4.6 million classified as Liabilities associated with assets held for sale.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ind w:left="0" w:right="0" w:hanging="1440"/>
        <w:rPr/>
      </w:pPr>
      <w:r>
        <w:rPr/>
      </w:r>
    </w:p>
    <w:p>
      <w:pPr>
        <w:pStyle w:val="TextBody"/>
        <w:spacing w:before="0" w:after="0"/>
        <w:ind w:left="0" w:right="0" w:hanging="1440"/>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14. DEBT</w:t>
      </w:r>
    </w:p>
    <w:p>
      <w:pPr>
        <w:pStyle w:val="TextBody"/>
        <w:spacing w:lineRule="auto" w:line="288" w:before="10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10205" w:type="dxa"/>
        <w:jc w:val="left"/>
        <w:tblInd w:w="0" w:type="dxa"/>
        <w:tblCellMar>
          <w:top w:w="28" w:type="dxa"/>
          <w:left w:w="28" w:type="dxa"/>
          <w:bottom w:w="28" w:type="dxa"/>
          <w:right w:w="28" w:type="dxa"/>
        </w:tblCellMar>
      </w:tblPr>
      <w:tblGrid>
        <w:gridCol w:w="2962"/>
        <w:gridCol w:w="2336"/>
        <w:gridCol w:w="2361"/>
        <w:gridCol w:w="211"/>
        <w:gridCol w:w="766"/>
        <w:gridCol w:w="109"/>
        <w:gridCol w:w="109"/>
        <w:gridCol w:w="109"/>
        <w:gridCol w:w="109"/>
        <w:gridCol w:w="211"/>
        <w:gridCol w:w="766"/>
        <w:gridCol w:w="156"/>
      </w:tblGrid>
      <w:tr>
        <w:trPr/>
        <w:tc>
          <w:tcPr>
            <w:tcW w:w="2962"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7659"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7659" w:type="dxa"/>
            <w:gridSpan w:val="3"/>
            <w:vMerge w:val="continue"/>
            <w:tcBorders/>
            <w:shd w:fill="auto" w:val="clear"/>
            <w:tcMar>
              <w:top w:w="0" w:type="dxa"/>
              <w:left w:w="0" w:type="dxa"/>
              <w:bottom w:w="0" w:type="dxa"/>
              <w:right w:w="0" w:type="dxa"/>
            </w:tcMar>
            <w:vAlign w:val="center"/>
          </w:tcPr>
          <w:p>
            <w:pPr>
              <w:pStyle w:val="Normal"/>
              <w:rPr/>
            </w:pPr>
            <w:r>
              <w:rPr/>
            </w:r>
          </w:p>
        </w:tc>
        <w:tc>
          <w:tcPr>
            <w:tcW w:w="25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bearing interest at fixed rates (the weighted average interest rates were 4.6% and 5.4% for the year ended December 31, 2021 and 2020, respectively)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Real Estate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BofA Real Estate Facility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Bank of America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Wells Fargo Master Loan Facility (a)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 BofA Real Estate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Wells Fargo Master Loan Facility (b)</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Syndicated Revolving Credit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outstanding</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Add—unamortized premium on 4.50% Senior Notes due 2028</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Add—unamortized premium on 4.75% Senior Notes due 2030</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Less—debt issuance costs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 net of debt issuance costs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 Amounts reflected for the 2018 Wells Fargo Master Loan Facility as of December 31, 2020, exclude $5.1 million classified as Liabilities associated with assets held for sale.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 Amounts reflected for the 2015 Wells Fargo Master Loan Facility as of December 31, 2020, exclude $3.8 million classified as Liabilities associated with assets held for sale.</w:t>
      </w:r>
    </w:p>
    <w:p>
      <w:pPr>
        <w:pStyle w:val="TextBody"/>
        <w:spacing w:lineRule="auto" w:line="288" w:before="0" w:after="0"/>
        <w:ind w:left="0" w:right="0" w:firstLine="270"/>
        <w:rPr/>
      </w:pPr>
      <w:r>
        <w:rPr>
          <w:rFonts w:ascii="Times New Roman;sans-serif" w:hAnsi="Times New Roman;sans-serif"/>
          <w:b w:val="false"/>
          <w:color w:val="000000"/>
          <w:sz w:val="20"/>
        </w:rPr>
        <w:t>The aggregate maturities of long-term debt as of December 31, 2021 are as follows (in millions):</w:t>
      </w:r>
      <w:r>
        <w:rPr>
          <w:color w:val="000000"/>
        </w:rPr>
        <w:t> </w:t>
      </w:r>
    </w:p>
    <w:tbl>
      <w:tblPr>
        <w:tblW w:w="3995" w:type="dxa"/>
        <w:jc w:val="center"/>
        <w:tblInd w:w="0" w:type="dxa"/>
        <w:tblCellMar>
          <w:top w:w="28" w:type="dxa"/>
          <w:left w:w="28" w:type="dxa"/>
          <w:bottom w:w="28" w:type="dxa"/>
          <w:right w:w="28" w:type="dxa"/>
        </w:tblCellMar>
      </w:tblPr>
      <w:tblGrid>
        <w:gridCol w:w="1036"/>
        <w:gridCol w:w="908"/>
        <w:gridCol w:w="920"/>
        <w:gridCol w:w="211"/>
        <w:gridCol w:w="766"/>
        <w:gridCol w:w="154"/>
      </w:tblGrid>
      <w:tr>
        <w:trPr/>
        <w:tc>
          <w:tcPr>
            <w:tcW w:w="1036"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of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Senior Notes issued in 2021</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LHM Acquisition, on November 19, 2021, the Company completed its offering of $800 million aggregate principal amount of 4.625% senior notes due 2029 (the “2029 Notes”) and $600 million aggregate principal amount of 5.000% senior notes due 2032 (the “2032 Notes”).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 paid lender fees of $17.5 million in conjunction with the offering of the 2029 Notes and 2032 Notes and incurred additional debt issuance costs of $4.0 million.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lender fees and other debt issuance costs incurred are being amortized over the terms of the 2029 and 2032 Notes using the effective interest method.</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2029 Notes will mature on November 15, 2029. We may redeem some or all of the 2029 Notes at any time on and after November 15, 2024 at redemption prices specified in the 2029 Notes Indenture. Prior to November 15, 2024, we may also redeem up to 40% of the aggregate principal amount of the 2029 Notes using the proceeds from certain equity offerings at a redemption price of 104.625% of their principal amount plus accrued and unpaid interest, if any, to, but not including the redemption date. In addition, we may redeem some or all of the 2029 Notes at any time prior to November 15, 2024 at a price equal to 100% of the principal amount thereof plus a make-whole premium set forth in the 2029 Notes Indenture, and accrued and unpaid interest, if any. If we sell certain of our assets or experience specific kinds of changes of control, we must offer to repurchase the 2029 Notes.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2032 Notes mature on February 15, 2032. We may redeem some or all of the 2032 Notes at any time on and after November 15, 2026 at redemption prices specified in the 2032 Notes Indenture. Prior to November 15, 2026, we may also redeem up to 40% of the aggregate principal amount of the 2032 Notes using the proceeds from certain equity offerings at a redemption price of 105.000% of their principal amount plus accrued and unpaid interest to, if any, but not including the redemption date. In addition, we may redeem some or all of the 2032 Notes at any time prior to November 15, 2026 at a price equal to 100% of the principal amount thereof plus a make-whole premium set forth in the 2032 Notes Indenture, and accrued and unpaid interest, if any. If we sell certain of our assets or experience specific kinds of changes of control, we must offer to repurchase the 2032 Notes. </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with no independent assets or operations. For all relevant periods presented, our 2029 Notes and 2032 Notes have been fully and unconditionally guaranteed, on a joint and several basis, by substantially all of our subsidiaries other than Landcar Administration Company, Landcar Agency, Inc., and Landcar Casualty Company (collectively, the “TCA Non-Guarantor Subsidiaries”).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Senior Notes issued in 2020</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2019 Acquisition, on February 19, 2020, the Company completed its offering of senior unsecured notes (the "February 2020 Offering"), consisting of $525.0 million aggregate principal amount of 4.50% Senior Notes due 2028 (the "Existing 2028 Notes") and together with the Additional 2028 Notes ((as defined below), the "2028 Notes") and $600.0 million aggregate principal amount of 4.75% Senior Notes due 2030 (the "Existing 2030 Notes" and, together with the Existing 2028 Notes, the "Existing Notes") and together with the Additional 2030 Notes ((as defined below), the "2030 Notes"). The Company paid lender fees of $6.8 million in conjunction with the February 2020 Offering and incurred additional debt issuance costs of $3.1 million.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termination of the 2019 Acquisition, the Company delivered a notice of special mandatory redemption to holders of its Existing 2028 Notes and Existing 2030 Notes pursuant to which it would redeem on a pro rata basis (1) $245.0 million of the Existing 2028 Notes and (2) $280.0 million of the 2030 Existing Notes, in each case, at 100% of the respective principal amount plus accrued and unpaid interest to but excluding, the special mandatory redemption date. On March 30, 2020, the Company completed the redemption and recorded a write-off of unamortized debt issuance costs of $1.5 million.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completed an issuance of $250.0 million aggregate principal amount of additional senior unsecured notes (the "September 2020 Offering") consisting of $125.0 million aggregate principal amount of additional 4.50% Senior Notes due 2028 (the "Additional 2028 Notes") at a price of 101.00% of par, plus accrued interest from September 1, 2020, and $125.0 million aggregate principal amount of additional 4.75% Senior Notes due 2030 (the "Additional 2030 Notes" and together with the Additional 2028 Notes, the "Additional Notes") at a price of 101.75% of par, plus accrued interest from September 1, 2020. After deducting the initial purchasers' discounts of $2.8 million, we received net proceeds of approximately $250.6 million from the September 2020 Offering. The $3.5 million premium paid by the initial purchasers of the Additional Notes was recorded as a component of long-term debt on our Consolidated Balance Sheet and is being amortized as a reduction of interest expense over the remaining term of the Additional Notes. The proceeds of the September 2020 Offering were used to redeem the Seller Notes issued in connection with the Park Place Acquisition and repay approximately $50.0 million in aggregate principal amount outstanding under our Revolving Credit Facility.</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lender fees and other debt issuance costs incurred are being amortized over the terms of the Notes using the effective interest method.</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2028 Notes and 2030 Notes mature on March 1, 2028 and March 1, 2030, respectively. Interest is payable semiannually, on March 1 and September 1 of each year. The February 2020 Offering, together with additional borrowings and cash on hand, was incurred to (i) fund the acquisition of substantially all of the assets of Park Place, (ii) redeem all of our outstanding $600.0 million aggregate principal amount of the 6.0% Notes (the "6.0% Notes") and (iii) pay fees and expenses in connection with the foregoing.</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remaining outstanding 2028 Notes and 2030 Notes are subject to customary covenants, events of default and optional redemption provisions. In addition, the remaining outstanding 2028 Notes and 2030 Notes were required to be registered under the Securities Act of 1933 within 270 days of the closing date for the offering. The Company completed the registration of the 2028 Notes and 2030 Notes in October 2020.</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with no independent assets or operations. For all relevant periods presented, our 2028 Notes and 2030 Notes have been fully and unconditionally guaranteed, on a joint and several basis, by substantially all of our subsidiaries other than the TCA Non-Guarantor Subsidiaries.</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6.0% Senior Subordinated Notes due 2024</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February 3, 2020, we issued a conditional notice of redemption to the holders of our 6.0% Senior Subordinated Notes due 2024, notifying such holders that we intended to redeem all of the 6.0% Notes. On March 4, 2020, the 6.0% Notes were redeemed at 103% of par, plus accrued and unpaid interest to, but excluding, the date of redemption. We recorded a loss on extinguishment of the 6.0% Notes of $19.1 million which comprised a redemption premium of $18.0 million and the net write-off of the unamortized premium and debt issuance costs of $1.1 million related to the 6.0% Notes on the redemption date.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Seller Notes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Seller Notes comprised $150.0 million in aggregate principal amount of 4.00% promissory note due August 2021 and $50.0 million in aggregate principal amount of a 4.00% promissory note due February 2022 and were issued on August 24, 2020 in conjunction with the Park Place Acquisition. In September 2020, the Company redeemed the Seller Notes with the proceeds of the September 2020 Offering.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Mortgage Financings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have multiple mortgage agreements with finance companies affiliated with our vehicle manufacturers ("captive mortgages") and other lenders. As of December 31, 2021 and 2020, we had total mortgage notes payable outstanding of $71.7 million and $79.2 million, respectively, which are collateralized by the associated real estate.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2021 Real Estate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17, 2021, we entered into a real estate term loan credit agreement with Bank of America, N.A., as administrative agent and the various financial institutions party thereto, as lenders, which provides for term loans in an aggregate amount equal to $689.7 million (the “2021 Real Estate Facility”). The Company used the proceeds from these borrowings to finance the purchase of the real property in connection with the LHM Acquisition as well as other recent acquisitions and other unencumbered real property.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Term loans under the 2021 Real Estate Facility bear interest, at our option, based on (1) Daily Simple SOFR plus 1.55% - 1.95% per annum (as determined by the consolidated total lease adjusted leverage ratio), or (2) the Base Rate (as described below) plus 0.55% - 0.95% per annum (as determined by the consolidated total lease adjusted leverage ratio). The Base Rate is the highest of (i) the Federal Funds rate plus 0.50%, (ii) the Bank of America prime rate, (iii) the Daily Simple SOFR plus 1.0% and (iv) 1.00%. We will be required to make 20 consecutive quarterly principal payments of 1.25% of the initial amount of each loan, with a balloon repayment of the outstanding principal amount of loans due on the maturity date. The 2021 Real Estate Facility matures five years from the initial funding date. Borrowings under the 2021 Real Estate Facility are guaranteed by us, and are collateralized by first priority liens, subject to certain permitted exceptions, on all of the real property financed thereunder.</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$689.7 million in term loans outstanding under the 2021 Real Estate Facility. </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2021 BofA Real Estate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20, 2021, the Company and certain of its subsidiaries borrowed $184.4 million under a real estate term loan credit agreement, dated as of May 10, 2021 (the “2021 BofA Real Estate Credit Agreement”), by and among the Company and certain of its subsidiaries, Bank of America, N.A., as administrative agent and the various financial institutions party thereto, as lenders, which provides for term loans in an aggregate amount equal to $184.4 million, subject to customary terms and conditions (the “2021 BofA Real Estate Facility”). The Company used the proceeds from these borrowings to finance the exercise of its option to purchase certain of the leased real property under the definitive agreements entered into in connection with the acquisition of the Park Place Dealerships. The Company completed the purchase of the leased real property on May 20, 2021. </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Term loans under our 2021 BofA Real Estate Facility bear interest, at our option, based on (1) LIBOR plus 1.65% per annum or (2) the Base Rate (as described below) plus 0.65% per annum. The Base Rate is the highest of (i) the Federal Funds rate plus 0.50%, (ii) the Bank of America prime rate, and (iii) one month LIBOR plus 1.0%. We will be required to make 39 consecutive quarterly principal payments of 1.00% of the initial amount of each loan, with a balloon repayment of the outstanding principal amount of loans due on the maturity date. The 2021 BofA Real Estate Facility matures ten years from the initial funding date. Borrowings under the 2021 BofA Real Estate Facility are guaranteed by us and each of our operating dealership subsidiaries that leased the real estate now financed under the 2021 BofA Real Estate Facility, and are collateralized by first priority liens, subject to certain permitted exceptions, on all of the real property financed thereunder.</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in the 2021 BofA Real Estate Facility are customary for financing transactions of this nature, including, among others, a requirement to comply with a minimum consolidated fixed charge coverage ratio and maximum consolidated total lease adjusted leverage ratio, in each case as set out in the 2021 BofA Real Estate Facility. In addition, certain other covenants could restrict our ability to incur additional debt, pay dividends or acquire or dispose of assets. The 2021 BofA Real Estate Facility also provides for events of default that are customary for financing transactions of this nature, including cross-defaults to other material indebtedness. Upon the occurrence of an event of default, we could be required by the 2021 BofA Real Estate Facility to immediately repay all amounts outstanding thereunder.</w:t>
      </w:r>
    </w:p>
    <w:p>
      <w:pPr>
        <w:pStyle w:val="TextBody"/>
        <w:spacing w:lineRule="auto" w:line="288" w:before="0" w:after="18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$180.7 million in term loans outstanding under the 2021 BofA Real Estate Facility.</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2018 BofA Real Estate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November 13, 2018, we entered into a real estate term loan credit agreement (as amended, restated or supplemented from time to time, the “2018 BofA Real Estate Credit Agreement”) with Bank of America, as lender, providing for term loans in an aggregate amount not to exceed $128.1 million, subject to customary terms and conditions (the “2018 BofA Real Estate Facility”). Our right to make draws under the 2018 BofA Real Estate Facility terminated on November 13, 2019. Term loans under our 2018 BofA Real Estate Facility bear interest, at our option, based on LIBOR plus 1.50% or the Base Rate (as described below) plus 0.50%. The Base Rate is the highest of (i) the Federal Funds rate plus 0.50%, (ii) the Bank of America prime rate, and (iii) one month LIBOR plus 1.0%. We are required to make quarterly principal payments of 1.25% of the initial amount of each loan on a twenty year repayment schedule, with a balloon repayment of the outstanding principal amount of loans due on November 13, 2025. Borrowings under the 2018 BofA Real Estate Facility are guaranteed by each of our operating dealership subsidiaries whose real estate is financed under the 2018 BofA Real Estate Facility, and are collateralized by first priority liens, subject to certain permitted exceptions, on all of the real property financed thereunder.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we had $78.8 million and $84.2 million, respectively, in term loans outstanding under the 2018 BofA Real Estate Facility.</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2018 Wells Fargo Master Loan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November 16, 2018, certain of our subsidiaries entered into a master loan agreement (the “2018 Wells Fargo Master Loan Agreement” and, together with the 2013 BofA Real Estate Credit Agreement, the 2015 Wells Fargo Master Loan Agreement and the 2018 BofA Real Estate Agreement, the “Existing Real Estate Credit Agreements”) with Wells Fargo Bank, National Association, as lender, which provides for term loans to certain of our subsidiaries that are borrowers under the Wells Fargo Master Loan Agreement in an aggregate amount not to exceed $100.0 million (the "Wells Fargo Master Loan Facility"), subject to customary terms and conditions (the “2018 Wells Fargo Master Loan Facility” and, together with the 2013 BofA Real Estate Facility, the 2015 Wells Fargo Master Loan Facility and the 2018 BofA Real Estate Facility, the “Existing Real Estate Facilities”). Our right to make draws under the 2018 Wells Fargo Master Loan Facility terminated on June 30, 2020. Term loans under the 2018 Wells Fargo Master Loan Facility bear interest based on LIBOR plus an applicable margin based on a pricing grid ranging from 1.50% per annum to 1.85% per annum based on our consolidated total lease adjusted leverage ratio. We are required to make quarterly principal payments with respect to the initial amount of each loan in 108 equal monthly principal payments based on a hypothetical 19 year amortization schedule, with a balloon repayment of the outstanding principal amount of loans due on December 1, 2028. Borrowings under the 2018 Wells Fargo Master Loan Facility can be voluntarily prepaid in whole or in part any time without premium or penalty. Borrowings under the 2018 Wells Fargo Master Loan Facility are guaranteed by us pursuant to an unconditional guaranty, and all of the real property financed by any of our operating dealership subsidiaries under the 2018 Wells Fargo Master Loan Facility is collateralized by first priority liens, subject to certain permitted exceptions.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26, 2020, the Company borrowed an additional $69.4 million under the 2018 Wells Fargo Master Loan Facility. As of December 31, 2021 and 2020, we had $81.9 million and $86.9 million, respectively, outstanding borrowings under the 2018 Wells Fargo Master Loan Facility, which excludes amounts classified as Liabilities associated with assets held for sale. </w:t>
      </w:r>
    </w:p>
    <w:p>
      <w:pPr>
        <w:pStyle w:val="TextBody"/>
        <w:spacing w:before="180" w:after="180"/>
        <w:rPr/>
      </w:pPr>
      <w:r>
        <w:rPr/>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2015 Wells Fargo Master Loan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February 3, 2015, certain of our subsidiaries entered into an amended and restated master loan agreement (as amended, restated or supplemented from time to time, the “2015 Wells Fargo Master Loan Agreement”) with Wells Fargo Bank, National Association (“Wells Fargo”), as lender, which provides form term loans to certain of our subsidiaries that are borrowers under the 2015 Wells Fargo Master Loan Agreement in an aggregate amount not to exceed $100.0 million (the “2015 Wells Fargo Master Loan Facility”). Our right to make draws under the 2015 Wells Fargo Master Loan Facility terminated on February 1, 2016. Term loans under the 2015 Wells Fargo Master Loan Facility bear interest based on LIBOR plus 1.85%. We are required to make quarterly principal payments with respect to the initial amount of each loan in 108 equal monthly principal payments based on a hypothetical 19 year amortization schedule, with a balloon repayment of the outstanding principal amount of loans due on February 1, 2025. Borrowings under the 2015 Wells Fargo Master Loan Facility can be voluntarily prepaid in whole or in part any time without premium or penalty. Borrowings under the 2015 Wells Fargo Master Loan Facility are guaranteed by us pursuant to an unconditional guaranty, and all of the real property financed by any of our operating dealership subsidiaries under the 2015 Wells Fargo Master Loan Facility is collateralized by first priority liens, subject to certain permitted exceptions.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we had $53.2 million and $61.7 million, respectively, outstanding under the 2015 Wells Fargo Master Loan Facility, which excludes amounts classified as Liabilities associated with assets held for sale.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2013 BofA Real Estate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September 26, 2013, we entered into a real estate term loan credit agreement (the “2013 BofA Real Estate Credit Agreement”) with Bank of America, N.A. (“Bank of America”), as lender, providing for term loans in an aggregate amount not to exceed $75.0 million, subject to customary terms and conditions (the “2013 BofA Real Estate Facility”). Term loans under our 2013 BofA Real Estate Facility bear interest, at our option, based on LIBOR plus 1.50% or the Base Rate (as described below) plus 0.50%. The Base Rate is the highest of (i) the Federal Funds rate plus 0.50%, (ii) the Bank of America prime rate, and (iii) one month LIBOR plus 1.0%. Our right to make draws under the 2013 BofA Real Estate Facility terminated on December 26, 2013. We are required to make quarterly principal payments of 1.25% of the initial amount of each loan on a twenty year repayment schedule, with a balloon repayment of the outstanding principal amount of loans due on September 26, 2023. Borrowings under the 2013 BofA Real Estate Facility are guaranteed by each of our operating dealership subsidiaries whose real estate is financed under the 2013 BofA Real Estate Facility, and are collateralized by first priority liens, subject to certain permitted exceptions, on all of the real property financed thereunder.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we had $31.1 million and $33.6 million, respectively, in term loans outstanding under the 2013 BofA Real Estate Facility.</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Summary of Mortgages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outstanding mortgage notes payable, the carrying values of the related collateralized real estate, and year of maturity as of December 31, 2021 and 2020:</w:t>
      </w:r>
    </w:p>
    <w:tbl>
      <w:tblPr>
        <w:tblW w:w="10205" w:type="dxa"/>
        <w:jc w:val="left"/>
        <w:tblInd w:w="0" w:type="dxa"/>
        <w:tblCellMar>
          <w:top w:w="28" w:type="dxa"/>
          <w:left w:w="28" w:type="dxa"/>
          <w:bottom w:w="28" w:type="dxa"/>
          <w:right w:w="28" w:type="dxa"/>
        </w:tblCellMar>
      </w:tblPr>
      <w:tblGrid>
        <w:gridCol w:w="413"/>
        <w:gridCol w:w="362"/>
        <w:gridCol w:w="364"/>
        <w:gridCol w:w="109"/>
        <w:gridCol w:w="109"/>
        <w:gridCol w:w="109"/>
        <w:gridCol w:w="233"/>
        <w:gridCol w:w="847"/>
        <w:gridCol w:w="122"/>
        <w:gridCol w:w="109"/>
        <w:gridCol w:w="109"/>
        <w:gridCol w:w="109"/>
        <w:gridCol w:w="278"/>
        <w:gridCol w:w="1012"/>
        <w:gridCol w:w="145"/>
        <w:gridCol w:w="109"/>
        <w:gridCol w:w="109"/>
        <w:gridCol w:w="109"/>
        <w:gridCol w:w="295"/>
        <w:gridCol w:w="295"/>
        <w:gridCol w:w="296"/>
        <w:gridCol w:w="109"/>
        <w:gridCol w:w="109"/>
        <w:gridCol w:w="109"/>
        <w:gridCol w:w="271"/>
        <w:gridCol w:w="791"/>
        <w:gridCol w:w="141"/>
        <w:gridCol w:w="109"/>
        <w:gridCol w:w="109"/>
        <w:gridCol w:w="109"/>
        <w:gridCol w:w="323"/>
        <w:gridCol w:w="945"/>
        <w:gridCol w:w="168"/>
        <w:gridCol w:w="109"/>
        <w:gridCol w:w="109"/>
        <w:gridCol w:w="109"/>
        <w:gridCol w:w="273"/>
        <w:gridCol w:w="273"/>
        <w:gridCol w:w="396"/>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2020</w:t>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Mortgage Agreement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Principal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 of Collateralized Related Real Estate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Principal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 of Collateralized Related Real Estate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Dates</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Captive mortgages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2020-2024</w:t>
            </w:r>
          </w:p>
        </w:tc>
      </w:tr>
      <w:tr>
        <w:trPr/>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mortgage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2020-2022</w:t>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Real Estate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BofA Real Estate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BofA Real Estate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Wells Fargo Master Loan Facility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 BofA Real Estate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Wells Fargo Master Loan Facility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mortgage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15"/>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 Amounts reflected for the 2018 Wells Fargo Master Loan Facility as of December 31, 2020 exclude $5.1 million classified as Liabilities associated with assets held for sale.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(b) Amounts reflected for the 2015 Wells Fargo Master Loan Facility as of December 31, 2020 exclude $3.8 million classified as Liabilities associated with assets held for sale.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discussed above under our "Floor Plan Notes Payable—Non-Trade" footnote, the 2019 Senior Credit Facility includes a $450.0 million Revolving Credit Facility. We may request Bank of America to issue letters of credit on our behalf thereunder up to $50.0 million. Availability under the Revolving Credit Facility is limited by borrowing base calculations and is reduced on a dollar-for-dollar basis by the aggregate face amount of any outstanding letters of credit. As of December 31, 2021, we had $10.8 million in outstanding letters of credit, $169.0 million drawn on our Revolving Credit Facility and $270.2 million of borrowing availability as of December 31, 2021. Proceeds from borrowings from time to time under the revolving credit facility may be used for among other things, acquisitions, working capital and capital expenditures.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Borrowings under the 2019 Senior Credit Facility bear interest, at our option, based on LIBOR or the Base Rate, in each case plus an Applicable Rate. The Base Rate is the highest of (i) the Federal Funds Rate plus 0.50%, (ii) the Bank of America prime rate, and (iii) one month LIBOR plus 1.00%. Applicable Rate means with respect to the Revolving Credit Facility, a range from 1.00% to 2.00% for LIBOR loans and 0.15% to 1.00% for Base Rate loans, in each case based on the Company's consolidated total lease adjusted leverage ratio. Borrowings under the New Vehicle Floorplan Facility bear interest, at our option, based on LIBOR plus 1.10% or the Base Rate plus 0.10%. Borrowings under the Used Vehicle Floorplan Facility bear interest, at our option, based on LIBOR plus 1.40% or the Base Rate plus 0.40%.</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Stock Repurchase and Dividend Restrictions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2019 Senior Credit Facility and the Indentures currently allow for restricted payments without limit so long as our Consolidated Total Leverage Ratio (as defined in the 2019 Senior Credit Facility and the Indentures) is no greater than 3.0 to 1.0 after giving effect to such proposed restricted payments. Restricted payments generally include items such as dividends, share repurchases, unscheduled repayments of subordinated debt, or purchases of certain investments. Subject to our continued compliance with a consolidated fixed charge coverage ratio and a maximum consolidated total lease adjusted leverage ratio, in each case as set out in the Indentures, restricted payments capacity additions (or subtractions if negative) equal to a base level plus the cumulative amount of (i) 50% of our net income (as defined in the 2019 Senior Credit Facility) plus (ii) 100% of any cash proceeds we receive from the sale of equity interests minus (iii) the dollar amount of share purchases made and dividends paid during the defined measurement periods, subject to certain exceptions. In the event that our Consolidated Total Leverage Ratio does (or would) exceed 3.0 to 1.0, the 2019 Senior Credit Facility and the Indentures would then also allow for restricted payments under mutually exclusive parameters, subject to certain exclusions.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2028 Senior Notes and 2030 Senior Notes, our most restrictive indentures, these parameters 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may repurchase its own shares in an aggregate amount not to exceed $20.0 million in any fiscal year.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may otherwise make restricted payments only up the cumulative capacity above. Our restricted payment capacity balance as of December 31, 2021 was $958.6 million.</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Representations and Covenants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covenants in our various debt and lease agreements, including those described below. We were in compliance with all of our covenants throughout 2021. Failure to comply with any of our debt covenants would constitute a default under the relevant debt agreements, which would entitle the lenders under such agreements to terminate our ability to borrow under the relevant agreements and accelerate our obligations to repay outstanding borrowings, if any, unless compliance with the covenants is waived. In many cases, defaults under one of our agreements could trigger cross-default provisions in our other agreements. If we are unable to remain in compliance with our financial or other covenants, we would be required to seek waivers or modifications of our covenants from our lenders, or we would need to raise debt and/or equity financing or sell assets to generate proceeds sufficient to repay such debt. We cannot give any assurance that we would be able to successfully take any of these actions on terms, or at times, that may be necessary or desirable.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representations and covenants contained in the agreement governing the 2019 Senior Credit Facility are customary for financing transactions of this nature including, among others, a requirement to comply with a minimum consolidated fixed charge coverage ratio and maximum consolidated total lease adjusted leverage ratio, in each case as set out in the agreement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governing the 2019 Senior Credit Facility. In addition, certain other covenants could restrict the Company's ability to incur additional debt, pay dividends or acquire or dispose of assets.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agreement governing the 2019 Senior Credit Facility also provides for events of default that are customary for financing transactions of this nature, including cross-defaults to other material indebtedness. In certain instances, an event of default under either the Revolving Credit Facility or the Used Vehicle Floor Plan Facility could be, or result in, an event of default under the New Vehicle Floor Plan Facility, and vice versa. Upon the occurrence of an event of default, the Company could be required to immediately repay all amounts outstanding under the applicable facility.</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2021 BofA Real Estate Facility are customary for financing transactions of this nature, including, among others, a requirement to comply with a minimum consolidated fixed charge coverage ratio and maximum consolidated total lease adjusted leverage ratio, in each case as set out in the 2021 BofA Real Estate Facility. In addition, certain other covenants could restrict our ability to incur additional debt, pay dividends or acquire or dispose of assets. The 2021 BofA Real Estate Facility also provides for events of default that are customary for financing transactions of this nature, including cross-defaults to other material indebtedness. Upon the occurrence of an event of default, we could be required to immediately repay all amounts outstanding thereunder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2021 Real Estate Facility are customary for financing transactions of this nature, including, among others, a requirement to comply with a minimum consolidated fixed charge coverage ratio and maximum consolidated total lease adjusted leverage ratio, in each case as set out in the 2021 Real Estate Facility. In addition, certain other covenants could restrict our ability to incur additional debt, pay dividends or acquire or dispose of assets. The 2021 Real Estate Facility also provides for events of default that are customary for financing transactions of this nature, including cross-defaults to other material indebtedness. Upon the occurrence of an event of default, we could be required to immediately repay all amounts outstanding thereunder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2018 BofA Real Estate Credit Agreement are customary for financing transactions of this nature, including, among others, a requirement to comply with a minimum consolidated fixed charge coverage ratio and maximum consolidated total lease adjusted leverage ratio, in each case as set out in the 2018 BofA Real Estate Credit Agreement. In addition, certain other covenants could restrict our ability to incur additional debt, pay dividends or acquire or dispose of assets. The 2018 BofA Real Estate Credit Agreement also provides for events of default that are customary for financing transactions of this nature, including cross-defaults to other material indebtedness. Upon the occurrence of an event of default, we could be required by the 2018 BofA Real Estate Credit Agreement to immediately repay all amounts outstanding thereunder.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warranties and covenants contained in the 2018 Wells Fargo Master Loan Agreement and the related documents are customary for financing transactions of this nature, including, among others, a requirement to comply with a minimum consolidated fixed charge coverage ratio and maximum consolidated total lease adjusted leverage ratio. In addition, certain other covenants could restrict our ability to incur additional debt, pay dividends or acquire or dispose of assets. The 2018 Wells Fargo Master Loan Agreement also provides for events of default that are customary for financing transactions of this nature, including cross-defaults to other material indebtedness. Upon the occurrence of an event of default, we could be required by the 2018 Wells Fargo Master Loan Facility to immediately repay all amounts outstanding thereunder.</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representations, warranties and covenants contained in the 2015 Wells Fargo Master Loan Agreement and the related documents are customary for financing transactions of this nature, including, among others, a requirement to comply with a minimum consolidated fixed charge coverage ratio and maximum consolidated total lease adjusted leverage ratio. In addition, certain other covenants could restrict our ability to incur additional debt, pay dividends or acquire or dispose of assets. The 2015 Wells Fargo Master Loan Agreement also provides for events of default that are customary for financing transactions of this nature, including cross-defaults to other material indebtedness. Upon the occurrence of an event of default, we could be required by the 2015 Wells Fargo Master Loan Facility to immediately repay all amounts outstanding thereunder.</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representations and covenants contained in the 2013 BofA Real Estate Credit Agreement are customary for financing transactions of this nature, including, among others, a requirement to comply with a minimum consolidated fixed charge coverage ratio and maximum consolidated total lease adjusted leverage ratio, in each case as set out in the 2013 BofA Real Estate Credit Agreement. In addition, certain other covenants could restrict our ability to incur additional debt, pay dividends or acquire or dispose of assets. The 2013 BofA Real Estate Credit Agreement also provides for events of default that are customary for financing transactions of this nature, including cross-defaults to other material indebtedness. Upon the occurrence of an event of default, we could be required by the 2013 BofA Real Estate Credit Agreement to immediately repay all amounts outstanding thereunder.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180"/>
        <w:ind w:left="0" w:right="0" w:hanging="1440"/>
        <w:rPr/>
      </w:pPr>
      <w:r>
        <w:rPr/>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hanging="1440"/>
        <w:rPr>
          <w:rFonts w:ascii="Times New Roman;sans-serif" w:hAnsi="Times New Roman;sans-serif"/>
          <w:b/>
          <w:color w:val="000000"/>
          <w:sz w:val="20"/>
        </w:rPr>
      </w:pPr>
      <w:r>
        <w:rPr>
          <w:rFonts w:ascii="Times New Roman;sans-serif" w:hAnsi="Times New Roman;sans-serif"/>
          <w:b/>
          <w:color w:val="000000"/>
          <w:sz w:val="20"/>
        </w:rPr>
        <w:t>15. FINANCIAL INSTRUMENTS AND FAIR VALUE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we use various valuation approaches, including market and income approaches. Accounting standards establish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market participants would use in pricing the asset or liability, developed based on the best information available in the circumstances. The hierarchy is broken down into three levels based on the reliability of inputs as follows: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Level 1-Valuations based on quoted prices in active markets for identical assets or liabilities that we have the ability to access.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mortgage notes payable, and certain real estate properties on a non-recurring basis.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approximate fair value due to (i) their short-term nature, (ii) recently completed market transactions, or (iii) existence of variable interest rates, which approximate market rates. The fair value of our subordinated long-term debt is based on reported market prices in an inactive market that reflects Level 2 inputs. We estimate the fair value of our mortgage notes payable using a present value technique based on current market interest rates for similar types of financial instruments that reflect Level 2 inputs. </w:t>
      </w:r>
    </w:p>
    <w:p>
      <w:pPr>
        <w:pStyle w:val="TextBody"/>
        <w:spacing w:before="180" w:after="283"/>
        <w:ind w:left="0" w:right="0" w:firstLine="315"/>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pPr>
      <w:r>
        <w:rPr>
          <w:rFonts w:ascii="Times New Roman;sans-serif" w:hAnsi="Times New Roman;sans-serif"/>
          <w:b w:val="false"/>
          <w:color w:val="000000"/>
          <w:sz w:val="20"/>
        </w:rPr>
        <w:t>A summary of the carrying values and fair values of our Notes and our mortgage notes payable is as follows:</w:t>
      </w:r>
      <w:r>
        <w:rPr>
          <w:color w:val="000000"/>
        </w:rPr>
        <w:t> </w:t>
      </w:r>
    </w:p>
    <w:tbl>
      <w:tblPr>
        <w:tblW w:w="5183" w:type="dxa"/>
        <w:jc w:val="left"/>
        <w:tblInd w:w="0" w:type="dxa"/>
        <w:tblCellMar>
          <w:top w:w="28" w:type="dxa"/>
          <w:left w:w="28" w:type="dxa"/>
          <w:bottom w:w="28" w:type="dxa"/>
          <w:right w:w="28" w:type="dxa"/>
        </w:tblCellMar>
      </w:tblPr>
      <w:tblGrid>
        <w:gridCol w:w="957"/>
        <w:gridCol w:w="838"/>
        <w:gridCol w:w="844"/>
        <w:gridCol w:w="211"/>
        <w:gridCol w:w="766"/>
        <w:gridCol w:w="109"/>
        <w:gridCol w:w="109"/>
        <w:gridCol w:w="109"/>
        <w:gridCol w:w="109"/>
        <w:gridCol w:w="211"/>
        <w:gridCol w:w="766"/>
        <w:gridCol w:w="154"/>
      </w:tblGrid>
      <w:tr>
        <w:trPr/>
        <w:tc>
          <w:tcPr>
            <w:tcW w:w="95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Carrying Value:</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Fair Value:</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The balances as of December 31, 2020 exclude amounts classified as Liabilities associated with assets held for sale.</w:t>
      </w:r>
    </w:p>
    <w:p>
      <w:pPr>
        <w:pStyle w:val="TextBody"/>
        <w:spacing w:before="0" w:after="0"/>
        <w:ind w:left="0" w:right="0" w:firstLine="27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five interest rate swap agreements. In May 2021, we entered into a new interest rate swap agreement with a notional principal amount of $184.4 million which will reduce to $110.6 million at maturity. This swap, along with our existing swaps, was designed to provide a hedge against changes in variable rate cash flows regarding fluctuations in the one month LIBOR rate, through each swap's maturity date as noted in the table below. The following table provides information on the attributes of each swap as of December 31, 2021:</w:t>
      </w:r>
    </w:p>
    <w:tbl>
      <w:tblPr>
        <w:tblW w:w="10205" w:type="dxa"/>
        <w:jc w:val="left"/>
        <w:tblInd w:w="0" w:type="dxa"/>
        <w:tblCellMar>
          <w:top w:w="28" w:type="dxa"/>
          <w:left w:w="28" w:type="dxa"/>
          <w:bottom w:w="28" w:type="dxa"/>
          <w:right w:w="28" w:type="dxa"/>
        </w:tblCellMar>
      </w:tblPr>
      <w:tblGrid>
        <w:gridCol w:w="487"/>
        <w:gridCol w:w="401"/>
        <w:gridCol w:w="403"/>
        <w:gridCol w:w="109"/>
        <w:gridCol w:w="109"/>
        <w:gridCol w:w="109"/>
        <w:gridCol w:w="420"/>
        <w:gridCol w:w="1226"/>
        <w:gridCol w:w="216"/>
        <w:gridCol w:w="109"/>
        <w:gridCol w:w="109"/>
        <w:gridCol w:w="109"/>
        <w:gridCol w:w="579"/>
        <w:gridCol w:w="1692"/>
        <w:gridCol w:w="302"/>
        <w:gridCol w:w="109"/>
        <w:gridCol w:w="109"/>
        <w:gridCol w:w="109"/>
        <w:gridCol w:w="412"/>
        <w:gridCol w:w="1204"/>
        <w:gridCol w:w="213"/>
        <w:gridCol w:w="109"/>
        <w:gridCol w:w="109"/>
        <w:gridCol w:w="109"/>
        <w:gridCol w:w="423"/>
        <w:gridCol w:w="377"/>
        <w:gridCol w:w="542"/>
      </w:tblGrid>
      <w:tr>
        <w:trPr/>
        <w:tc>
          <w:tcPr>
            <w:tcW w:w="48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 at Inception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Notional Value as of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 at 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2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2031</w:t>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2028</w:t>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r>
    </w:tbl>
    <w:p>
      <w:pPr>
        <w:pStyle w:val="TextBody"/>
        <w:spacing w:lineRule="auto" w:line="288" w:before="14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fair values. The fair value of our swaps for the years ended December 31, 2021 and 2020, reflect a net liability of $0.9 million and $7.2 million, respectively.</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fair value of our interest rate swap agreements and the impact on the Consolidated Balance Sheets:</w:t>
      </w:r>
    </w:p>
    <w:tbl>
      <w:tblPr>
        <w:tblW w:w="4209" w:type="dxa"/>
        <w:jc w:val="left"/>
        <w:tblInd w:w="0" w:type="dxa"/>
        <w:tblCellMar>
          <w:top w:w="28" w:type="dxa"/>
          <w:left w:w="28" w:type="dxa"/>
          <w:bottom w:w="28" w:type="dxa"/>
          <w:right w:w="28" w:type="dxa"/>
        </w:tblCellMar>
      </w:tblPr>
      <w:tblGrid>
        <w:gridCol w:w="809"/>
        <w:gridCol w:w="712"/>
        <w:gridCol w:w="714"/>
        <w:gridCol w:w="211"/>
        <w:gridCol w:w="481"/>
        <w:gridCol w:w="109"/>
        <w:gridCol w:w="109"/>
        <w:gridCol w:w="109"/>
        <w:gridCol w:w="109"/>
        <w:gridCol w:w="211"/>
        <w:gridCol w:w="481"/>
        <w:gridCol w:w="154"/>
      </w:tblGrid>
      <w:tr>
        <w:trPr/>
        <w:tc>
          <w:tcPr>
            <w:tcW w:w="8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315"/>
        <w:rPr/>
      </w:pPr>
      <w:r>
        <w:rPr>
          <w:rFonts w:ascii="Times New Roman;sans-serif" w:hAnsi="Times New Roman;sans-serif"/>
          <w:b w:val="false"/>
          <w:color w:val="000000"/>
          <w:sz w:val="20"/>
        </w:rPr>
        <w:t>Our interest rate swaps qualify for cash flow hedge accounting treatment. These interest rate swaps are marked to market at each reporting date and</w:t>
      </w:r>
      <w:r>
        <w:rPr>
          <w:color w:val="000000"/>
        </w:rPr>
        <w:t xml:space="preserve"> </w:t>
      </w:r>
      <w:r>
        <w:rPr>
          <w:rFonts w:ascii="Times New Roman;sans-serif" w:hAnsi="Times New Roman;sans-serif"/>
          <w:b w:val="false"/>
          <w:color w:val="000000"/>
          <w:sz w:val="20"/>
        </w:rPr>
        <w:t>any unrealized gains or losses are included in accumulated other comprehensive income and reclassified to interest expense in the same period or periods during which the hedged transactions affect earnings. Information about the effect of our interest rate swap agreements in the accompanying Consolidated Statements of Income and Consolidated Statements of Comprehensive Income, is as follows (in millions):</w:t>
      </w:r>
    </w:p>
    <w:tbl>
      <w:tblPr>
        <w:tblW w:w="10205" w:type="dxa"/>
        <w:jc w:val="left"/>
        <w:tblInd w:w="0" w:type="dxa"/>
        <w:tblCellMar>
          <w:top w:w="28" w:type="dxa"/>
          <w:left w:w="28" w:type="dxa"/>
          <w:bottom w:w="28" w:type="dxa"/>
          <w:right w:w="28" w:type="dxa"/>
        </w:tblCellMar>
      </w:tblPr>
      <w:tblGrid>
        <w:gridCol w:w="524"/>
        <w:gridCol w:w="461"/>
        <w:gridCol w:w="462"/>
        <w:gridCol w:w="109"/>
        <w:gridCol w:w="109"/>
        <w:gridCol w:w="109"/>
        <w:gridCol w:w="616"/>
        <w:gridCol w:w="1495"/>
        <w:gridCol w:w="320"/>
        <w:gridCol w:w="109"/>
        <w:gridCol w:w="109"/>
        <w:gridCol w:w="109"/>
        <w:gridCol w:w="928"/>
        <w:gridCol w:w="928"/>
        <w:gridCol w:w="931"/>
        <w:gridCol w:w="109"/>
        <w:gridCol w:w="109"/>
        <w:gridCol w:w="109"/>
        <w:gridCol w:w="684"/>
        <w:gridCol w:w="1367"/>
        <w:gridCol w:w="508"/>
      </w:tblGrid>
      <w:tr>
        <w:trPr/>
        <w:tc>
          <w:tcPr>
            <w:tcW w:w="52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Recognized in Accumulated Other Comprehensive Loss</w:t>
              <w:br/>
              <w:t>(Effective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Location of Results Reclassified from Accumulated Other Comprehensive Loss</w:t>
            </w:r>
          </w:p>
          <w:p>
            <w:pPr>
              <w:pStyle w:val="TableContents"/>
              <w:spacing w:lineRule="auto" w:line="240" w:before="0" w:after="20"/>
              <w:jc w:val="center"/>
              <w:rPr>
                <w:color w:val="000000"/>
              </w:rPr>
            </w:pPr>
            <w:r>
              <w:rPr>
                <w:color w:val="000000"/>
              </w:rPr>
              <w:t> </w:t>
            </w:r>
            <w:r>
              <w:rPr>
                <w:rFonts w:ascii="Times New Roman;sans-serif" w:hAnsi="Times New Roman;sans-serif"/>
                <w:b/>
                <w:color w:val="000000"/>
                <w:sz w:val="18"/>
              </w:rPr>
              <w:t>to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Reclassified from Accumulated Other Comprehensive Loss</w:t>
              <w:br/>
              <w:t> to Earnings</w:t>
            </w:r>
          </w:p>
        </w:tc>
      </w:tr>
      <w:tr>
        <w:trPr/>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270"/>
        <w:rPr/>
      </w:pPr>
      <w:r>
        <w:rPr/>
      </w:r>
    </w:p>
    <w:p>
      <w:pPr>
        <w:pStyle w:val="TextBody"/>
        <w:spacing w:lineRule="auto" w:line="288" w:before="0" w:after="0"/>
        <w:ind w:left="0" w:right="0" w:firstLine="315"/>
        <w:rPr/>
      </w:pPr>
      <w:r>
        <w:rPr>
          <w:color w:val="000000"/>
        </w:rPr>
        <w:t> </w:t>
      </w:r>
      <w:r>
        <w:rPr>
          <w:rFonts w:ascii="Times New Roman;sans-serif" w:hAnsi="Times New Roman;sans-serif"/>
          <w:b w:val="false"/>
          <w:color w:val="000000"/>
          <w:sz w:val="20"/>
        </w:rPr>
        <w:t xml:space="preserve">On the basis of yield curve conditions as of December 31, 2021 and including assumptions about future changes in fair value, we expect the amount to be reclassified out of Accumulated other comprehensive loss into earnings within the next 12 months will be losses of $3.8 million. </w:t>
      </w:r>
    </w:p>
    <w:p>
      <w:pPr>
        <w:pStyle w:val="TextBody"/>
        <w:spacing w:before="0" w:after="0"/>
        <w:ind w:left="0" w:right="0" w:firstLine="270"/>
        <w:rPr/>
      </w:pPr>
      <w:r>
        <w:rPr/>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investment securities that are measured at fair value on a recurring basis aggregated by the level in the fair value hierarchy within which those measurements fall:</w:t>
      </w:r>
    </w:p>
    <w:tbl>
      <w:tblPr>
        <w:tblW w:w="7950" w:type="dxa"/>
        <w:jc w:val="left"/>
        <w:tblInd w:w="0" w:type="dxa"/>
        <w:tblCellMar>
          <w:top w:w="28" w:type="dxa"/>
          <w:left w:w="28" w:type="dxa"/>
          <w:bottom w:w="28" w:type="dxa"/>
          <w:right w:w="28" w:type="dxa"/>
        </w:tblCellMar>
      </w:tblPr>
      <w:tblGrid>
        <w:gridCol w:w="1303"/>
        <w:gridCol w:w="1146"/>
        <w:gridCol w:w="1151"/>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11"/>
        <w:gridCol w:w="616"/>
        <w:gridCol w:w="154"/>
      </w:tblGrid>
      <w:tr>
        <w:trPr/>
        <w:tc>
          <w:tcPr>
            <w:tcW w:w="130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2021</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5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8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 backed securities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measured at net asset value (a)</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at fair value</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 In accordance with ASC 820-10, certain investments that are measured at fair value using the net asset value (NAV) per share (or its equivalent) as a practical expedient have not been classified in the fair value hierarchy. The NAV is based on the fair value of the underlying assets owned by the fund, minus its liabilities, divided by the number of units outstanding and is determined by the fund investment manager or custodian.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investment securities measured at net asset value as a practical expedient in the amount of $4.4 million are excluded from the fair value leveling disclosure above. We do not have any significant restrictions on our ability to liquidate our </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positions on these investments, nor do we believe it is probable a price less than NAV would be received in the event of a liquidation.</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ind w:left="0" w:right="0" w:hanging="1440"/>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spacing w:lineRule="auto" w:line="288" w:before="100" w:after="283"/>
        <w:ind w:left="0" w:right="0" w:firstLine="315"/>
        <w:rPr/>
      </w:pPr>
      <w:r>
        <w:rPr>
          <w:rFonts w:ascii="Times New Roman;sans-serif" w:hAnsi="Times New Roman;sans-serif"/>
          <w:b w:val="false"/>
          <w:color w:val="000000"/>
          <w:sz w:val="20"/>
        </w:rPr>
        <w:t>The components of income tax expense are as follows:</w:t>
      </w:r>
      <w:r>
        <w:rPr>
          <w:color w:val="000000"/>
        </w:rPr>
        <w:t> </w:t>
      </w:r>
    </w:p>
    <w:tbl>
      <w:tblPr>
        <w:tblW w:w="6207" w:type="dxa"/>
        <w:jc w:val="left"/>
        <w:tblInd w:w="0" w:type="dxa"/>
        <w:tblCellMar>
          <w:top w:w="28" w:type="dxa"/>
          <w:left w:w="28" w:type="dxa"/>
          <w:bottom w:w="28" w:type="dxa"/>
          <w:right w:w="28" w:type="dxa"/>
        </w:tblCellMar>
      </w:tblPr>
      <w:tblGrid>
        <w:gridCol w:w="1051"/>
        <w:gridCol w:w="926"/>
        <w:gridCol w:w="933"/>
        <w:gridCol w:w="211"/>
        <w:gridCol w:w="616"/>
        <w:gridCol w:w="109"/>
        <w:gridCol w:w="109"/>
        <w:gridCol w:w="109"/>
        <w:gridCol w:w="109"/>
        <w:gridCol w:w="211"/>
        <w:gridCol w:w="511"/>
        <w:gridCol w:w="109"/>
        <w:gridCol w:w="109"/>
        <w:gridCol w:w="109"/>
        <w:gridCol w:w="109"/>
        <w:gridCol w:w="211"/>
        <w:gridCol w:w="511"/>
        <w:gridCol w:w="154"/>
      </w:tblGrid>
      <w:tr>
        <w:trPr/>
        <w:tc>
          <w:tcPr>
            <w:tcW w:w="1051"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9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270"/>
        <w:rPr/>
      </w:pPr>
      <w:r>
        <w:rPr/>
      </w:r>
    </w:p>
    <w:p>
      <w:pPr>
        <w:pStyle w:val="TextBody"/>
        <w:spacing w:lineRule="auto" w:line="288" w:before="0" w:after="0"/>
        <w:ind w:left="0" w:right="0" w:firstLine="315"/>
        <w:rPr/>
      </w:pPr>
      <w:r>
        <w:rPr>
          <w:rFonts w:ascii="Times New Roman;sans-serif" w:hAnsi="Times New Roman;sans-serif"/>
          <w:b w:val="false"/>
          <w:color w:val="000000"/>
          <w:sz w:val="20"/>
        </w:rPr>
        <w:t>A reconciliation of the statutory federal rate to the effective tax rate is as follows (dollar amounts shown in millions)</w:t>
      </w:r>
      <w:r>
        <w:rPr>
          <w:rFonts w:ascii="Times New Roman;sans-serif" w:hAnsi="Times New Roman;sans-serif"/>
          <w:b w:val="false"/>
          <w:color w:val="000000"/>
          <w:sz w:val="18"/>
        </w:rPr>
        <w:t>:</w:t>
      </w:r>
    </w:p>
    <w:tbl>
      <w:tblPr>
        <w:tblW w:w="10083" w:type="dxa"/>
        <w:jc w:val="left"/>
        <w:tblInd w:w="0" w:type="dxa"/>
        <w:tblCellMar>
          <w:top w:w="28" w:type="dxa"/>
          <w:left w:w="28" w:type="dxa"/>
          <w:bottom w:w="28" w:type="dxa"/>
          <w:right w:w="28" w:type="dxa"/>
        </w:tblCellMar>
      </w:tblPr>
      <w:tblGrid>
        <w:gridCol w:w="1427"/>
        <w:gridCol w:w="1257"/>
        <w:gridCol w:w="1261"/>
        <w:gridCol w:w="211"/>
        <w:gridCol w:w="616"/>
        <w:gridCol w:w="109"/>
        <w:gridCol w:w="109"/>
        <w:gridCol w:w="109"/>
        <w:gridCol w:w="109"/>
        <w:gridCol w:w="255"/>
        <w:gridCol w:w="256"/>
        <w:gridCol w:w="109"/>
        <w:gridCol w:w="109"/>
        <w:gridCol w:w="109"/>
        <w:gridCol w:w="109"/>
        <w:gridCol w:w="211"/>
        <w:gridCol w:w="511"/>
        <w:gridCol w:w="109"/>
        <w:gridCol w:w="109"/>
        <w:gridCol w:w="109"/>
        <w:gridCol w:w="109"/>
        <w:gridCol w:w="255"/>
        <w:gridCol w:w="256"/>
        <w:gridCol w:w="109"/>
        <w:gridCol w:w="109"/>
        <w:gridCol w:w="109"/>
        <w:gridCol w:w="109"/>
        <w:gridCol w:w="211"/>
        <w:gridCol w:w="511"/>
        <w:gridCol w:w="109"/>
        <w:gridCol w:w="109"/>
        <w:gridCol w:w="109"/>
        <w:gridCol w:w="109"/>
        <w:gridCol w:w="255"/>
        <w:gridCol w:w="256"/>
        <w:gridCol w:w="154"/>
      </w:tblGrid>
      <w:tr>
        <w:trPr/>
        <w:tc>
          <w:tcPr>
            <w:tcW w:w="1427"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3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at the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 of federal benefit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Non-deductible/non-tax items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270"/>
        <w:rPr/>
      </w:pPr>
      <w:r>
        <w:rPr/>
      </w:r>
    </w:p>
    <w:p>
      <w:pPr>
        <w:pStyle w:val="TextBody"/>
        <w:spacing w:before="0" w:after="0"/>
        <w:ind w:left="0" w:right="0" w:firstLine="270"/>
        <w:rPr/>
      </w:pPr>
      <w:r>
        <w:rPr/>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 and liability components consisted of the following: </w:t>
      </w:r>
    </w:p>
    <w:tbl>
      <w:tblPr>
        <w:tblW w:w="5424" w:type="dxa"/>
        <w:jc w:val="left"/>
        <w:tblInd w:w="0" w:type="dxa"/>
        <w:tblCellMar>
          <w:top w:w="28" w:type="dxa"/>
          <w:left w:w="28" w:type="dxa"/>
          <w:bottom w:w="28" w:type="dxa"/>
          <w:right w:w="28" w:type="dxa"/>
        </w:tblCellMar>
      </w:tblPr>
      <w:tblGrid>
        <w:gridCol w:w="1099"/>
        <w:gridCol w:w="964"/>
        <w:gridCol w:w="967"/>
        <w:gridCol w:w="211"/>
        <w:gridCol w:w="691"/>
        <w:gridCol w:w="109"/>
        <w:gridCol w:w="109"/>
        <w:gridCol w:w="109"/>
        <w:gridCol w:w="109"/>
        <w:gridCol w:w="211"/>
        <w:gridCol w:w="691"/>
        <w:gridCol w:w="154"/>
      </w:tblGrid>
      <w:tr>
        <w:trPr/>
        <w:tc>
          <w:tcPr>
            <w:tcW w:w="109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 chargeback liabilities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valuation allowances recorded against the deferred tax assets as of December 31, 2021 or 2020. </w:t>
      </w:r>
    </w:p>
    <w:p>
      <w:pPr>
        <w:pStyle w:val="TextBody"/>
        <w:spacing w:lineRule="auto" w:line="288" w:before="180" w:after="6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and 2020, we had income taxes payable of $47.0 million and $25.0 million, respectively included in Accounts payable and Accrued liabilities. </w:t>
      </w:r>
    </w:p>
    <w:p>
      <w:pPr>
        <w:pStyle w:val="TextBody"/>
        <w:spacing w:lineRule="auto" w:line="288" w:before="180" w:after="12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there was $2.1 million of unrecognized tax benefit. There was no unrecognized tax benefits as of December 31, 2021 or 2019. </w:t>
      </w:r>
    </w:p>
    <w:p>
      <w:pPr>
        <w:pStyle w:val="TextBody"/>
        <w:spacing w:lineRule="auto" w:line="288" w:before="180" w:after="6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statutes of limitation related to our consolidated Federal income tax returns are closed for all tax years up to and including 2017. The expiration of the statutes of limitation related to the various state income tax returns that we and our subsidiaries file varies by state. The 2014 through 2020 tax years generally remain subject to examination by most state tax authorities. We believe that our tax positions comply with applicable tax law and that we have adequately provided for these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17. OTHER LONG-TERM LIABILITIES</w:t>
      </w:r>
    </w:p>
    <w:p>
      <w:pPr>
        <w:pStyle w:val="TextBody"/>
        <w:spacing w:lineRule="auto" w:line="288" w:before="100" w:after="283"/>
        <w:ind w:left="0" w:right="0" w:firstLine="315"/>
        <w:rPr/>
      </w:pPr>
      <w:r>
        <w:rPr>
          <w:rFonts w:ascii="Times New Roman;sans-serif" w:hAnsi="Times New Roman;sans-serif"/>
          <w:b w:val="false"/>
          <w:color w:val="000000"/>
          <w:sz w:val="20"/>
        </w:rPr>
        <w:t>Other long-term liabilities consisted of the following:</w:t>
      </w:r>
      <w:r>
        <w:rPr>
          <w:color w:val="000000"/>
        </w:rPr>
        <w:t> </w:t>
      </w:r>
    </w:p>
    <w:tbl>
      <w:tblPr>
        <w:tblW w:w="5693" w:type="dxa"/>
        <w:jc w:val="left"/>
        <w:tblInd w:w="0" w:type="dxa"/>
        <w:tblCellMar>
          <w:top w:w="28" w:type="dxa"/>
          <w:left w:w="28" w:type="dxa"/>
          <w:bottom w:w="28" w:type="dxa"/>
          <w:right w:w="28" w:type="dxa"/>
        </w:tblCellMar>
      </w:tblPr>
      <w:tblGrid>
        <w:gridCol w:w="1327"/>
        <w:gridCol w:w="1163"/>
        <w:gridCol w:w="1169"/>
        <w:gridCol w:w="211"/>
        <w:gridCol w:w="511"/>
        <w:gridCol w:w="109"/>
        <w:gridCol w:w="109"/>
        <w:gridCol w:w="109"/>
        <w:gridCol w:w="109"/>
        <w:gridCol w:w="211"/>
        <w:gridCol w:w="511"/>
        <w:gridCol w:w="154"/>
      </w:tblGrid>
      <w:tr>
        <w:trPr/>
        <w:tc>
          <w:tcPr>
            <w:tcW w:w="1327"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finance and insurance chargebacks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Unclaimed property</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payroll tax</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and leaseback liability</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18. SUPPLEMENTAL CASH FLOW INFORMATION</w:t>
      </w:r>
    </w:p>
    <w:p>
      <w:pPr>
        <w:pStyle w:val="TextBody"/>
        <w:spacing w:lineRule="auto" w:line="288" w:before="10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2020, and 2019, we made interest payments, including amounts capitalized, totaling $92.2 million, $62.6 million, and $91.2 million, respectively. Included in these interest payments are $8.7 million,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$19.4 million, and $38.6 million, of floor plan interest payments for the years ended December 31, 2021, 2020, and 2019, respectively.</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we made income tax payments, net of refunds received, totaling $114.2 million, $48.6 million, and $48.4 million, respectively.</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we transferred $216.3 million, $163.5 million, and $141.0 million, respectively, of loaner vehicles from Other current assets to Inventory on our Consolidated Balance Sheets.</w:t>
      </w:r>
    </w:p>
    <w:p>
      <w:pPr>
        <w:pStyle w:val="TextBody"/>
        <w:spacing w:lineRule="auto" w:line="288" w:before="180" w:after="283"/>
        <w:ind w:left="0" w:right="0" w:firstLine="315"/>
        <w:rPr/>
      </w:pPr>
      <w:r>
        <w:rPr>
          <w:rFonts w:ascii="Times New Roman;sans-serif" w:hAnsi="Times New Roman;sans-serif"/>
          <w:b w:val="false"/>
          <w:color w:val="000000"/>
          <w:sz w:val="20"/>
        </w:rPr>
        <w:t>The following items are included in Other adjustments, net to reconcile net income to net cash provided by operating activities:</w:t>
      </w:r>
      <w:r>
        <w:rPr>
          <w:color w:val="000000"/>
        </w:rPr>
        <w:t> </w:t>
      </w:r>
    </w:p>
    <w:tbl>
      <w:tblPr>
        <w:tblW w:w="6161" w:type="dxa"/>
        <w:jc w:val="left"/>
        <w:tblInd w:w="0" w:type="dxa"/>
        <w:tblCellMar>
          <w:top w:w="28" w:type="dxa"/>
          <w:left w:w="28" w:type="dxa"/>
          <w:bottom w:w="28" w:type="dxa"/>
          <w:right w:w="28" w:type="dxa"/>
        </w:tblCellMar>
      </w:tblPr>
      <w:tblGrid>
        <w:gridCol w:w="1162"/>
        <w:gridCol w:w="1021"/>
        <w:gridCol w:w="1026"/>
        <w:gridCol w:w="211"/>
        <w:gridCol w:w="481"/>
        <w:gridCol w:w="109"/>
        <w:gridCol w:w="109"/>
        <w:gridCol w:w="109"/>
        <w:gridCol w:w="109"/>
        <w:gridCol w:w="211"/>
        <w:gridCol w:w="406"/>
        <w:gridCol w:w="109"/>
        <w:gridCol w:w="109"/>
        <w:gridCol w:w="109"/>
        <w:gridCol w:w="109"/>
        <w:gridCol w:w="211"/>
        <w:gridCol w:w="406"/>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disposal of fixed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individually immaterial items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19. LEASES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lease real estate and equipment primarily under operating lease agreements. For leases with terms in excess of 12 months, we record a right-of-use ("ROU") asset and lease liability based on the present value of lease payments over the lease term. Escalation clauses, lease payments dependent on existing rates/indexes, renewal options, and purchase options are included within the determination of lease payments when appropriate. We have elected the practical expedient not to separate lease and non-lease components for all leases that qualify, except for information technology assets that are embedded within service agreements (such as software license arrangements). Leases are classified as either finance or operating, with classification impacting the pattern of expense recognition in the income statement.</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When available, the implicit rate is utilized to discount lease payments to present value; however, substantially all of our leases do not provide a readily determinable implicit rate. Therefore, we estimate our incremental borrowing rate to discount the lease payments based on information available at lease commencement.</w:t>
      </w:r>
    </w:p>
    <w:p>
      <w:pPr>
        <w:pStyle w:val="TextBody"/>
        <w:spacing w:before="0" w:after="0"/>
        <w:ind w:left="0" w:right="0" w:firstLine="27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Balance Sheet Presentation</w:t>
      </w:r>
    </w:p>
    <w:tbl>
      <w:tblPr>
        <w:tblW w:w="8087" w:type="dxa"/>
        <w:jc w:val="center"/>
        <w:tblInd w:w="0" w:type="dxa"/>
        <w:tblCellMar>
          <w:top w:w="28" w:type="dxa"/>
          <w:left w:w="28" w:type="dxa"/>
          <w:bottom w:w="28" w:type="dxa"/>
          <w:right w:w="28" w:type="dxa"/>
        </w:tblCellMar>
      </w:tblPr>
      <w:tblGrid>
        <w:gridCol w:w="738"/>
        <w:gridCol w:w="650"/>
        <w:gridCol w:w="666"/>
        <w:gridCol w:w="109"/>
        <w:gridCol w:w="109"/>
        <w:gridCol w:w="109"/>
        <w:gridCol w:w="1044"/>
        <w:gridCol w:w="1044"/>
        <w:gridCol w:w="1047"/>
        <w:gridCol w:w="109"/>
        <w:gridCol w:w="109"/>
        <w:gridCol w:w="109"/>
        <w:gridCol w:w="211"/>
        <w:gridCol w:w="616"/>
        <w:gridCol w:w="109"/>
        <w:gridCol w:w="109"/>
        <w:gridCol w:w="109"/>
        <w:gridCol w:w="109"/>
        <w:gridCol w:w="211"/>
        <w:gridCol w:w="616"/>
        <w:gridCol w:w="154"/>
      </w:tblGrid>
      <w:tr>
        <w:trPr/>
        <w:tc>
          <w:tcPr>
            <w:tcW w:w="73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Operating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Lease Term and Discount Rate </w:t>
      </w:r>
    </w:p>
    <w:tbl>
      <w:tblPr>
        <w:tblW w:w="6692" w:type="dxa"/>
        <w:jc w:val="center"/>
        <w:tblInd w:w="0" w:type="dxa"/>
        <w:tblCellMar>
          <w:top w:w="28" w:type="dxa"/>
          <w:left w:w="28" w:type="dxa"/>
          <w:bottom w:w="28" w:type="dxa"/>
          <w:right w:w="28" w:type="dxa"/>
        </w:tblCellMar>
      </w:tblPr>
      <w:tblGrid>
        <w:gridCol w:w="1586"/>
        <w:gridCol w:w="1395"/>
        <w:gridCol w:w="1399"/>
        <w:gridCol w:w="207"/>
        <w:gridCol w:w="207"/>
        <w:gridCol w:w="516"/>
        <w:gridCol w:w="132"/>
        <w:gridCol w:w="132"/>
        <w:gridCol w:w="132"/>
        <w:gridCol w:w="210"/>
        <w:gridCol w:w="199"/>
        <w:gridCol w:w="577"/>
      </w:tblGrid>
      <w:tr>
        <w:trPr/>
        <w:tc>
          <w:tcPr>
            <w:tcW w:w="1586"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Term - Operating Leases</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years</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years</w:t>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Term - Finance Lease</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years</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years</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Finance Lease</w:t>
            </w:r>
          </w:p>
        </w:tc>
        <w:tc>
          <w:tcPr>
            <w:tcW w:w="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Lease Costs </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certain information related to the lease costs for finance and operating leases during the years ended December 31, 2021 and 2020. </w:t>
      </w:r>
    </w:p>
    <w:tbl>
      <w:tblPr>
        <w:tblW w:w="5157" w:type="dxa"/>
        <w:jc w:val="left"/>
        <w:tblInd w:w="0" w:type="dxa"/>
        <w:tblCellMar>
          <w:top w:w="28" w:type="dxa"/>
          <w:left w:w="28" w:type="dxa"/>
          <w:bottom w:w="28" w:type="dxa"/>
          <w:right w:w="28" w:type="dxa"/>
        </w:tblCellMar>
      </w:tblPr>
      <w:tblGrid>
        <w:gridCol w:w="870"/>
        <w:gridCol w:w="762"/>
        <w:gridCol w:w="768"/>
        <w:gridCol w:w="285"/>
        <w:gridCol w:w="693"/>
        <w:gridCol w:w="147"/>
        <w:gridCol w:w="147"/>
        <w:gridCol w:w="147"/>
        <w:gridCol w:w="147"/>
        <w:gridCol w:w="285"/>
        <w:gridCol w:w="693"/>
        <w:gridCol w:w="213"/>
      </w:tblGrid>
      <w:tr>
        <w:trPr/>
        <w:tc>
          <w:tcPr>
            <w:tcW w:w="87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cost (Interest) </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lease cost </w:t>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Supplemental Cash Flow Information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for leases during the years ended December 31, 2021 and 2020.</w:t>
      </w:r>
    </w:p>
    <w:tbl>
      <w:tblPr>
        <w:tblW w:w="9567" w:type="dxa"/>
        <w:jc w:val="left"/>
        <w:tblInd w:w="0" w:type="dxa"/>
        <w:tblCellMar>
          <w:top w:w="28" w:type="dxa"/>
          <w:left w:w="28" w:type="dxa"/>
          <w:bottom w:w="28" w:type="dxa"/>
          <w:right w:w="28" w:type="dxa"/>
        </w:tblCellMar>
      </w:tblPr>
      <w:tblGrid>
        <w:gridCol w:w="2466"/>
        <w:gridCol w:w="2168"/>
        <w:gridCol w:w="2176"/>
        <w:gridCol w:w="270"/>
        <w:gridCol w:w="673"/>
        <w:gridCol w:w="139"/>
        <w:gridCol w:w="139"/>
        <w:gridCol w:w="139"/>
        <w:gridCol w:w="139"/>
        <w:gridCol w:w="270"/>
        <w:gridCol w:w="788"/>
        <w:gridCol w:w="200"/>
      </w:tblGrid>
      <w:tr>
        <w:trPr/>
        <w:tc>
          <w:tcPr>
            <w:tcW w:w="2466"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w:t>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measurements of lease liabilities</w:t>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w:t>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w:t>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finance lease right-of-use asset resulting from lease reassessment event </w:t>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and 2020, we obtained $69.2 million and $272.3 million, respectively, of right-of-use assets in exchange for new operating lease liabilities, primarily as a result of business combination acquisition transactions.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2021, we reassessed and remeasured an existing real estate lease, which was previously accounted for as a finance lease due to the presence of a purchase price option which we concluded we are no longer reasonably certain to exercise.</w:t>
      </w:r>
    </w:p>
    <w:p>
      <w:pPr>
        <w:pStyle w:val="TextBody"/>
        <w:spacing w:before="180" w:after="180"/>
        <w:ind w:left="0" w:right="0" w:firstLine="315"/>
        <w:rPr/>
      </w:pPr>
      <w:r>
        <w:rPr/>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315"/>
        <w:rPr/>
      </w:pPr>
      <w:r>
        <w:rPr>
          <w:rFonts w:ascii="Times New Roman;sans-serif" w:hAnsi="Times New Roman;sans-serif"/>
          <w:b w:val="false"/>
          <w:color w:val="000000"/>
          <w:sz w:val="20"/>
        </w:rPr>
        <w:t>The table below reconciles the undiscounted cash flows for each of the first five years and total of the remaining years to the finance lease liabilities and operating lease liabilities as of December 31, 2021, including leases related to liabilities associated with assets held for sale</w:t>
      </w:r>
      <w:r>
        <w:rPr>
          <w:rFonts w:ascii="Times New Roman;sans-serif" w:hAnsi="Times New Roman;sans-serif"/>
          <w:b w:val="false"/>
          <w:color w:val="000000"/>
          <w:sz w:val="18"/>
        </w:rPr>
        <w:t>. </w:t>
      </w:r>
    </w:p>
    <w:tbl>
      <w:tblPr>
        <w:tblW w:w="6804" w:type="dxa"/>
        <w:jc w:val="left"/>
        <w:tblInd w:w="0" w:type="dxa"/>
        <w:tblCellMar>
          <w:top w:w="28" w:type="dxa"/>
          <w:left w:w="28" w:type="dxa"/>
          <w:bottom w:w="28" w:type="dxa"/>
          <w:right w:w="28" w:type="dxa"/>
        </w:tblCellMar>
      </w:tblPr>
      <w:tblGrid>
        <w:gridCol w:w="1687"/>
        <w:gridCol w:w="1479"/>
        <w:gridCol w:w="1499"/>
        <w:gridCol w:w="211"/>
        <w:gridCol w:w="511"/>
        <w:gridCol w:w="109"/>
        <w:gridCol w:w="109"/>
        <w:gridCol w:w="109"/>
        <w:gridCol w:w="109"/>
        <w:gridCol w:w="211"/>
        <w:gridCol w:w="616"/>
        <w:gridCol w:w="154"/>
      </w:tblGrid>
      <w:tr>
        <w:trPr/>
        <w:tc>
          <w:tcPr>
            <w:tcW w:w="1687"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r>
          </w:p>
        </w:tc>
      </w:tr>
      <w:tr>
        <w:trPr/>
        <w:tc>
          <w:tcPr>
            <w:tcW w:w="4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Amount of lease payments representing interest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current obligations under leases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lease agreements include financial covenants and incorporate by reference the financial covenants set forth in the 2019 Senior Credit Facility. A breach of any of these covenants could immediately give rise to certain landlord remedies under our various lease agreements, the most severe of which include the following: (i) termination of the applicable lease and/or other leases with the same or an affiliated landlord under a cross-default provision, (ii) eviction from the premises; and (iii) the landlord having a claim for various damages.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180"/>
        <w:ind w:left="0" w:right="0" w:hanging="1440"/>
        <w:rPr>
          <w:rFonts w:ascii="Times New Roman;sans-serif" w:hAnsi="Times New Roman;sans-serif"/>
          <w:b/>
          <w:color w:val="000000"/>
          <w:sz w:val="20"/>
        </w:rPr>
      </w:pPr>
      <w:r>
        <w:rPr>
          <w:rFonts w:ascii="Times New Roman;sans-serif" w:hAnsi="Times New Roman;sans-serif"/>
          <w:b/>
          <w:color w:val="000000"/>
          <w:sz w:val="20"/>
        </w:rPr>
        <w:t>20. SEGMENT INFORMATION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two reportable segments: (1) Dealerships and (2) TCA. Prior to the acquisition of TCA in connection with the LHM Acquisition, we had one reportable segment whereby the geographic dealership groups were aggregated into one reportable segment.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December 17, 2021, we completed the LHM Acquisition by which we acquired 54 new vehicle dealerships, seven used car stores, 11 collision centers, a used vehicle wholesale business, the real property related thereto, and the entities comprising TCA. The dealerships acquired in the LHM Acquisition are located in Utah, Arizona, New Mexico, Colorado, Idaho, California and Washington.</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dealership operations are organized by management into geographic market-based groups within the Dealerships segment. The operations of our F&amp;I product provider is reflected within our TCA segment. Our Chief Operating Decision Maker is our Chief Executive Officer who manages the business, regularly reviews financial information and allocates resources at the geographic market level for our dealerships and at the TCA segment level for our F&amp;I product provider's operations. The geographic dealership group operating segments have been aggregated into one reportable segment as their operations (i) have similar economic characteristics (our markets all have similar long-term average gross margins), (ii) offer similar products and services (all of our markets offer new and used vehicles, parts and service, and finance and insurance products), (iii) have similar customers, (iv) have similar distribution and marketing practices (all of our markets distribute products and services through dealership facilities that market to customers in similar ways), and (v) operate under similar regulatory environments.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Goodwill acquired in the LHM Acquisition of $929.0 million and $710.3 million was allocated to the Dealership and TCA segments, respectively, is consistent with how the Chief Operating Decision Maker reviews financial information and allocates resources. The allocation was based on the net assets acquired in the Dealership and TCA segments. This allocation is preliminary and subject to change once the purchase price allocation is finalized.</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majority of TCA’s revenue arises from sales through our affiliated dealerships. Intercompany profits and losses are eliminated in consolidation.</w:t>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56" w:before="0" w:after="0"/>
        <w:ind w:left="0" w:right="0" w:firstLine="31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Reportable segment financial information for the year ended December 31, 2021, are as follows:</w:t>
      </w:r>
    </w:p>
    <w:p>
      <w:pPr>
        <w:pStyle w:val="TextBody"/>
        <w:spacing w:before="0" w:after="0"/>
        <w:ind w:left="0" w:right="0" w:firstLine="360"/>
        <w:rPr/>
      </w:pPr>
      <w:r>
        <w:rPr/>
      </w:r>
    </w:p>
    <w:tbl>
      <w:tblPr>
        <w:tblW w:w="9107" w:type="dxa"/>
        <w:jc w:val="left"/>
        <w:tblInd w:w="0" w:type="dxa"/>
        <w:tblCellMar>
          <w:top w:w="28" w:type="dxa"/>
          <w:left w:w="28" w:type="dxa"/>
          <w:bottom w:w="28" w:type="dxa"/>
          <w:right w:w="28" w:type="dxa"/>
        </w:tblCellMar>
      </w:tblPr>
      <w:tblGrid>
        <w:gridCol w:w="1322"/>
        <w:gridCol w:w="1165"/>
        <w:gridCol w:w="1172"/>
        <w:gridCol w:w="211"/>
        <w:gridCol w:w="766"/>
        <w:gridCol w:w="109"/>
        <w:gridCol w:w="109"/>
        <w:gridCol w:w="109"/>
        <w:gridCol w:w="109"/>
        <w:gridCol w:w="211"/>
        <w:gridCol w:w="616"/>
        <w:gridCol w:w="109"/>
        <w:gridCol w:w="109"/>
        <w:gridCol w:w="109"/>
        <w:gridCol w:w="109"/>
        <w:gridCol w:w="269"/>
        <w:gridCol w:w="672"/>
        <w:gridCol w:w="140"/>
        <w:gridCol w:w="109"/>
        <w:gridCol w:w="109"/>
        <w:gridCol w:w="109"/>
        <w:gridCol w:w="254"/>
        <w:gridCol w:w="925"/>
        <w:gridCol w:w="185"/>
      </w:tblGrid>
      <w:tr>
        <w:trPr/>
        <w:tc>
          <w:tcPr>
            <w:tcW w:w="1322"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year ended December 31, 2021</w:t>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Company</w:t>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21. COMMITMENTS AND CONTINGENCIES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actions brought by governmental authorities, and other matters. We evaluate pending and threatened claims and establish loss contingency reserves based upon outcomes we currently believe to be probable and reasonably estimable.</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adequately accrued for the potential impact of loss contingencies that are probable and reasonably estimable. Based on our review of the various types of claims currently known to us, there is no indication of material reasonably possible losses in excess of amounts accrued in the aggregate. We 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 </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adjust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val="false"/>
          <w:color w:val="000000"/>
          <w:sz w:val="20"/>
        </w:rPr>
      </w:pPr>
      <w:r>
        <w:rPr>
          <w:rFonts w:ascii="Times New Roman;sans-serif" w:hAnsi="Times New Roman;sans-serif"/>
          <w:b w:val="false"/>
          <w:color w:val="000000"/>
          <w:sz w:val="20"/>
        </w:rPr>
        <w:t>presently prevailing quotas, duties, or tariffs, which may affect our operations, and our ability to purchase imported vehicles and/or parts at reasonable prices.</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had $10.8 million of letters of credit outstanding as of December 31, 2021, which are required by certain of our insurance providers. In addition, as of December 31, 2021, we maintained a $14.5 million surety bond line in the ordinary course of our business. Our letters of credit and surety bond line are considered to be off balance sheet arrangements.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other material commitments include (i) floor plan notes payable, (ii) operating leases, (iii) long-term debt and (iv) interest on long-term debt, as described elsewhere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 xml:space="preserve">22. SHARE-BASED COMPENSATION AND EMPLOYEE BENEFIT PLANS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2012, our Board of Directors, upon the recommendation of our Compensation and Human Resources Committee, approved the 2012 Equity Incentive Plan (the "2012 Plan"). On April 18, 2012, our shareholders approved the 2012 Plan, which replaced our previous equity incentive plan. The 2012 Plan expires on March 13, 2022 and provides for the grant of options, performance share units, restricted share units, and shares of restricted stock to our directors, officers, and employees in the total amount of 1.5 million shares. </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On April 17, 2019, the stockholders of the Company approved the Asbury Automotive Group, Inc. 2019 Equity and Incentive Compensation Plan (the "2019 Plan") and authorized a total of 1,590,000 shares of common stock for issuance under the 2019 Plan ("Plan Shares"). The Plan Shares include 641,363 shares of common stock which remained unissued under the 2012 Plan. No further grants of awards will be made under the 2012 Plan; however outstanding awards under the 2012 Plan will continue in effect in accordance with their terms and conditions. There were approximately 1.5 million shares available for grant in accordance with the 2019 Plan as of December 31, 2021.</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issue shares of our common stock upon the vesting of performance share units or restricted share units. These shares are issued from our authorized and not outstanding common stock. In addition, in connection with the vesting of equity based awards, we repurchase a portion of the shares issued equal to the amount of employee income tax withholding.</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We have recognized $16.2 million ($3.9 million tax benefit), $12.6 million ($3.2 million tax benefit), and $12.5 million ($3.1 million tax benefit) in share-based compensation expense for the years ended December 31, 2021, 2020, and 2019, respectively. As of December 31, 2021, there was $14.4 million of total unrecognized share-based compensation expense related to non-vested share-based awards granted under the 2012 Plan, and the weighted average period over which it is expected to be recognized is 1.65 years. Further, we expect to recognize $1.6 million of this expense in 2022, $7.7 million in 2023, $5.1 million in 2024.</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Performance Share Units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the Compensation and Human Resources Committee of the Board of Directors approved the grant of up to 80,922 performance share units, which represents 150% of the target award. Performance share units provide an opportunity for the employee-recipient to receive a number of shares of our common stock based on our performance during a specified year period following the grant as measured against objective performance goals as determined by the Compensation and Human Resources Committee of our Board of Directors. The actual number of units earned may range from 0% to 150% of the target number of units depending upon achievement of the performance goals. Performance share units vest in three equal annual installments with one-third of the award vesting on each of the (i) later of the first anniversary of the grant date, or the date the Compensation and Human Resources Committee determines the actual award, (ii) second anniversary of the grant date and (iii) third anniversary of the grant date. Upon vesting, each performance share unit equals one share of common stock of the Company. Compensation cost for performance share units is based on the closing price of our common stock on the date of grant and the ultimate performance level achieved, and is recognized on a graded basis over the three-year vesting period. </w:t>
      </w:r>
    </w:p>
    <w:p>
      <w:pPr>
        <w:pStyle w:val="TextBody"/>
        <w:spacing w:before="180" w:after="283"/>
        <w:ind w:left="0" w:right="0" w:firstLine="315"/>
        <w:rPr/>
      </w:pPr>
      <w:r>
        <w:rPr/>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performance share units for 2021:</w:t>
      </w:r>
    </w:p>
    <w:tbl>
      <w:tblPr>
        <w:tblW w:w="6703" w:type="dxa"/>
        <w:jc w:val="left"/>
        <w:tblInd w:w="0" w:type="dxa"/>
        <w:tblCellMar>
          <w:top w:w="28" w:type="dxa"/>
          <w:left w:w="28" w:type="dxa"/>
          <w:bottom w:w="28" w:type="dxa"/>
          <w:right w:w="28" w:type="dxa"/>
        </w:tblCellMar>
      </w:tblPr>
      <w:tblGrid>
        <w:gridCol w:w="1038"/>
        <w:gridCol w:w="910"/>
        <w:gridCol w:w="916"/>
        <w:gridCol w:w="413"/>
        <w:gridCol w:w="413"/>
        <w:gridCol w:w="211"/>
        <w:gridCol w:w="109"/>
        <w:gridCol w:w="109"/>
        <w:gridCol w:w="109"/>
        <w:gridCol w:w="480"/>
        <w:gridCol w:w="1643"/>
        <w:gridCol w:w="352"/>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w:t>
              <w:br/>
              <w:t> Fair Value</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(79,582)</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unearned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(58,097)</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performance share units and total fair value of performance share units vested are summarized in the following table:</w:t>
      </w:r>
    </w:p>
    <w:tbl>
      <w:tblPr>
        <w:tblW w:w="9716" w:type="dxa"/>
        <w:jc w:val="left"/>
        <w:tblInd w:w="0" w:type="dxa"/>
        <w:tblCellMar>
          <w:top w:w="28" w:type="dxa"/>
          <w:left w:w="28" w:type="dxa"/>
          <w:bottom w:w="28" w:type="dxa"/>
          <w:right w:w="28" w:type="dxa"/>
        </w:tblCellMar>
      </w:tblPr>
      <w:tblGrid>
        <w:gridCol w:w="2211"/>
        <w:gridCol w:w="1943"/>
        <w:gridCol w:w="1950"/>
        <w:gridCol w:w="211"/>
        <w:gridCol w:w="721"/>
        <w:gridCol w:w="109"/>
        <w:gridCol w:w="109"/>
        <w:gridCol w:w="109"/>
        <w:gridCol w:w="109"/>
        <w:gridCol w:w="211"/>
        <w:gridCol w:w="616"/>
        <w:gridCol w:w="109"/>
        <w:gridCol w:w="109"/>
        <w:gridCol w:w="109"/>
        <w:gridCol w:w="109"/>
        <w:gridCol w:w="211"/>
        <w:gridCol w:w="616"/>
        <w:gridCol w:w="154"/>
      </w:tblGrid>
      <w:tr>
        <w:trPr/>
        <w:tc>
          <w:tcPr>
            <w:tcW w:w="2211" w:type="dxa"/>
            <w:tcBorders/>
            <w:shd w:fill="auto" w:val="clear"/>
            <w:vAlign w:val="center"/>
          </w:tcPr>
          <w:p>
            <w:pPr>
              <w:pStyle w:val="TableContents"/>
              <w:spacing w:before="0" w:after="283"/>
              <w:rPr>
                <w:sz w:val="4"/>
                <w:szCs w:val="4"/>
              </w:rPr>
            </w:pPr>
            <w:r>
              <w:rPr>
                <w:sz w:val="4"/>
                <w:szCs w:val="4"/>
              </w:rPr>
            </w:r>
          </w:p>
        </w:tc>
        <w:tc>
          <w:tcPr>
            <w:tcW w:w="1943"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of performance share units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performance share units vested (in millions)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Restricted Share Units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Compensation and Human Resources Committee of the Board of Directors approved the grant of 72,732 shares of restricted share units. Restricted share units vest in three equal annual installments commencing on the first anniversary of the grant date. Compensation cost for restricted share units is based on the closing price of our common stock on the date of grant and is recognized on a straight-line basis over the three-year vesting period.</w:t>
      </w:r>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restricted share units for 2021:</w:t>
      </w:r>
    </w:p>
    <w:tbl>
      <w:tblPr>
        <w:tblW w:w="6703" w:type="dxa"/>
        <w:jc w:val="left"/>
        <w:tblInd w:w="0" w:type="dxa"/>
        <w:tblCellMar>
          <w:top w:w="28" w:type="dxa"/>
          <w:left w:w="28" w:type="dxa"/>
          <w:bottom w:w="28" w:type="dxa"/>
          <w:right w:w="28" w:type="dxa"/>
        </w:tblCellMar>
      </w:tblPr>
      <w:tblGrid>
        <w:gridCol w:w="1038"/>
        <w:gridCol w:w="910"/>
        <w:gridCol w:w="916"/>
        <w:gridCol w:w="413"/>
        <w:gridCol w:w="413"/>
        <w:gridCol w:w="211"/>
        <w:gridCol w:w="109"/>
        <w:gridCol w:w="109"/>
        <w:gridCol w:w="109"/>
        <w:gridCol w:w="531"/>
        <w:gridCol w:w="1554"/>
        <w:gridCol w:w="390"/>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w:t>
              <w:br/>
              <w:t> Fair Value</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150.38 </w:t>
            </w:r>
          </w:p>
        </w:tc>
        <w:tc>
          <w:tcPr>
            <w:tcW w:w="3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(38,818)</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3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3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116,747 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125.33 </w:t>
            </w:r>
          </w:p>
        </w:tc>
        <w:tc>
          <w:tcPr>
            <w:tcW w:w="3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restricted share units and total fair value of restricted share units vested are summarized in the following table:</w:t>
      </w:r>
    </w:p>
    <w:tbl>
      <w:tblPr>
        <w:tblW w:w="9252" w:type="dxa"/>
        <w:jc w:val="left"/>
        <w:tblInd w:w="0" w:type="dxa"/>
        <w:tblCellMar>
          <w:top w:w="28" w:type="dxa"/>
          <w:left w:w="28" w:type="dxa"/>
          <w:bottom w:w="28" w:type="dxa"/>
          <w:right w:w="28" w:type="dxa"/>
        </w:tblCellMar>
      </w:tblPr>
      <w:tblGrid>
        <w:gridCol w:w="2119"/>
        <w:gridCol w:w="1862"/>
        <w:gridCol w:w="1869"/>
        <w:gridCol w:w="211"/>
        <w:gridCol w:w="721"/>
        <w:gridCol w:w="109"/>
        <w:gridCol w:w="109"/>
        <w:gridCol w:w="109"/>
        <w:gridCol w:w="109"/>
        <w:gridCol w:w="211"/>
        <w:gridCol w:w="616"/>
        <w:gridCol w:w="109"/>
        <w:gridCol w:w="109"/>
        <w:gridCol w:w="109"/>
        <w:gridCol w:w="109"/>
        <w:gridCol w:w="211"/>
        <w:gridCol w:w="406"/>
        <w:gridCol w:w="154"/>
      </w:tblGrid>
      <w:tr>
        <w:trPr/>
        <w:tc>
          <w:tcPr>
            <w:tcW w:w="2119" w:type="dxa"/>
            <w:tcBorders/>
            <w:shd w:fill="auto" w:val="clear"/>
            <w:vAlign w:val="center"/>
          </w:tcPr>
          <w:p>
            <w:pPr>
              <w:pStyle w:val="TableContents"/>
              <w:spacing w:before="0" w:after="283"/>
              <w:rPr>
                <w:sz w:val="4"/>
                <w:szCs w:val="4"/>
              </w:rPr>
            </w:pPr>
            <w:r>
              <w:rPr>
                <w:sz w:val="4"/>
                <w:szCs w:val="4"/>
              </w:rPr>
            </w:r>
          </w:p>
        </w:tc>
        <w:tc>
          <w:tcPr>
            <w:tcW w:w="1862"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of restricted share units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restricted share units vested (in millions)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spacing w:lineRule="auto" w:line="288" w:before="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Restricted stock awards vest in three equal annual installments commencing on the first anniversary of the grant date. Compensation cost for restricted stock awards is based on the closing price of our common stock on the date of grant and is recognized on a straight-line basis over the three-year vesting period. The Company's most recent grant of restricted stock awards occurred in 2019 and has since been replaced with restricted share units.</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restricted stock awards for 2021:</w:t>
      </w:r>
    </w:p>
    <w:tbl>
      <w:tblPr>
        <w:tblW w:w="6267" w:type="dxa"/>
        <w:jc w:val="left"/>
        <w:tblInd w:w="0" w:type="dxa"/>
        <w:tblCellMar>
          <w:top w:w="28" w:type="dxa"/>
          <w:left w:w="28" w:type="dxa"/>
          <w:bottom w:w="28" w:type="dxa"/>
          <w:right w:w="28" w:type="dxa"/>
        </w:tblCellMar>
      </w:tblPr>
      <w:tblGrid>
        <w:gridCol w:w="1038"/>
        <w:gridCol w:w="910"/>
        <w:gridCol w:w="916"/>
        <w:gridCol w:w="396"/>
        <w:gridCol w:w="399"/>
        <w:gridCol w:w="211"/>
        <w:gridCol w:w="109"/>
        <w:gridCol w:w="109"/>
        <w:gridCol w:w="109"/>
        <w:gridCol w:w="444"/>
        <w:gridCol w:w="1300"/>
        <w:gridCol w:w="326"/>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w:t>
              <w:br/>
              <w: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2021</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(58,028)</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restricted stock awards and total fair value of restricted stock awards vested are summarized in the following table:</w:t>
      </w:r>
    </w:p>
    <w:tbl>
      <w:tblPr>
        <w:tblW w:w="8502" w:type="dxa"/>
        <w:jc w:val="left"/>
        <w:tblInd w:w="0" w:type="dxa"/>
        <w:tblCellMar>
          <w:top w:w="28" w:type="dxa"/>
          <w:left w:w="28" w:type="dxa"/>
          <w:bottom w:w="28" w:type="dxa"/>
          <w:right w:w="28" w:type="dxa"/>
        </w:tblCellMar>
      </w:tblPr>
      <w:tblGrid>
        <w:gridCol w:w="1961"/>
        <w:gridCol w:w="1724"/>
        <w:gridCol w:w="1730"/>
        <w:gridCol w:w="211"/>
        <w:gridCol w:w="406"/>
        <w:gridCol w:w="109"/>
        <w:gridCol w:w="109"/>
        <w:gridCol w:w="109"/>
        <w:gridCol w:w="109"/>
        <w:gridCol w:w="211"/>
        <w:gridCol w:w="406"/>
        <w:gridCol w:w="109"/>
        <w:gridCol w:w="109"/>
        <w:gridCol w:w="109"/>
        <w:gridCol w:w="109"/>
        <w:gridCol w:w="211"/>
        <w:gridCol w:w="616"/>
        <w:gridCol w:w="154"/>
      </w:tblGrid>
      <w:tr>
        <w:trPr/>
        <w:tc>
          <w:tcPr>
            <w:tcW w:w="1961"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of restricted stock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restricted stock awards vested (in millions)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15"/>
        <w:rPr>
          <w:rFonts w:ascii="Times New Roman;sans-serif" w:hAnsi="Times New Roman;sans-serif"/>
          <w:b w:val="false"/>
          <w:i/>
          <w:color w:val="000000"/>
          <w:sz w:val="20"/>
        </w:rPr>
      </w:pPr>
      <w:r>
        <w:rPr>
          <w:rFonts w:ascii="Times New Roman;sans-serif" w:hAnsi="Times New Roman;sans-serif"/>
          <w:b w:val="false"/>
          <w:i/>
          <w:color w:val="000000"/>
          <w:sz w:val="20"/>
        </w:rPr>
        <w:t>Employee Retirement Plan</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The Company sponsors the Asbury Automotive Retirement Savings Plan (the "Retirement Savings Plan"), a 401(k) plan, for eligible employees. Employees electing to participate in the Retirement Savings Plan may contribute up to 75% of their annual eligible compensation. IRS rules limited total participant contributions during 2021 to $19,500, or $26,000 if age 50 or more. For non-highly compensated employees, after one year of employment we match 50% of employees' contributions up to 4% of their eligible compensation. The Company's match was suspended during part of 2020 as a result of the economic uncertainty associated with the COVID-19 pandemic. Employer contributions vest on a graded basis over 4 years after the date of hire. The Company's expense related to employer matching contributions totaled $5.3 million, $2.5 million, and $3.7 million for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as of the end of such period such disclosure controls and procedures were effective to ensure that information required to be disclosed by us in reports we file or submit under the Exchange Act is (i) recorded, processed, summarized, and reported within the time period specified in the rules and forms of the U.S. Securities and Exchange Commission, and (ii) accumulated and communicated to our management, including our principal executive officer and principal financial officer, as appropriate, to allow timely decisions regarding disclosure. Management necessarily applies its judgment in assessing the costs and benefits of such controls and procedures, which, by their nature, can provide only reasonable assurance regarding management's control objectives. Management, including the principal executive officer and the principal financial officer, does not expect that our disclosure controls and procedures can prevent all possible errors or fraud. A control system, no matter how well conceived and operated, can provide only reasonable, not absolute, assurance that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intentional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not be detected.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our company's financial reporting, as such term is defined in Exchange Act Rule 13(a)-15(f). Our internal control system was designed to provide reasonable assurance to our management and our board of directors regarding the preparation and fair presentation of published financial statements. Our internal control over financial reporting also includes those policies and procedures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our assets;</w:t>
      </w:r>
    </w:p>
    <w:p>
      <w:pPr>
        <w:pStyle w:val="TextBody"/>
        <w:spacing w:lineRule="auto" w:line="288" w:before="0" w:after="0"/>
        <w:rPr>
          <w:color w:val="000000"/>
        </w:rPr>
      </w:pPr>
      <w:r>
        <w:rPr>
          <w:color w:val="000000"/>
        </w:rPr>
        <w:t>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spacing w:lineRule="auto" w:line="288" w:before="0" w:after="0"/>
        <w:rPr>
          <w:color w:val="000000"/>
        </w:rPr>
      </w:pPr>
      <w:r>
        <w:rPr>
          <w:color w:val="000000"/>
        </w:rPr>
        <w:t>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Provide reasonable assurance regarding prevention or timely detection of unauthorized acquisitions, use, or disposition of our assets that could have a material effect on the financial statements.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 Our management, including the principal executive officer and the principal financial officer, assessed the effectiveness of our internal control over financial reporting as of December 31, 2021. In making this assessment, we used the criteria set forth by the Committee of Sponsoring Organizations of the Treadway Commission (COSO) in Internal Control—Integrated Framework (2013 framework). Our assessment included a review of the documentation of controls, evaluation of the design effectiveness of controls and testing of the effectiveness of controls. Based on our assessment under the framework in Internal Control—Integrated Framework issued by COSO, our management concluded that our internal control over financial reporting was effective as of December 31, 2021. Our auditors, Ernst &amp; Young LLP, an independent registered public accounting firm, have audited and reported on our consolidated financial statements and on the effectiveness of our internal controls over financial reporting. Their reports are contained herein.</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we acquired substantially all of the assets, including certain real estate, of 94 franchises (65 new dealership locations), seven used vehicle stores, eleven collision centers, a used vehicle wholesale business and an F&amp;I product provider business. As permitted by the Securities and Exchange Commission, the scope of our Section 404 evaluation for the fiscal year </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ended December 31, 2021, does not include an evaluation of the internal control over financial reporting of these acquired operations. The results for these acquisitions are included in our consolidated financial statements from the date of acquisition and represented approximately $3.34 billion of consolidated assets as of December 31, 2021, and approximately $346.0 million of consolidated revenues for the year then ended.</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From the acquisition dates to December 31, 2021, the processes and systems of the acquired operations did not significantly impact the internal control over financial reporting of the Company and our other consolidated subsidiaries.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 13a-15(f) and 15d-15(f) under the Securities Exchange Act of 1934) during the quarter ended December 31, 2021, that have materially affected, or are reasonably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ind w:left="0" w:right="0" w:hanging="144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100" w:after="16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160" w:after="283"/>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 that Prevent Inspection </w:t>
      </w:r>
    </w:p>
    <w:p>
      <w:pPr>
        <w:pStyle w:val="TextBody"/>
        <w:spacing w:before="0" w:after="0"/>
        <w:ind w:left="0" w:right="0" w:firstLine="270"/>
        <w:rPr/>
      </w:pPr>
      <w:r>
        <w:rPr/>
      </w:r>
    </w:p>
    <w:p>
      <w:pPr>
        <w:pStyle w:val="TextBody"/>
        <w:spacing w:lineRule="auto" w:line="288" w:before="100" w:after="283"/>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"Proposal No. 1 Election of Directors," "Governance of the Company," "2021 Director Compensation Table-Code of Business Conduct and Ethics and Corporate Governance Guidelines," and "Executive Officers" sections of our Proxy Statement to be filed within 120 days after the end of our fiscal year, which information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"Compensation Discussion &amp; Analysis," "Compensation and Human Resources Committee Report," "Compensation Committee Interlocks and Insider Participation," "Executive Compensation," "2021 Director Compensation Table," and "Governance of the Company" sections of our Proxy Statement to be filed within 120 days after the end of our fiscal year, which information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"Securities Owned by Management and Certain Beneficial Owners" and "Securities Authorized for Issuance under Equity Compensation Plans" sections of our Proxy Statement to be filed within 120 days after the end of our fiscal year, which information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"Related Person Transactions" and "Governance of the Company" sections of our Proxy Statement to be filed within 120 days after the end of our fiscal year, which information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"Independent Auditors' Fees" section of our Proxy Statement to be filed within 120 days after the end of our fiscal year, which information is incorporated herein by reference.</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before="0" w:after="0"/>
        <w:ind w:left="0" w:right="0" w:hanging="144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a part of this annual report on Form 10-K:</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(1)Financial Statements: See index to Consolidated Financial Statements.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 None required.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(3)Exhibits required to be filed by Item 601 of Regulation S-K:</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below are identified by numbers corresponding to the Exhibit Table of Item 601 of Regulation S-K. </w:t>
      </w:r>
    </w:p>
    <w:tbl>
      <w:tblPr>
        <w:tblW w:w="10205" w:type="dxa"/>
        <w:jc w:val="center"/>
        <w:tblInd w:w="0" w:type="dxa"/>
        <w:tblCellMar>
          <w:top w:w="28" w:type="dxa"/>
          <w:left w:w="28" w:type="dxa"/>
          <w:bottom w:w="28" w:type="dxa"/>
          <w:right w:w="28" w:type="dxa"/>
        </w:tblCellMar>
      </w:tblPr>
      <w:tblGrid>
        <w:gridCol w:w="277"/>
        <w:gridCol w:w="244"/>
        <w:gridCol w:w="245"/>
        <w:gridCol w:w="109"/>
        <w:gridCol w:w="109"/>
        <w:gridCol w:w="109"/>
        <w:gridCol w:w="2799"/>
        <w:gridCol w:w="2609"/>
        <w:gridCol w:w="3704"/>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9" w:type="dxa"/>
            <w:tcBorders/>
            <w:shd w:fill="auto" w:val="clear"/>
            <w:vAlign w:val="center"/>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3704"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Documents</w:t>
            </w:r>
          </w:p>
        </w:tc>
      </w:tr>
      <w:tr>
        <w:trPr/>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r:id="rId4">
              <w:r>
                <w:rPr>
                  <w:rStyle w:val="InternetLink"/>
                  <w:rFonts w:ascii="Times New Roman;sans-serif" w:hAnsi="Times New Roman;sans-serif"/>
                  <w:b w:val="false"/>
                  <w:color w:val="0000FF"/>
                  <w:sz w:val="20"/>
                  <w:u w:val="single"/>
                </w:rPr>
                <w:t>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Purchase Agreement, dated September 28, 2021 by and among Asbury Automotive Group, LLC, through one of its subsidiaries, and certain identified members of the Larry H. Mill Dealership family of entities (incorporated by reference to Exhibit 2.1 to the Company’s Quarterly Report on Form 10-Q for the quarter ended September 30, 2021 filed on October 26, 2021)*</w:t>
            </w:r>
            <w:r>
              <w:rPr>
                <w:rFonts w:ascii="Times New Roman;sans-serif" w:hAnsi="Times New Roman;sans-serif"/>
                <w:b w:val="false"/>
                <w:color w:val="000000"/>
                <w:sz w:val="13"/>
              </w:rPr>
              <w:t>+</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
              <w:r>
                <w:rPr>
                  <w:rStyle w:val="InternetLink"/>
                  <w:rFonts w:ascii="Times New Roman;sans-serif" w:hAnsi="Times New Roman;sans-serif"/>
                  <w:b w:val="false"/>
                  <w:color w:val="0000FF"/>
                  <w:sz w:val="20"/>
                  <w:u w:val="single"/>
                </w:rPr>
                <w:t>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Purchase Agreement, dated September 28, 2021 by and between Asbury Automotive Group, LLC, through one of its subsidiaries, and Miller Family Real Estate L.L.C. (incorporated by reference to Exhibit 2.2 to the Company’s Quarterly Report on Form 10-Q for the quarter ended September 30, 2021 filed on October 26, 2021)*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
              <w:r>
                <w:rPr>
                  <w:rStyle w:val="InternetLink"/>
                  <w:rFonts w:ascii="Times New Roman;sans-serif" w:hAnsi="Times New Roman;sans-serif"/>
                  <w:b w:val="false"/>
                  <w:color w:val="0000FF"/>
                  <w:sz w:val="20"/>
                  <w:u w:val="single"/>
                </w:rPr>
                <w:t>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September 28, 2021 by and between Asbury Automotive Group, LLC, through one of its subsidiaries, and certain identified equity owners of the Total Care Auto, Powered by Landcar insurance business affiliated with the Larry H. Miller Dealership family of entities (incorporated by reference to Exhibit 2.3 to the Company’s Quarterly Report on Form 10-Q for the quarter ended September 30, 2021 filed on October 26, 2021)*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Asbury Automotive Group, Inc. (incorporated by reference to Exhibit 3.1 to the Company's Current Report on Form 8-K filed with the SEC on April 21, 2014)*</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
              <w:r>
                <w:rPr>
                  <w:rStyle w:val="InternetLink"/>
                  <w:rFonts w:ascii="Times New Roman;sans-serif" w:hAnsi="Times New Roman;sans-serif"/>
                  <w:b w:val="false"/>
                  <w:color w:val="0000FF"/>
                  <w:sz w:val="20"/>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2028, dated as of February 19, 2020, among Asbury Automotive Group, Inc., each of the Guarantors named therein and U.S. Bank National Association, as Trustee (incorporated by reference to Exhibit 4.1 to the Company's Current Report on Form 8-K filed with the SEC on February 20,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
              <w:r>
                <w:rPr>
                  <w:rStyle w:val="InternetLink"/>
                  <w:rFonts w:ascii="Times New Roman;sans-serif" w:hAnsi="Times New Roman;sans-serif"/>
                  <w:b w:val="false"/>
                  <w:color w:val="0000FF"/>
                  <w:sz w:val="20"/>
                  <w:u w:val="single"/>
                </w:rPr>
                <w:t>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2028, dated as of September 3, 2021, among Asbury CO HG, LLC, Asbury Noblesville CDJR, LLC, Asbury Greeley SUB, LLC, Asbury CO GEN, LLC, Asbury Risk Services, LLC, Asbury Automotive Group, Inc. and U.S. Bank National Association, as trustee (incorporated by reference to Exhibit 4.1 to the Company’s Quarterly Report on Form 10-Q for the quarter ended September 30, 2021 filed on October 26, 2021)*</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43-secondsupplementalind.htm">
              <w:r>
                <w:rPr>
                  <w:rStyle w:val="InternetLink"/>
                  <w:rFonts w:ascii="Times New Roman;sans-serif" w:hAnsi="Times New Roman;sans-serif"/>
                  <w:b w:val="false"/>
                  <w:color w:val="0000FF"/>
                  <w:sz w:val="20"/>
                  <w:u w:val="single"/>
                </w:rPr>
                <w:t>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Supplemental Indenture relating to the Senior Notes due 2028, dated as of December 23, 2021, among the guaranteeing subsidiaries listed thereto, Asbury Automotive Group, Inc. and U.S. Bank National Association, as trustee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
              <w:r>
                <w:rPr>
                  <w:rStyle w:val="InternetLink"/>
                  <w:rFonts w:ascii="Times New Roman;sans-serif" w:hAnsi="Times New Roman;sans-serif"/>
                  <w:b w:val="false"/>
                  <w:color w:val="0000FF"/>
                  <w:sz w:val="20"/>
                  <w:u w:val="single"/>
                </w:rPr>
                <w:t>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4.50% Senior Note due 2028 (included as Exhibit A in Exhibit 4.1 to the Company's Current Report on Form 8-K filed with the SEC on February 20,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1">
              <w:r>
                <w:rPr>
                  <w:rStyle w:val="InternetLink"/>
                  <w:rFonts w:ascii="Times New Roman;sans-serif" w:hAnsi="Times New Roman;sans-serif"/>
                  <w:b w:val="false"/>
                  <w:color w:val="0000FF"/>
                  <w:sz w:val="20"/>
                  <w:u w:val="single"/>
                </w:rPr>
                <w:t>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2030, dated as of February 19, 2020, among Asbury Automotive Group, Inc., each of the Guarantors named therein and U.S. Bank National Association, as Trustee (incorporated by reference to Exhibit 4.2 to the Company's Current Report on Form 8-K filed with the SEC on February 20,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2">
              <w:r>
                <w:rPr>
                  <w:rStyle w:val="InternetLink"/>
                  <w:rFonts w:ascii="Times New Roman;sans-serif" w:hAnsi="Times New Roman;sans-serif"/>
                  <w:b w:val="false"/>
                  <w:color w:val="0000FF"/>
                  <w:sz w:val="20"/>
                  <w:u w:val="single"/>
                </w:rPr>
                <w:t>4.6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2030, dated as of September 3, 2021, among Asbury CO HG, LLC, Asbury Noblesville CDJR, LLC, Asbury Greeley SUB, LLC, Asbury CO GEN, LLC, Asbury Risk Services, LLC, Asbury Automotive Group, Inc. and U.S. Bank National Association, as trustee (incorporated by reference to Exhibit 4.2 to the Company’s Quarterly Report on Form 10-Q for the quarter ended September 30, 2021 filed on October 26, 2021)*</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47-secondsupplementalind.htm">
              <w:r>
                <w:rPr>
                  <w:rStyle w:val="InternetLink"/>
                  <w:rFonts w:ascii="Times New Roman;sans-serif" w:hAnsi="Times New Roman;sans-serif"/>
                  <w:b w:val="false"/>
                  <w:color w:val="0000FF"/>
                  <w:sz w:val="20"/>
                  <w:u w:val="single"/>
                </w:rPr>
                <w:t>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the Senior Notes due 2030, dated as of December 23, 2021, among the guaranteeing subsidiaries listed thereto, Asbury Automotive Group, Inc. and U.S. Bank National Association, as trustee</w:t>
            </w:r>
          </w:p>
        </w:tc>
      </w:tr>
    </w:tbl>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21"/>
        <w:gridCol w:w="195"/>
        <w:gridCol w:w="201"/>
        <w:gridCol w:w="109"/>
        <w:gridCol w:w="109"/>
        <w:gridCol w:w="109"/>
        <w:gridCol w:w="2904"/>
        <w:gridCol w:w="2622"/>
        <w:gridCol w:w="3735"/>
      </w:tblGrid>
      <w:tr>
        <w:trPr/>
        <w:tc>
          <w:tcPr>
            <w:tcW w:w="22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4"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3735" w:type="dxa"/>
            <w:tcBorders/>
            <w:shd w:fill="auto" w:val="cle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3">
              <w:r>
                <w:rPr>
                  <w:rStyle w:val="InternetLink"/>
                  <w:rFonts w:ascii="Times New Roman;sans-serif" w:hAnsi="Times New Roman;sans-serif"/>
                  <w:b w:val="false"/>
                  <w:color w:val="0000FF"/>
                  <w:sz w:val="20"/>
                  <w:u w:val="single"/>
                </w:rPr>
                <w:t>4.8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4.75% Senior Note due 2030 (included as Exhibit A in Exhibit 4.2 to the Company's Current Report on Form 8-K filed with the SEC on February 20, 2020)*</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4">
              <w:r>
                <w:rPr>
                  <w:rStyle w:val="InternetLink"/>
                  <w:rFonts w:ascii="Times New Roman;sans-serif" w:hAnsi="Times New Roman;sans-serif"/>
                  <w:b w:val="false"/>
                  <w:color w:val="0000FF"/>
                  <w:sz w:val="20"/>
                  <w:u w:val="single"/>
                </w:rPr>
                <w:t>4.9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Certificate of Asbury Automotive Group, Inc. pursuant to the 2028 Notes Indenture, dated September 16, 2020 (incorporated by reference to Exhibit 4.3 of the Company's Current Report on Form 8-K filed on September 16, 2020)*</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5">
              <w:r>
                <w:rPr>
                  <w:rStyle w:val="InternetLink"/>
                  <w:rFonts w:ascii="Times New Roman;sans-serif" w:hAnsi="Times New Roman;sans-serif"/>
                  <w:b w:val="false"/>
                  <w:color w:val="0000FF"/>
                  <w:sz w:val="20"/>
                  <w:u w:val="single"/>
                </w:rPr>
                <w:t>4.10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Certificate of Asbury Automotive Group, Inc. pursuant to the 2030 Notes Indenture, dated September 16, 2020 (incorporated by reference to Exhibit 4.4 of the Company's Current Report on Form 8-K filed on September 16, 2020)*</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6">
              <w:r>
                <w:rPr>
                  <w:rStyle w:val="InternetLink"/>
                  <w:rFonts w:ascii="Times New Roman;sans-serif" w:hAnsi="Times New Roman;sans-serif"/>
                  <w:b w:val="false"/>
                  <w:color w:val="0000FF"/>
                  <w:sz w:val="20"/>
                  <w:u w:val="single"/>
                </w:rPr>
                <w:t>4.11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2029, dated as of November 19, 2021, among Asbury Automotive Group, Inc., each of the guarantors named therein and U.S. Bank National Association, as Trustee (incorporated by reference to Exhibit 4.1 to the Company’s Current Report on Form 8-K filed with the SEC on November 19, 2021)*</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412firstsupplementalinde.htm">
              <w:r>
                <w:rPr>
                  <w:rStyle w:val="InternetLink"/>
                  <w:rFonts w:ascii="Times New Roman;sans-serif" w:hAnsi="Times New Roman;sans-serif"/>
                  <w:b w:val="false"/>
                  <w:color w:val="0000FF"/>
                  <w:sz w:val="20"/>
                  <w:u w:val="single"/>
                </w:rPr>
                <w:t>4.12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2029, dated as of December 23, 2021, among the guaranteeing subsidiaries listed thereto, Asbury Automotive Group, Inc. and U.S. Bank National Association, as trustee</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7">
              <w:r>
                <w:rPr>
                  <w:rStyle w:val="InternetLink"/>
                  <w:rFonts w:ascii="Times New Roman;sans-serif" w:hAnsi="Times New Roman;sans-serif"/>
                  <w:b w:val="false"/>
                  <w:color w:val="0000FF"/>
                  <w:sz w:val="20"/>
                  <w:u w:val="single"/>
                </w:rPr>
                <w:t>4.13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4.625% Senior Note due 2029 (included as Exhibit A in Exhibit 4.1 to the Company’s Current Report on Form 8-K filed with the SEC on November 19, 2021)*</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8">
              <w:r>
                <w:rPr>
                  <w:rStyle w:val="InternetLink"/>
                  <w:rFonts w:ascii="Times New Roman;sans-serif" w:hAnsi="Times New Roman;sans-serif"/>
                  <w:b w:val="false"/>
                  <w:color w:val="0000FF"/>
                  <w:sz w:val="20"/>
                  <w:u w:val="single"/>
                </w:rPr>
                <w:t>4.14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2032, dated as of November 19, 2021, among Asbury Automotive Group, Inc., each of the guarantors named therein and U.S. Bank National Association, as Trustee (incorporated by reference to Exhibit 4.2 to the Company’s Current Report on Form 8-K filed with the SEC on November 19, 2021)*</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415-firstsupplementalind.htm">
              <w:r>
                <w:rPr>
                  <w:rStyle w:val="InternetLink"/>
                  <w:rFonts w:ascii="Times New Roman;sans-serif" w:hAnsi="Times New Roman;sans-serif"/>
                  <w:b w:val="false"/>
                  <w:color w:val="0000FF"/>
                  <w:sz w:val="20"/>
                  <w:u w:val="single"/>
                </w:rPr>
                <w:t>4.15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2032, dated as of December 23, 2021, among the guaranteeing subsidiaries listed thereto, Asbury Automotive Group, Inc. and U.S. Bank National Association, as trustee</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9">
              <w:r>
                <w:rPr>
                  <w:rStyle w:val="InternetLink"/>
                  <w:rFonts w:ascii="Times New Roman;sans-serif" w:hAnsi="Times New Roman;sans-serif"/>
                  <w:b w:val="false"/>
                  <w:color w:val="0000FF"/>
                  <w:sz w:val="20"/>
                  <w:u w:val="single"/>
                </w:rPr>
                <w:t>4.16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5.000% Senior Note due 2029 (included as Exhibit A in Exhibit 4.2 to the Company’s Current Report on Form 8-K filed with the SEC on November 19, 2021)*</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0">
              <w:r>
                <w:rPr>
                  <w:rStyle w:val="InternetLink"/>
                  <w:rFonts w:ascii="Times New Roman;sans-serif" w:hAnsi="Times New Roman;sans-serif"/>
                  <w:b w:val="false"/>
                  <w:color w:val="0000FF"/>
                  <w:sz w:val="20"/>
                  <w:u w:val="single"/>
                </w:rPr>
                <w:t>74.19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Description of Registrant's Securities (incorporated by reference to Exhibit 4.9 of the Company's Annual Report on Form 10-K for the year ended December 31, 2020 filed on March 1, 2021) </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1">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2002 Equity Incentive Plan (incorporated by reference to Exhibit 10.1 to the Company's Current Report on Form 8-K filed with the SEC on February 14, 2012)*</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2">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 Equity Incentive Plan (incorporated by reference to Appendix A to the Company's Definitive Proxy Statement on Schedule 14A filed with the SEC on March 16, 2012)*</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3">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2012 Equity Incentive Plan (incorporated by reference to Exhibit 10.1 to the Company's Current Report on Form 8-K filed with the SEC on January 27, 2017)*</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4">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Key Executive Incentive Compensation Plan (incorporated by reference to Exhibit 10.2 to the Company's Current Report on Form 8-K filed with the SEC on May 4, 2009)*</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5">
              <w:r>
                <w:rPr>
                  <w:rStyle w:val="InternetLink"/>
                  <w:rFonts w:ascii="Times New Roman;sans-serif" w:hAnsi="Times New Roman;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Amended and Restated Key Executive Incentive Compensation Plan (incorporated by reference to Exhibit 10.1 to the Company's Quarterly Report on Form 10-Q for the quarter ended March 31, 2018 filed on April 26, 2018)*</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6">
              <w:r>
                <w:rPr>
                  <w:rStyle w:val="InternetLink"/>
                  <w:rFonts w:ascii="Times New Roman;sans-serif" w:hAnsi="Times New Roman;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Officer/Director Indemnification Agreement (incorporated by reference to Exhibit 10.7 to the Company's Quarterly Report on Form 10-Q for the quarter ended March 31, 2010 filed on April 30, 2010)*</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7">
              <w:r>
                <w:rPr>
                  <w:rStyle w:val="InternetLink"/>
                  <w:rFonts w:ascii="Times New Roman;sans-serif" w:hAnsi="Times New Roman;sans-serif"/>
                  <w:b w:val="false"/>
                  <w:color w:val="0000FF"/>
                  <w:sz w:val="20"/>
                  <w:u w:val="single"/>
                </w:rPr>
                <w:t>10.7**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between Asbury Automotive Group, Inc. and David W. Hult, dated as of October 23, 2014 (incorporated by reference to Exhibit 10.1 to the Company's Current Report on Form 8-K filed with the SEC on October 23, 2014)*</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8">
              <w:r>
                <w:rPr>
                  <w:rStyle w:val="InternetLink"/>
                  <w:rFonts w:ascii="Times New Roman;sans-serif" w:hAnsi="Times New Roman;sans-serif"/>
                  <w:b w:val="false"/>
                  <w:color w:val="0000FF"/>
                  <w:sz w:val="20"/>
                  <w:u w:val="single"/>
                </w:rPr>
                <w:t>10.8**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Employment Agreement between Asbury Automotive Group, Inc. and David W. Hult, dated as of August 21, 2017 (incorporated by reference to Exhibit 10.1 to the Company's Current Report on Form 8-K filed with the SEC on August 22, 2017)*</w:t>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9">
              <w:r>
                <w:rPr>
                  <w:rStyle w:val="InternetLink"/>
                  <w:rFonts w:ascii="Times New Roman;sans-serif" w:hAnsi="Times New Roman;sans-serif"/>
                  <w:b w:val="false"/>
                  <w:color w:val="0000FF"/>
                  <w:sz w:val="20"/>
                  <w:u w:val="single"/>
                </w:rPr>
                <w:t>10.9**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Employment Agreement between Asbury Automotive Group, Inc., dated as of June 5, 2020 (incorporated by reference to Exhibit 10.1 to the Company's Current Report on Form 8-K filed with the SEC on June 5, 2020)*</w:t>
            </w:r>
          </w:p>
        </w:tc>
      </w:tr>
    </w:tbl>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20"/>
        <w:gridCol w:w="193"/>
        <w:gridCol w:w="195"/>
        <w:gridCol w:w="109"/>
        <w:gridCol w:w="109"/>
        <w:gridCol w:w="109"/>
        <w:gridCol w:w="3004"/>
        <w:gridCol w:w="2594"/>
        <w:gridCol w:w="3672"/>
      </w:tblGrid>
      <w:tr>
        <w:trPr/>
        <w:tc>
          <w:tcPr>
            <w:tcW w:w="2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4"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3672" w:type="dxa"/>
            <w:tcBorders/>
            <w:shd w:fill="auto" w:val="clear"/>
            <w:vAlign w:val="center"/>
          </w:tcPr>
          <w:p>
            <w:pPr>
              <w:pStyle w:val="TableContents"/>
              <w:spacing w:before="0" w:after="283"/>
              <w:rPr>
                <w:sz w:val="4"/>
                <w:szCs w:val="4"/>
              </w:rPr>
            </w:pPr>
            <w:r>
              <w:rPr>
                <w:sz w:val="4"/>
                <w:szCs w:val="4"/>
              </w:rPr>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0">
              <w:r>
                <w:rPr>
                  <w:rStyle w:val="InternetLink"/>
                  <w:rFonts w:ascii="Times New Roman;sans-serif" w:hAnsi="Times New Roman;sans-serif"/>
                  <w:b w:val="false"/>
                  <w:color w:val="0000FF"/>
                  <w:sz w:val="20"/>
                  <w:u w:val="single"/>
                </w:rPr>
                <w:t>10.10**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Severance Pay Agreement for Key Employee between Asbury Automotive Group, Inc. and George A. Villasana, dated as of February 21, 2017 (incorporated by reference to Exhibit 10.12 to the Company's Annual Report on Form 10-K for the year ended December 31, 2016 filed on February 23, 2017)*</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1">
              <w:r>
                <w:rPr>
                  <w:rStyle w:val="InternetLink"/>
                  <w:rFonts w:ascii="Times New Roman;sans-serif" w:hAnsi="Times New Roman;sans-serif"/>
                  <w:b w:val="false"/>
                  <w:color w:val="0000FF"/>
                  <w:sz w:val="20"/>
                  <w:u w:val="single"/>
                </w:rPr>
                <w:t>10.11**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Jed M. Milstein, dated as of February 21, 2017 (incorporated by reference to Exhibit 10.13 to the Company's Annual Report on Form 10-K for the year ended December 31, 2016 filed on February 23, 2017)*</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2">
              <w:r>
                <w:rPr>
                  <w:rStyle w:val="InternetLink"/>
                  <w:rFonts w:ascii="Times New Roman;sans-serif" w:hAnsi="Times New Roman;sans-serif"/>
                  <w:b w:val="false"/>
                  <w:color w:val="0000FF"/>
                  <w:sz w:val="20"/>
                  <w:u w:val="single"/>
                </w:rPr>
                <w:t>10.12**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William F. Stax, dated as of February 21, 2017 (incorporated by reference to Exhibit 10.14 to the Company's Annual Report on Form 10-K for the year ended December 31, 2016 filed on February 23, 2017)*</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3">
              <w:r>
                <w:rPr>
                  <w:rStyle w:val="InternetLink"/>
                  <w:rFonts w:ascii="Times New Roman;sans-serif" w:hAnsi="Times New Roman;sans-serif"/>
                  <w:b w:val="false"/>
                  <w:color w:val="0000FF"/>
                  <w:sz w:val="20"/>
                  <w:u w:val="single"/>
                </w:rPr>
                <w:t>10.13**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Patrick J. Guido, dated as of May 11, 2020 (incorporated by reference to Exhibit 10.13 of the Company's Annual Report on Form 10-K for the year ended December 31, 2020 filed on March 1,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4">
              <w:r>
                <w:rPr>
                  <w:rStyle w:val="InternetLink"/>
                  <w:rFonts w:ascii="Times New Roman;sans-serif" w:hAnsi="Times New Roman;sans-serif"/>
                  <w:b w:val="false"/>
                  <w:color w:val="0000FF"/>
                  <w:sz w:val="20"/>
                  <w:u w:val="single"/>
                </w:rPr>
                <w:t>10.14**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Equity and Incentive Plan (incorporated by reference to Appendix A to the Company's Definitive Proxy Statement on Schedule 14A filed with the SEC on March 14,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5">
              <w:r>
                <w:rPr>
                  <w:rStyle w:val="InternetLink"/>
                  <w:rFonts w:ascii="Times New Roman;sans-serif" w:hAnsi="Times New Roman;sans-serif"/>
                  <w:b w:val="false"/>
                  <w:color w:val="0000FF"/>
                  <w:sz w:val="20"/>
                  <w:u w:val="single"/>
                </w:rPr>
                <w:t>10.15**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Equity Award Agreement under the 2019 Equity and Incentive Plan (incorporated by reference to Exhibit 10.15 of the Company's Annual Report on Form 10-K for the year ended December 31, 2020 filed on March 1,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6">
              <w:r>
                <w:rPr>
                  <w:rStyle w:val="InternetLink"/>
                  <w:rFonts w:ascii="Times New Roman;sans-serif" w:hAnsi="Times New Roman;sans-serif"/>
                  <w:b w:val="false"/>
                  <w:color w:val="0000FF"/>
                  <w:sz w:val="20"/>
                  <w:u w:val="single"/>
                </w:rPr>
                <w:t>10.16**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Deferred Compensation Plan (Incorporated by reference to Exhibit 10.1 to the Company's Current Report on Form 8-K filed with the SEC on October 23, 2017)*</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7">
              <w:r>
                <w:rPr>
                  <w:rStyle w:val="InternetLink"/>
                  <w:rFonts w:ascii="Times New Roman;sans-serif" w:hAnsi="Times New Roman;sans-serif"/>
                  <w:b w:val="false"/>
                  <w:color w:val="0000FF"/>
                  <w:sz w:val="20"/>
                  <w:u w:val="single"/>
                </w:rPr>
                <w:t>10.17**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between Asbury Automotive Group, Inc. and Michael Welch, dated as of June 14, 2021 (incorporated by reference to Exhibit 10.1 of the Company's Current Report on Form 8-K filed on July 6,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8">
              <w:r>
                <w:rPr>
                  <w:rStyle w:val="InternetLink"/>
                  <w:rFonts w:ascii="Times New Roman;sans-serif" w:hAnsi="Times New Roman;sans-serif"/>
                  <w:b w:val="false"/>
                  <w:color w:val="0000FF"/>
                  <w:sz w:val="20"/>
                  <w:u w:val="single"/>
                </w:rPr>
                <w:t>10.18**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General Release between Asbury Automotive Group, Inc. and Patrick J. Guido, dated June 25, 2021 (incorporated by reference to Exhibit 10.3 to the Company’s Quarterly Report on Form 10-Q for the quarter ended June 30, 2021 filed on July 28,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9">
              <w:r>
                <w:rPr>
                  <w:rStyle w:val="InternetLink"/>
                  <w:rFonts w:ascii="Times New Roman;sans-serif" w:hAnsi="Times New Roman;sans-serif"/>
                  <w:b w:val="false"/>
                  <w:color w:val="0000FF"/>
                  <w:sz w:val="20"/>
                  <w:u w:val="single"/>
                </w:rPr>
                <w:t>10.19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September 26, 2013, among Asbury Automotive Group, Inc., certain of subsidiaries of Asbury Automotive Group, Inc. and Bank of America, N.A. (incorporated by reference to Exhibit 10.1 to the Company's Current Report on Form 8</w:t>
              <w:noBreakHyphen/>
              <w:t>K filed with the SEC on September 30, 2013)*</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0">
              <w:r>
                <w:rPr>
                  <w:rStyle w:val="InternetLink"/>
                  <w:rFonts w:ascii="Times New Roman;sans-serif" w:hAnsi="Times New Roman;sans-serif"/>
                  <w:b w:val="false"/>
                  <w:color w:val="0000FF"/>
                  <w:sz w:val="20"/>
                  <w:u w:val="single"/>
                </w:rPr>
                <w:t>10.20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Credit Agreement, dated as of September 25, 2019,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10.1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1">
              <w:r>
                <w:rPr>
                  <w:rStyle w:val="InternetLink"/>
                  <w:rFonts w:ascii="Times New Roman;sans-serif" w:hAnsi="Times New Roman;sans-serif"/>
                  <w:b w:val="false"/>
                  <w:color w:val="0000FF"/>
                  <w:sz w:val="20"/>
                  <w:u w:val="single"/>
                </w:rPr>
                <w:t>10.21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Company Guaranty Agreement, dated as of September 25, 2019, between Asbury Automotive Group, Inc. and Bank of America, N.A., as Administrative Agent (incorporated by reference to Exhibit 10.2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2">
              <w:r>
                <w:rPr>
                  <w:rStyle w:val="InternetLink"/>
                  <w:rFonts w:ascii="Times New Roman;sans-serif" w:hAnsi="Times New Roman;sans-serif"/>
                  <w:b w:val="false"/>
                  <w:color w:val="0000FF"/>
                  <w:sz w:val="20"/>
                  <w:u w:val="single"/>
                </w:rPr>
                <w:t>10.22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Subsidiary Guaranty Agreement, dated as of September 25, 2019, among certain subsidiaries of Asbury Automotive Group, Inc. and Bank of America, N.A., as Administrative Agent (incorporated by reference to Exhibit 10.3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3">
              <w:r>
                <w:rPr>
                  <w:rStyle w:val="InternetLink"/>
                  <w:rFonts w:ascii="Times New Roman;sans-serif" w:hAnsi="Times New Roman;sans-serif"/>
                  <w:b w:val="false"/>
                  <w:color w:val="0000FF"/>
                  <w:sz w:val="20"/>
                  <w:u w:val="single"/>
                </w:rPr>
                <w:t>10.23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Security Agreement, dated as of September 25, 2019, among Asbury Automotive Group, Inc., certain of its subsidiaries and Bank of America, N.A., as Administrative Agent (incorporated by reference to Exhibit 10.4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4">
              <w:r>
                <w:rPr>
                  <w:rStyle w:val="InternetLink"/>
                  <w:rFonts w:ascii="Times New Roman;sans-serif" w:hAnsi="Times New Roman;sans-serif"/>
                  <w:b w:val="false"/>
                  <w:color w:val="0000FF"/>
                  <w:sz w:val="20"/>
                  <w:u w:val="single"/>
                </w:rPr>
                <w:t>10.24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Escrow and Security Agreement, dated as of September 25, 2019, among Asbury Automotive Group, Inc., certain of its subsidiaries and Bank of America, N.A., as Administrative Agent (incorporated by reference to Exhibit 10.5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5">
              <w:r>
                <w:rPr>
                  <w:rStyle w:val="InternetLink"/>
                  <w:rFonts w:ascii="Times New Roman;sans-serif" w:hAnsi="Times New Roman;sans-serif"/>
                  <w:b w:val="false"/>
                  <w:color w:val="0000FF"/>
                  <w:sz w:val="20"/>
                  <w:u w:val="single"/>
                </w:rPr>
                <w:t>10.25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Securities Pledge Agreement, dated as of September 25, 2019, among Asbury Automotive Group, Inc., certain of its subsidiaries and Bank of America, N.A., as Administrative Agent (incorporated by reference to Exhibit 10.6 to the Company's Current Report on Form 8-K filed with the SEC on September 26, 2019)*</w:t>
            </w:r>
          </w:p>
        </w:tc>
      </w:tr>
    </w:tbl>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12"/>
        <w:gridCol w:w="186"/>
        <w:gridCol w:w="188"/>
        <w:gridCol w:w="109"/>
        <w:gridCol w:w="109"/>
        <w:gridCol w:w="109"/>
        <w:gridCol w:w="2720"/>
        <w:gridCol w:w="2720"/>
        <w:gridCol w:w="3852"/>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0" w:type="dxa"/>
            <w:tcBorders/>
            <w:shd w:fill="auto" w:val="clear"/>
            <w:vAlign w:val="center"/>
          </w:tcPr>
          <w:p>
            <w:pPr>
              <w:pStyle w:val="TableContents"/>
              <w:spacing w:before="0" w:after="283"/>
              <w:rPr>
                <w:sz w:val="4"/>
                <w:szCs w:val="4"/>
              </w:rPr>
            </w:pPr>
            <w:r>
              <w:rPr>
                <w:sz w:val="4"/>
                <w:szCs w:val="4"/>
              </w:rPr>
            </w:r>
          </w:p>
        </w:tc>
        <w:tc>
          <w:tcPr>
            <w:tcW w:w="2720" w:type="dxa"/>
            <w:tcBorders/>
            <w:shd w:fill="auto" w:val="clear"/>
            <w:vAlign w:val="center"/>
          </w:tcPr>
          <w:p>
            <w:pPr>
              <w:pStyle w:val="TableContents"/>
              <w:spacing w:before="0" w:after="283"/>
              <w:rPr>
                <w:sz w:val="4"/>
                <w:szCs w:val="4"/>
              </w:rPr>
            </w:pPr>
            <w:r>
              <w:rPr>
                <w:sz w:val="4"/>
                <w:szCs w:val="4"/>
              </w:rPr>
            </w:r>
          </w:p>
        </w:tc>
        <w:tc>
          <w:tcPr>
            <w:tcW w:w="3852"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6">
              <w:r>
                <w:rPr>
                  <w:rStyle w:val="InternetLink"/>
                  <w:rFonts w:ascii="Times New Roman;sans-serif" w:hAnsi="Times New Roman;sans-serif"/>
                  <w:b w:val="false"/>
                  <w:color w:val="0000FF"/>
                  <w:sz w:val="20"/>
                  <w:u w:val="single"/>
                </w:rPr>
                <w:t>10.26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Third Amended and Restated Credit Agreement, dated January 31, 2020,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10.1 to the Company's Current Report on Form 8-K filed with the SEC on February 3, 2020)*</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7">
              <w:r>
                <w:rPr>
                  <w:rStyle w:val="InternetLink"/>
                  <w:rFonts w:ascii="Times New Roman;sans-serif" w:hAnsi="Times New Roman;sans-serif"/>
                  <w:b w:val="false"/>
                  <w:color w:val="0000FF"/>
                  <w:sz w:val="20"/>
                  <w:u w:val="single"/>
                </w:rPr>
                <w:t>10.27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the Third Amended and Restated Credit Agreement, dated August 10, 2020, among Asbury Automotive Group, Inc., as a borrower, certain of its subsidiaries, as vehicle borrowers, the other guarantors party thereto, the other lenders party thereto and Bank of America, N.A., as administrative agent, revolving swing line lender, new vehicle floorplan swing line lender, used vehicle floorplan swing line lender and an l/c issuer (incorporated by reference to Exhibit 10.1 to the Company's Quarterly Report on Form 10-Q for the quarter ended September 30, 2020 filed on November 3, 2020)*</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1028bofa_asburyxannexato.htm">
              <w:r>
                <w:rPr>
                  <w:rStyle w:val="InternetLink"/>
                  <w:rFonts w:ascii="Times New Roman;sans-serif" w:hAnsi="Times New Roman;sans-serif"/>
                  <w:b w:val="false"/>
                  <w:color w:val="0000FF"/>
                  <w:sz w:val="20"/>
                  <w:u w:val="single"/>
                </w:rPr>
                <w:t>10.28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the Third Amended and Restated Credit Agreement, dated October 29, 2021,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8">
              <w:r>
                <w:rPr>
                  <w:rStyle w:val="InternetLink"/>
                  <w:rFonts w:ascii="Times New Roman;sans-serif" w:hAnsi="Times New Roman;sans-serif"/>
                  <w:b w:val="false"/>
                  <w:color w:val="0000FF"/>
                  <w:sz w:val="20"/>
                  <w:u w:val="single"/>
                </w:rPr>
                <w:t>10.29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Master Loan Agreement, dated as of February 3, 2015, by and among certain subsidiaries of Asbury Automotive Group, Inc. and Wells Fargo Bank, National Association (incorporated by reference to Exhibit 10.1 to the Company's Current Report on Form 8-K filed with the SEC on February 4, 2015)*</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9">
              <w:r>
                <w:rPr>
                  <w:rStyle w:val="InternetLink"/>
                  <w:rFonts w:ascii="Times New Roman;sans-serif" w:hAnsi="Times New Roman;sans-serif"/>
                  <w:b w:val="false"/>
                  <w:color w:val="0000FF"/>
                  <w:sz w:val="20"/>
                  <w:u w:val="single"/>
                </w:rPr>
                <w:t>10.30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Unconditional Guaranty, dated as of February 3, 2015, by and between Asbury Automotive Group, Inc. and Wells Fargo Bank, National Association (incorporated by reference to Exhibit 10.2 to the Company's Current Report on Form 8-K filed with the SEC on February 4, 2015)*</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0">
              <w:r>
                <w:rPr>
                  <w:rStyle w:val="InternetLink"/>
                  <w:rFonts w:ascii="Times New Roman;sans-serif" w:hAnsi="Times New Roman;sans-serif"/>
                  <w:b w:val="false"/>
                  <w:color w:val="0000FF"/>
                  <w:sz w:val="20"/>
                  <w:u w:val="single"/>
                </w:rPr>
                <w:t>10.31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November 13, 2018, among Asbury Automotive Group, Inc., certain subsidiaries of Asbury Automotive Group, Inc. and Bank of America, N.A. (incorporated by reference to Exhibit 10.33 to the Company's Annual Report on Form 10-K for the year ended December 31, 2018 filed on February 28,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1">
              <w:r>
                <w:rPr>
                  <w:rStyle w:val="InternetLink"/>
                  <w:rFonts w:ascii="Times New Roman;sans-serif" w:hAnsi="Times New Roman;sans-serif"/>
                  <w:b w:val="false"/>
                  <w:color w:val="0000FF"/>
                  <w:sz w:val="20"/>
                  <w:u w:val="single"/>
                </w:rPr>
                <w:t>10.32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Loan Agreement, dated as of November 16, 2018, by and among certain subsidiaries of Asbury Automotive Group, Inc. and Wells Fargo Bank, National Association (incorporated by reference to Exhibit 10.34 to the Company's Annual Report on Form 10-K for the year ended December 31, 2018 filed on February 28,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2">
              <w:r>
                <w:rPr>
                  <w:rStyle w:val="InternetLink"/>
                  <w:rFonts w:ascii="Times New Roman;sans-serif" w:hAnsi="Times New Roman;sans-serif"/>
                  <w:b w:val="false"/>
                  <w:color w:val="0000FF"/>
                  <w:sz w:val="20"/>
                  <w:u w:val="single"/>
                </w:rPr>
                <w:t>10.33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Unconditional Guaranty, dated as of November 16, 2018, between Asbury Automotive Group, Inc. and Wells Fargo Bank, National Association (incorporated by reference to Exhibit 10.35 to the Company's Annual Report on Form 10-K for the year ended December 31, 2018 filed on February 28,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3">
              <w:r>
                <w:rPr>
                  <w:rStyle w:val="InternetLink"/>
                  <w:rFonts w:ascii="Times New Roman;sans-serif" w:hAnsi="Times New Roman;sans-serif"/>
                  <w:b w:val="false"/>
                  <w:color w:val="0000FF"/>
                  <w:sz w:val="20"/>
                  <w:u w:val="single"/>
                </w:rPr>
                <w:t>10.34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Master Loan Agreement, dated as of December 31, 2019, by and among certain subsidiaries of Asbury Automotive Group, Inc. and Wells Fargo Bank, National Association (incorporated by reference to Exhibit 10.41 to the Company's Annual Report on Form 10-K for the year ended December 31, 2019 filed on March 2, 2020)*</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4">
              <w:r>
                <w:rPr>
                  <w:rStyle w:val="InternetLink"/>
                  <w:rFonts w:ascii="Times New Roman;sans-serif" w:hAnsi="Times New Roman;sans-serif"/>
                  <w:b w:val="false"/>
                  <w:color w:val="0000FF"/>
                  <w:sz w:val="20"/>
                  <w:u w:val="single"/>
                </w:rPr>
                <w:t>10.35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February 7, 2020, by and among certain subsidiaries of Asbury Automotive Group, Inc. and Bank of America, N.A. (incorporated by reference to Exhibit 10.1 to the Company's Current Report on Form 8-K filed with the SEC on February 13, 2020)*</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5">
              <w:r>
                <w:rPr>
                  <w:rStyle w:val="InternetLink"/>
                  <w:rFonts w:ascii="Times New Roman;sans-serif" w:hAnsi="Times New Roman;sans-serif"/>
                  <w:b w:val="false"/>
                  <w:color w:val="0000FF"/>
                  <w:sz w:val="20"/>
                  <w:u w:val="single"/>
                </w:rPr>
                <w:t>10.36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Commitment Letter, dated as of December, 30, 2019, by and among Asbury Automotive Group, Inc., Bank of America, N.A., BofA Securities, Inc., JPMorgan Chase Bank, N.A., Wells Fargo Securities, LLC, Wells Fargo Bank, National Association, Santander Bank, N.A., SunTrust Robinson Humphrey, Inc., Trust Bank and U.S. Bank National Association (incorporated by reference to Exhibit 10.42 to the Company's Annual Report on Form 10-K for the year ended December 31,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6">
              <w:r>
                <w:rPr>
                  <w:rStyle w:val="InternetLink"/>
                  <w:rFonts w:ascii="Times New Roman;sans-serif" w:hAnsi="Times New Roman;sans-serif"/>
                  <w:b w:val="false"/>
                  <w:color w:val="0000FF"/>
                  <w:sz w:val="20"/>
                  <w:u w:val="single"/>
                </w:rPr>
                <w:t>10.37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May 10, 2021, by and among Asbury Automotive Group, Inc., certain subsidiaries party thereto, the various financial institutions party thereto as lenders, and Bank of America, N.A., as administrative agent (incorporated by reference to Exhibit 10.1 of the Company's Current Report on Form 8-K filed on May 20, 2021)*</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21listofsubsidiaries2021.htm">
              <w:r>
                <w:rPr>
                  <w:rStyle w:val="InternetLink"/>
                  <w:rFonts w:ascii="Times New Roman;sans-serif" w:hAnsi="Times New Roman;sans-serif"/>
                  <w:b w:val="false"/>
                  <w:color w:val="0000FF"/>
                  <w:sz w:val="20"/>
                  <w:u w:val="single"/>
                </w:rPr>
                <w:t>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w:t>
            </w:r>
          </w:p>
        </w:tc>
      </w:tr>
    </w:tbl>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65"/>
        <w:gridCol w:w="222"/>
        <w:gridCol w:w="224"/>
        <w:gridCol w:w="109"/>
        <w:gridCol w:w="109"/>
        <w:gridCol w:w="109"/>
        <w:gridCol w:w="2848"/>
        <w:gridCol w:w="2619"/>
        <w:gridCol w:w="3700"/>
      </w:tblGrid>
      <w:tr>
        <w:trPr/>
        <w:tc>
          <w:tcPr>
            <w:tcW w:w="26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8"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3700" w:type="dxa"/>
            <w:tcBorders/>
            <w:shd w:fill="auto" w:val="clear"/>
            <w:vAlign w:val="center"/>
          </w:tcPr>
          <w:p>
            <w:pPr>
              <w:pStyle w:val="TableContents"/>
              <w:spacing w:before="0" w:after="283"/>
              <w:rPr>
                <w:sz w:val="4"/>
                <w:szCs w:val="4"/>
              </w:rPr>
            </w:pPr>
            <w:r>
              <w:rPr>
                <w:sz w:val="4"/>
                <w:szCs w:val="4"/>
              </w:rPr>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231consentofeyllp2021.htm">
              <w:r>
                <w:rPr>
                  <w:rStyle w:val="InternetLink"/>
                  <w:rFonts w:ascii="Times New Roman;sans-serif" w:hAnsi="Times New Roman;sans-serif"/>
                  <w:b w:val="false"/>
                  <w:color w:val="0000FF"/>
                  <w:sz w:val="20"/>
                  <w:u w:val="single"/>
                </w:rPr>
                <w:t>23.1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311section302ceocertific.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Rule 13a-14(a)/15d-14(a)of the Securities Exchange Act of 1934, as adopted pursuant to Section 302 of the Sarbanes-Oxley Act of 2002</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312section302cfocertific.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Rule 13a-14(a)/15d-14(a)of the Securities Exchange Act of 1934, as adopted pursuant to Section 302 of the Sarbanes-Oxley Act of 2002</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321section906ceocertific.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18 U.S.C. Section 1350, as adopted pursuant to Section 906 of the Sarbanes-Oxley Act of 2002</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322section906cfocertific.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18 U.S.C. Section 1350, as adopted pursuant to Section 906 of the Sarbanes-Oxley Act of 2002</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Asbury Automotive Group, Inc.'s Annual Report on Form 10-K for the fiscal year ended December 31, 2020 has been formatted in Inline XBRL.</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ind w:left="0" w:right="0" w:hanging="1440"/>
        <w:rPr/>
      </w:pPr>
      <w:r>
        <w:rPr/>
      </w:r>
    </w:p>
    <w:p>
      <w:pPr>
        <w:pStyle w:val="TextBody"/>
        <w:spacing w:lineRule="auto" w:line="288" w:before="0" w:after="0"/>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6655" w:type="dxa"/>
        <w:jc w:val="left"/>
        <w:tblInd w:w="0" w:type="dxa"/>
        <w:tblCellMar>
          <w:top w:w="28" w:type="dxa"/>
          <w:left w:w="28" w:type="dxa"/>
          <w:bottom w:w="28" w:type="dxa"/>
          <w:right w:w="28" w:type="dxa"/>
        </w:tblCellMar>
      </w:tblPr>
      <w:tblGrid>
        <w:gridCol w:w="200"/>
        <w:gridCol w:w="177"/>
        <w:gridCol w:w="178"/>
        <w:gridCol w:w="429"/>
        <w:gridCol w:w="429"/>
        <w:gridCol w:w="431"/>
        <w:gridCol w:w="297"/>
        <w:gridCol w:w="297"/>
        <w:gridCol w:w="297"/>
        <w:gridCol w:w="297"/>
        <w:gridCol w:w="297"/>
        <w:gridCol w:w="297"/>
        <w:gridCol w:w="882"/>
        <w:gridCol w:w="882"/>
        <w:gridCol w:w="126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Asbury Automotive Group,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David W. Hult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Chief Executive Officer and President</w:t>
            </w:r>
          </w:p>
        </w:tc>
      </w:tr>
    </w:tbl>
    <w:p>
      <w:pPr>
        <w:pStyle w:val="TextBody"/>
        <w:spacing w:lineRule="auto" w:line="288" w:before="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8362" w:type="dxa"/>
        <w:jc w:val="left"/>
        <w:tblInd w:w="0" w:type="dxa"/>
        <w:tblCellMar>
          <w:top w:w="28" w:type="dxa"/>
          <w:left w:w="28" w:type="dxa"/>
          <w:bottom w:w="28" w:type="dxa"/>
          <w:right w:w="28" w:type="dxa"/>
        </w:tblCellMar>
      </w:tblPr>
      <w:tblGrid>
        <w:gridCol w:w="874"/>
        <w:gridCol w:w="767"/>
        <w:gridCol w:w="773"/>
        <w:gridCol w:w="109"/>
        <w:gridCol w:w="109"/>
        <w:gridCol w:w="109"/>
        <w:gridCol w:w="1359"/>
        <w:gridCol w:w="1359"/>
        <w:gridCol w:w="1377"/>
        <w:gridCol w:w="109"/>
        <w:gridCol w:w="109"/>
        <w:gridCol w:w="109"/>
        <w:gridCol w:w="348"/>
        <w:gridCol w:w="348"/>
        <w:gridCol w:w="503"/>
      </w:tblGrid>
      <w:tr>
        <w:trPr/>
        <w:tc>
          <w:tcPr>
            <w:tcW w:w="87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(David W. Hult)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(Michael D. Welch)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F. Stax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Controller and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(William F. Stax)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J. Reddin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(Thomas J. Reddin)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Non-Executive Chairman of the Board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Joel Alsfine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(Joel Alsfine)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C. DeLoach,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(Thomas C. DeLoach,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D. Fay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(William D. Fay)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Juanita T. James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(Juanita T. James)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Philip F. Maritz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(Philip F. Maritz)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Maureen F. Morrison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(Maureen F. Morrison)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Bridget M. Ryan-Berman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(Bridget M. Ryan-Berman)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Hilliard C. Terry,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(Hilliard C. Terry,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INDEX TO EXHIBITS </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77"/>
        <w:gridCol w:w="244"/>
        <w:gridCol w:w="245"/>
        <w:gridCol w:w="109"/>
        <w:gridCol w:w="109"/>
        <w:gridCol w:w="109"/>
        <w:gridCol w:w="2799"/>
        <w:gridCol w:w="2609"/>
        <w:gridCol w:w="3704"/>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9" w:type="dxa"/>
            <w:tcBorders/>
            <w:shd w:fill="auto" w:val="clear"/>
            <w:vAlign w:val="center"/>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3704"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Documents</w:t>
            </w:r>
          </w:p>
        </w:tc>
      </w:tr>
      <w:tr>
        <w:trPr/>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Purchase Agreement, dated September 28, 2021 by and among Asbury Automotive Group, LLC, through one of its subsidiaries, and certain identified members of the Larry H. Mill Dealership family of entities (incorporated by reference to Exhibit 2.1 to the Company’s Quarterly Report on Form 10-Q for the quarter ended September 30, 2021 filed on October 26, 2021)*</w:t>
            </w:r>
            <w:r>
              <w:rPr>
                <w:rFonts w:ascii="Times New Roman;sans-serif" w:hAnsi="Times New Roman;sans-serif"/>
                <w:b w:val="false"/>
                <w:color w:val="000000"/>
                <w:sz w:val="13"/>
              </w:rPr>
              <w:t>+</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Purchase Agreement, dated September 28, 2021 by and between Asbury Automotive Group, LLC, through one of its subsidiaries, and Miller Family Real Estate L.L.C. (incorporated by reference to Exhibit 2.2 to the Company’s Quarterly Report on Form 10-Q for the quarter ended September 30, 2021 filed on October 26, 2021)*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September 28, 2021 by and between Asbury Automotive Group, LLC, through one of its subsidiaries, and certain identified equity owners of the Total Care Auto, Powered by Landcar insurance business affiliated with the Larry H. Miller Dealership family of entities (incorporated by reference to Exhibit 2.3 to the Company’s Quarterly Report on Form 10-Q for the quarter ended September 30, 2021 filed on October 26, 2021)*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Asbury Automotive Group, Inc. (incorporated by reference to Exhibit 3.1 to the Company's Current Report on Form 8-K filed with the SEC on April 21, 2014)*</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2028, dated as of February 19, 2020, among Asbury Automotive Group, Inc., each of the Guarantors named therein and U.S. Bank National Association, as Trustee (incorporated by reference to Exhibit 4.1 to the Company's Current Report on Form 8-K filed with the SEC on February 20,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2028, dated as of September 3, 2021, among Asbury CO HG, LLC, Asbury Noblesville CDJR, LLC, Asbury Greeley SUB, LLC, Asbury CO GEN, LLC, Asbury Risk Services, LLC, Asbury Automotive Group, Inc. and U.S. Bank National Association, as trustee (incorporated by reference to Exhibit 4.1 to the Company’s Quarterly Report on Form 10-Q for the quarter ended September 30, 2021 filed on October 26, 2021)*</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the Senior Notes due 2028, dated as of December 23, 2021, among the guaranteeing subsidiaries listed thereto, Asbury Automotive Group, Inc. and U.S. Bank National Association, as trustee</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4.50% Senior Note due 2028 (included as Exhibit A in Exhibit 4.1 to the Company's Current Report on Form 8-K filed with the SEC on February 20,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2030, dated as of February 19, 2020, among Asbury Automotive Group, Inc., each of the Guarantors named therein and U.S. Bank National Association, as Trustee (incorporated by reference to Exhibit 4.2 to the Company's Current Report on Form 8-K filed with the SEC on February 20,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2030, dated as of September 3, 2021, among Asbury CO HG, LLC, Asbury Noblesville CDJR, LLC, Asbury Greeley SUB, LLC, Asbury CO GEN, LLC, Asbury Risk Services, LLC, Asbury Automotive Group, Inc. and U.S. Bank National Association, as trustee (incorporated by reference to Exhibit 4.2 to the Company’s Quarterly Report on Form 10-Q for the quarter ended September 30, 2021 filed on October 26, 2021)*</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the Senior Notes due 2030, dated as of December 23, 2021, among the guaranteeing subsidiaries listed thereto, Asbury Automotive Group, Inc. and U.S. Bank National Association, as trustee</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4.75% Senior Note due 2030 (included as Exhibit A in Exhibit 4.2 to the Company's Current Report on Form 8-K filed with the SEC on February 20,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Certificate of Asbury Automotive Group, Inc. pursuant to the 2028 Notes Indenture, dated September 16, 2020 (incorporated by reference to Exhibit 4.3 of the Company's Current Report on Form 8-K filed on September 16, 2020)*</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Certificate of Asbury Automotive Group, Inc. pursuant to the 2030 Notes Indenture, dated September 16, 2020 (incorporated by reference to Exhibit 4.4 of the Company's Current Report on Form 8-K filed on September 16, 2020)*</w:t>
            </w:r>
          </w:p>
        </w:tc>
      </w:tr>
    </w:tbl>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33"/>
        <w:gridCol w:w="206"/>
        <w:gridCol w:w="209"/>
        <w:gridCol w:w="109"/>
        <w:gridCol w:w="109"/>
        <w:gridCol w:w="109"/>
        <w:gridCol w:w="2807"/>
        <w:gridCol w:w="2660"/>
        <w:gridCol w:w="3763"/>
      </w:tblGrid>
      <w:tr>
        <w:trPr/>
        <w:tc>
          <w:tcPr>
            <w:tcW w:w="23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7"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c>
          <w:tcPr>
            <w:tcW w:w="3763" w:type="dxa"/>
            <w:tcBorders/>
            <w:shd w:fill="auto" w:val="clear"/>
            <w:vAlign w:val="center"/>
          </w:tcPr>
          <w:p>
            <w:pPr>
              <w:pStyle w:val="TableContents"/>
              <w:spacing w:before="0" w:after="283"/>
              <w:rPr>
                <w:sz w:val="4"/>
                <w:szCs w:val="4"/>
              </w:rPr>
            </w:pPr>
            <w:r>
              <w:rPr>
                <w:sz w:val="4"/>
                <w:szCs w:val="4"/>
              </w:rPr>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2029, dated as of November 19, 2021, among Asbury Automotive Group, Inc., each of the guarantors named therein and U.S. Bank National Association, as Trustee (incorporated by reference to Exhibit 4.1 to the Company’s Current Report on Form 8-K filed with the SEC on November 19, 2021)*</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2029, dated as of December 23, 2021, among the guaranteeing subsidiaries listed thereto, Asbury Automotive Group, Inc. and U.S. Bank National Association, as trustee</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4.625% Senior Note due 2029 (included as Exhibit A in Exhibit 4.1 to the Company’s Current Report on Form 8-K filed with the SEC on November 19, 2021)*</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2032, dated as of November 19, 2021, among Asbury Automotive Group, Inc., each of the guarantors named therein and U.S. Bank National Association, as Trustee (incorporated by reference to Exhibit 4.2 to the Company’s Current Report on Form 8-K filed with the SEC on November 19, 2021)*</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2032, dated as of December 23, 2021, among the guaranteeing subsidiaries listed thereto, Asbury Automotive Group, Inc. and U.S. Bank National Association, as trustee</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5.000% Senior Note due 2029 (included as Exhibit A in Exhibit 4.2 to the Company’s Current Report on Form 8-K filed with the SEC on November 19, 2021)*</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Registrant's Securities (incorporated by reference to Exhibit 4.9 of the Company's Annual Report on Form 10-K for the year ended December 31, 2020 filed on March 1, 2021)</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2002 Equity Incentive Plan (incorporated by reference to Exhibit 10.1 to the Company's Current Report on Form 8-K filed with the SEC on February 14, 2012)*</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 Equity Incentive Plan (incorporated by reference to Appendix A to the Company's Definitive Proxy Statement on Schedule 14A filed with the SEC on March 16, 2012)*</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2012 Equity Incentive Plan (incorporated by reference to Exhibit 10.1 to the Company's Current Report on Form 8-K filed with the SEC on January 27, 2017)*</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Key Executive Incentive Compensation Plan (incorporated by reference to Exhibit 10.2 to the Company's Current Report on Form 8-K filed with the SEC on May 4, 2009)*</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Amended and Restated Key Executive Incentive Compensation Plan (incorporated by reference to Exhibit 10.1 to the Company's Quarterly Report on Form 10-Q for the quarter ended March 31, 2018 filed on April 26, 2018)*</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Officer/Director Indemnification Agreement (incorporated by reference to Exhibit 10.7 to the Company's Quarterly Report on Form 10-Q for the quarter ended March 31, 2010 filed on April 30, 2010)*</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between Asbury Automotive Group, Inc. and David W. Hult, dated as of October 23, 2014 (incorporated by reference to Exhibit 10.1 to the Company's Current Report on Form 8-K filed with the SEC on October 23, 2014)*</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Employment Agreement between Asbury Automotive Group, Inc. and David W. Hult, dated as of August 21, 2017 (incorporated by reference to Exhibit 10.1 to the Company's Current Report on Form 8-K filed with the SEC on August 22, 2017)*</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Employment Agreement between Asbury Automotive Group, Inc., dated as of June 5, 2020 (incorporated by reference to Exhibit 10.1 to the Company's Current Report on Form 8-K filed with the SEC on June 5, 2020)*</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Severance Pay Agreement for Key Employee between Asbury Automotive Group, Inc. and George A. Villasana, dated as of February 21, 2017 (incorporated by reference to Exhibit 10.12 to the Company's Annual Report on Form 10-K for the year ended December 31, 2016 filed on February 23, 2017)*</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Jed M. Milstein, dated as of February 21, 2017 (incorporated by reference to Exhibit 10.13 to the Company's Annual Report on Form 10-K for the year ended December 31, 2016 filed on February 23, 2017)*</w:t>
            </w:r>
          </w:p>
        </w:tc>
      </w:tr>
      <w:tr>
        <w:trPr/>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William F. Stax, dated as of February 21, 2017 (incorporated by reference to Exhibit 10.14 to the Company's Annual Report on Form 10-K for the year ended December 31, 2016 filed on February 23, 2017)*</w:t>
            </w:r>
          </w:p>
        </w:tc>
      </w:tr>
    </w:tbl>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20"/>
        <w:gridCol w:w="193"/>
        <w:gridCol w:w="195"/>
        <w:gridCol w:w="109"/>
        <w:gridCol w:w="109"/>
        <w:gridCol w:w="109"/>
        <w:gridCol w:w="3005"/>
        <w:gridCol w:w="2594"/>
        <w:gridCol w:w="3671"/>
      </w:tblGrid>
      <w:tr>
        <w:trPr/>
        <w:tc>
          <w:tcPr>
            <w:tcW w:w="2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5"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Patrick J. Guido, dated as of May 11, 2020 (incorporated by reference to Exhibit 10.13 of the Company's Annual Report on Form 10-K for the year ended December 31, 2020 filed on March 1,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Equity and Incentive Plan (incorporated by reference to Appendix A to the Company's Definitive Proxy Statement on Schedule 14A filed with the SEC on March 14,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Equity Award Agreement under the 2019 Equity and Incentive Plan (incorporated by reference to Exhibit 10.15 of the Company's Annual Report on Form 10-K for the year ended December 31, 2020 filed on March 1,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Deferred Compensation Plan (Incorporated by reference to Exhibit 10.1 to the Company's Current Report on Form 8-K filed with the SEC on October 23, 2017)*</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between Asbury Automotive Group, Inc. and Michael Welch, dated as of June 14, 2021 (incorporated by reference to Exhibit 10.1 of the Company's Current Report on Form 8-K filed on July 6,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General Release between Asbury Automotive Group, Inc. and Patrick J. Guido, dated June 25, 2021 (incorporated by reference to Exhibit 10.3 to the Company’s Quarterly Report on Form 10-Q for the quarter ended June 30, 2021 filed on July 28, 2021)*</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September 26, 2013, among Asbury Automotive Group, Inc., certain of subsidiaries of Asbury Automotive Group, Inc. and Bank of America, N.A. (incorporated by reference to Exhibit 10.1 to the Company's Current Report on Form 8</w:t>
              <w:noBreakHyphen/>
              <w:t>K filed with the SEC on September 30, 2013)*</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Credit Agreement, dated as of September 25, 2019,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10.1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Company Guaranty Agreement, dated as of September 25, 2019, between Asbury Automotive Group, Inc. and Bank of America, N.A., as Administrative Agent (incorporated by reference to Exhibit 10.2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Subsidiary Guaranty Agreement, dated as of September 25, 2019, among certain subsidiaries of Asbury Automotive Group, Inc. and Bank of America, N.A., as Administrative Agent (incorporated by reference to Exhibit 10.3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Security Agreement, dated as of September 25, 2019, among Asbury Automotive Group, Inc., certain of its subsidiaries and Bank of America, N.A., as Administrative Agent (incorporated by reference to Exhibit 10.4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Escrow and Security Agreement, dated as of September 25, 2019, among Asbury Automotive Group, Inc., certain of its subsidiaries and Bank of America, N.A., as Administrative Agent (incorporated by reference to Exhibit 10.5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Securities Pledge Agreement, dated as of September 25, 2019, among Asbury Automotive Group, Inc., certain of its subsidiaries and Bank of America, N.A., as Administrative Agent (incorporated by reference to Exhibit 10.6 to the Company's Current Report on Form 8-K filed with the SEC on September 26, 2019)*</w:t>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Third Amended and Restated Credit Agreement, dated January 31, 2020,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10.1 to the Company's Current Report on Form 8-K filed with the SEC on February 3, 2020)*</w:t>
            </w:r>
          </w:p>
        </w:tc>
      </w:tr>
    </w:tbl>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12"/>
        <w:gridCol w:w="186"/>
        <w:gridCol w:w="188"/>
        <w:gridCol w:w="109"/>
        <w:gridCol w:w="109"/>
        <w:gridCol w:w="109"/>
        <w:gridCol w:w="2912"/>
        <w:gridCol w:w="2643"/>
        <w:gridCol w:w="3737"/>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643" w:type="dxa"/>
            <w:tcBorders/>
            <w:shd w:fill="auto" w:val="clear"/>
            <w:vAlign w:val="center"/>
          </w:tcPr>
          <w:p>
            <w:pPr>
              <w:pStyle w:val="TableContents"/>
              <w:spacing w:before="0" w:after="283"/>
              <w:rPr>
                <w:sz w:val="4"/>
                <w:szCs w:val="4"/>
              </w:rPr>
            </w:pPr>
            <w:r>
              <w:rPr>
                <w:sz w:val="4"/>
                <w:szCs w:val="4"/>
              </w:rPr>
            </w:r>
          </w:p>
        </w:tc>
        <w:tc>
          <w:tcPr>
            <w:tcW w:w="3737"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the Third Amended and Restated Credit Agreement, dated August 10, 2020, among Asbury Automotive Group, Inc., as a borrower, certain of its subsidiaries, as vehicle borrowers, the other guarantors party thereto, the other lenders party thereto and Bank of America, N.A., as administrative agent, revolving swing line lender, new vehicle floorplan swing line lender, used vehicle floorplan swing line lender and an l/c issuer (incorporated by reference to Exhibit 10.1 to the Company's Quarterly Report on Form 10-Q for the quarter ended September 30, 2020 filed on November 3, 2020)*</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the Third Amended and Restated Credit Agreement, dated October 29, 2021,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Master Loan Agreement, dated as of February 3, 2015, by and among certain subsidiaries of Asbury Automotive Group, Inc. and Wells Fargo Bank, National Association (incorporated by reference to Exhibit 10.1 to the Company's Current Report on Form 8-K filed with the SEC on February 4, 2015)*</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Unconditional Guaranty, dated as of February 3, 2015, by and between Asbury Automotive Group, Inc. and Wells Fargo Bank, National Association (incorporated by reference to Exhibit 10.2 to the Company's Current Report on Form 8-K filed with the SEC on February 4, 2015)*</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November 13, 2018, among Asbury Automotive Group, Inc., certain subsidiaries of Asbury Automotive Group, Inc. and Bank of America, N.A. (incorporated by reference to Exhibit 10.33 to the Company's Annual Report on Form 10-K for the year ended December 31, 2018 filed on February 28,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Loan Agreement, dated as of November 16, 2018, by and among certain subsidiaries of Asbury Automotive Group, Inc. and Wells Fargo Bank, National Association (incorporated by reference to Exhibit 10.34 to the Company's Annual Report on Form 10-K for the year ended December 31, 2018 filed on February 28,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Unconditional Guaranty, dated as of November 16, 2018, between Asbury Automotive Group, Inc. and Wells Fargo Bank, National Association (incorporated by reference to Exhibit 10.35 to the Company's Annual Report on Form 10-K for the year ended December 31, 2018 filed on February 28,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Master Loan Agreement, dated as of December 31, 2019, by and among certain subsidiaries of Asbury Automotive Group, Inc. and Wells Fargo Bank, National Association (incorporated by reference to Exhibit 10.41 to the Company's Annual Report on Form 10-K for the year ended December 31, 2019 filed on March 2, 2020)*</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February 7, 2020, by and among certain subsidiaries of Asbury Automotive Group, Inc. and Bank of America, N.A. (incorporated by reference to Exhibit 10.1 to the Company's Current Report on Form 8-K filed with the SEC on February 13, 2020)*</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Commitment Letter, dated as of December, 30, 2019, by and among Asbury Automotive Group, Inc., Bank of America, N.A., BofA Securities, Inc., JPMorgan Chase Bank, N.A., Wells Fargo Securities, LLC, Wells Fargo Bank, National Association, Santander Bank, N.A., SunTrust Robinson Humphrey, Inc., Trust Bank and U.S. Bank National Association (incorporated by reference to Exhibit 10.42 to the Company's Annual Report on Form 10-K for the year ended December 31, 2019)*</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May 10, 2021, by and among Asbury Automotive Group, Inc., certain subsidiaries party thereto, the various financial institutions party thereto as lenders, and Bank of America, N.A., as administrative agent (incorporated by reference to Exhibit 10.1 of the Company's Current Report on Form 8-K filed on May 20, 2021)*</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Rule 13a-14(a)/15d-14(a)of the Securities Exchange Act of 1934, as adopted pursuant to Section 302 of the Sarbanes-Oxley Act of 2002</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Rule 13a-14(a)/15d-14(a)of the Securities Exchange Act of 1934, as adopted pursuant to Section 302 of the Sarbanes-Oxley Act of 2002</w:t>
            </w:r>
          </w:p>
        </w:tc>
      </w:tr>
    </w:tbl>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0"/>
        <w:rPr/>
      </w:pPr>
      <w:hyperlink w:anchor="ica60ed0147874e66890b2a322b937654_7">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38"/>
        <w:gridCol w:w="192"/>
        <w:gridCol w:w="193"/>
        <w:gridCol w:w="109"/>
        <w:gridCol w:w="109"/>
        <w:gridCol w:w="109"/>
        <w:gridCol w:w="2705"/>
        <w:gridCol w:w="2705"/>
        <w:gridCol w:w="3845"/>
      </w:tblGrid>
      <w:tr>
        <w:trPr/>
        <w:tc>
          <w:tcPr>
            <w:tcW w:w="23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rPr>
                <w:sz w:val="4"/>
                <w:szCs w:val="4"/>
              </w:rPr>
            </w:pPr>
            <w:r>
              <w:rPr>
                <w:sz w:val="4"/>
                <w:szCs w:val="4"/>
              </w:rPr>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18 U.S.C. Section 1350, as adopted pursuant to Section 906 of the Sarbanes-Oxley Act of 2002</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18 U.S.C. Section 1350, as adopted pursuant to Section 906 of the Sarbanes-Oxley Act of 2002</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Asbury Automotive Group, Inc.'s Annual Report on Form 10-K for the fiscal year ended December 31, 2020 has been formatted in Inline XBRL.</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r>
        <w:trPr/>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this exhibit have been omitted pursuant to Item 601(b)(2) of Regulation S-K because they (i) are not material and (ii) would likely cause competitive harm to the Company if publicly disclosed. The Company agrees to furnish supplementally to the Commission an unredacted copy of this exhibit upon request.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lineRule="auto" w:line="240"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4.3</w:t>
      </w:r>
    </w:p>
    <w:p>
      <w:pPr>
        <w:pStyle w:val="TextBody"/>
        <w:spacing w:before="0" w:after="0"/>
        <w:rPr/>
      </w:pPr>
      <w:r>
        <w:rPr/>
      </w:r>
    </w:p>
    <w:p>
      <w:pPr>
        <w:pStyle w:val="TextBody"/>
        <w:spacing w:lineRule="auto" w:line="240" w:before="0" w:after="2"/>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SECOND SUPPLEMENTAL INDENTURE (this “Supplemental Indenture”), dated as of December 23, 2021, among the entities listed on Exhibit A attached hereto (each a “Guaranteeing Subsidiary” and collectively, the “Guaranteeing Subsidiaries”), Asbury Automotive Group, Inc., a Delaware corporation (the “Company”), and U.S. Bank National Association, as trustee under the indenture referred to below (the “Trustee”).</w:t>
      </w:r>
    </w:p>
    <w:p>
      <w:pPr>
        <w:pStyle w:val="TextBody"/>
        <w:spacing w:before="0" w:after="0"/>
        <w:rPr/>
      </w:pPr>
      <w:r>
        <w:rPr/>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Company has heretofore executed and delivered to the Trustee an indenture, dated as of February 19, 2020 (as amended, modified or supplemented, the “Indenture”) providing for the issuance of 4.50% Senior Notes due 2028 (the “Notes”);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“Subsidiary Guarantee”); and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is authorized to execute and deliver this Supplemental Indenture.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pStyle w:val="TextBody"/>
        <w:spacing w:lineRule="auto" w:line="240" w:before="0" w:after="240"/>
        <w:ind w:left="0" w:right="0" w:firstLine="720"/>
        <w:rPr/>
      </w:pPr>
      <w:r>
        <w:rPr>
          <w:rFonts w:ascii="Times New Roman;sans-serif" w:hAnsi="Times New Roman;sans-serif"/>
          <w:b w:val="false"/>
          <w:color w:val="000000"/>
          <w:sz w:val="24"/>
        </w:rPr>
        <w:t>1.</w:t>
      </w:r>
      <w:r>
        <w:rPr>
          <w:rFonts w:ascii="Times New Roman;sans-serif" w:hAnsi="Times New Roman;sans-serif"/>
          <w:b w:val="false"/>
          <w:color w:val="000000"/>
          <w:sz w:val="22"/>
        </w:rPr>
        <w:t>CAPITALIZED TERMS. Capitalized terms used herein without definition shall have the meanings assigned to them in the Indenture.</w:t>
      </w:r>
    </w:p>
    <w:p>
      <w:pPr>
        <w:pStyle w:val="TextBody"/>
        <w:spacing w:lineRule="auto" w:line="240" w:before="0" w:after="240"/>
        <w:ind w:left="0" w:right="0" w:firstLine="720"/>
        <w:rPr/>
      </w:pPr>
      <w:r>
        <w:rPr>
          <w:rFonts w:ascii="Times New Roman;sans-serif" w:hAnsi="Times New Roman;sans-serif"/>
          <w:b w:val="false"/>
          <w:color w:val="000000"/>
          <w:sz w:val="24"/>
        </w:rPr>
        <w:t>2.</w:t>
      </w:r>
      <w:r>
        <w:rPr>
          <w:rFonts w:ascii="Times New Roman;sans-serif" w:hAnsi="Times New Roman;sans-serif"/>
          <w:b w:val="false"/>
          <w:color w:val="000000"/>
          <w:sz w:val="22"/>
        </w:rPr>
        <w:t>AGREEMENT TO GUARANTEE. Each Guaranteeing Subsidiary hereby agrees, jointly and severally along with all Guarantors named in the Indenture, to guarantee the Company’s obligations under the Notes on the terms and subject to the conditions set forth in Article 10 of the Indenture and to be bound by all other applicable provisions of the Indenture and the Notes.</w:t>
      </w:r>
    </w:p>
    <w:p>
      <w:pPr>
        <w:pStyle w:val="TextBody"/>
        <w:spacing w:lineRule="auto" w:line="240" w:before="0" w:after="240"/>
        <w:ind w:left="0" w:right="0" w:firstLine="720"/>
        <w:rPr/>
      </w:pPr>
      <w:r>
        <w:rPr>
          <w:rFonts w:ascii="Times New Roman;sans-serif" w:hAnsi="Times New Roman;sans-serif"/>
          <w:b w:val="false"/>
          <w:color w:val="000000"/>
          <w:sz w:val="24"/>
        </w:rPr>
        <w:t>3.</w:t>
      </w:r>
      <w:r>
        <w:rPr>
          <w:rFonts w:ascii="Times New Roman;sans-serif" w:hAnsi="Times New Roman;sans-serif"/>
          <w:b w:val="false"/>
          <w:color w:val="000000"/>
          <w:sz w:val="22"/>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spacing w:lineRule="auto" w:line="240" w:before="0" w:after="240"/>
        <w:ind w:left="0" w:right="0" w:firstLine="720"/>
        <w:rPr/>
      </w:pPr>
      <w:r>
        <w:rPr>
          <w:rFonts w:ascii="Times New Roman;sans-serif" w:hAnsi="Times New Roman;sans-serif"/>
          <w:b w:val="false"/>
          <w:color w:val="000000"/>
          <w:sz w:val="24"/>
        </w:rPr>
        <w:t>4.</w:t>
      </w:r>
      <w:r>
        <w:rPr>
          <w:rFonts w:ascii="Times New Roman;sans-serif" w:hAnsi="Times New Roman;sans-serif"/>
          <w:b w:val="false"/>
          <w:color w:val="000000"/>
          <w:sz w:val="22"/>
        </w:rPr>
        <w:t>NEW YORK LAW TO GOVERN. THE LAW OF THE STATE OF NEW YORK SHALL GOVERN AND BE USED TO CONSTRUE THIS SUPPLEMENTAL INDENTURE.</w:t>
      </w:r>
    </w:p>
    <w:p>
      <w:pPr>
        <w:pStyle w:val="TextBody"/>
        <w:spacing w:lineRule="auto" w:line="240" w:before="0" w:after="240"/>
        <w:ind w:left="0" w:right="0" w:firstLine="720"/>
        <w:rPr/>
      </w:pPr>
      <w:r>
        <w:rPr>
          <w:rFonts w:ascii="Times New Roman;sans-serif" w:hAnsi="Times New Roman;sans-serif"/>
          <w:b w:val="false"/>
          <w:color w:val="000000"/>
          <w:sz w:val="24"/>
        </w:rPr>
        <w:t>5.</w:t>
      </w:r>
      <w:r>
        <w:rPr>
          <w:rFonts w:ascii="Times New Roman;sans-serif" w:hAnsi="Times New Roman;sans-serif"/>
          <w:b w:val="false"/>
          <w:color w:val="000000"/>
          <w:sz w:val="22"/>
        </w:rPr>
        <w:t>COUNTERPARTS. The parties may sign any number of copies of this Supplemental Indenture. Each signed copy shall be an original, but all of them together represent the same agreement.</w:t>
      </w:r>
    </w:p>
    <w:p>
      <w:pPr>
        <w:pStyle w:val="TextBody"/>
        <w:spacing w:lineRule="auto" w:line="240" w:before="0" w:after="240"/>
        <w:ind w:left="0" w:right="0" w:firstLine="720"/>
        <w:rPr/>
      </w:pPr>
      <w:r>
        <w:rPr>
          <w:rFonts w:ascii="Times New Roman;sans-serif" w:hAnsi="Times New Roman;sans-serif"/>
          <w:b w:val="false"/>
          <w:color w:val="000000"/>
          <w:sz w:val="24"/>
        </w:rPr>
        <w:t>6.</w:t>
      </w:r>
      <w:r>
        <w:rPr>
          <w:rFonts w:ascii="Times New Roman;sans-serif" w:hAnsi="Times New Roman;sans-serif"/>
          <w:b w:val="false"/>
          <w:color w:val="000000"/>
          <w:sz w:val="22"/>
        </w:rPr>
        <w:t>EFFECT OF HEADINGS. The Section headings herein are for convenience only and shall not affect the construction hereof.</w:t>
      </w:r>
    </w:p>
    <w:p>
      <w:pPr>
        <w:pStyle w:val="TextBody"/>
        <w:spacing w:lineRule="auto" w:line="240" w:before="0" w:after="240"/>
        <w:ind w:left="0" w:right="0" w:firstLine="720"/>
        <w:rPr/>
      </w:pPr>
      <w:r>
        <w:rPr>
          <w:rFonts w:ascii="Times New Roman;sans-serif" w:hAnsi="Times New Roman;sans-serif"/>
          <w:b w:val="false"/>
          <w:color w:val="000000"/>
          <w:sz w:val="24"/>
        </w:rPr>
        <w:t>7.</w:t>
      </w:r>
      <w:r>
        <w:rPr>
          <w:rFonts w:ascii="Times New Roman;sans-serif" w:hAnsi="Times New Roman;sans-serif"/>
          <w:b w:val="false"/>
          <w:color w:val="000000"/>
          <w:sz w:val="22"/>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WITNESS HEREOF, the parties hereto have caused this Supplemental Indenture to be duly executed, all as of the date first above written.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AURORA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CO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CHEV,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JLR,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POR,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LONGMONT HUND,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AMT,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LARRY H. MILLER COMPANY – BOUNTIFUL,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BSU,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BUC,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CSCO,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CHV,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FLT,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LFO,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GC,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LIT,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LMD,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OSBORN/MILLER AUTOMOTIVE,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MANAGEMENT, LTD.</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MFD,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MUR,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NHR,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OCC,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PFL,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PNX,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RCD,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SAX, LLC</w:t>
      </w:r>
    </w:p>
    <w:p>
      <w:pPr>
        <w:pStyle w:val="TextBody"/>
        <w:spacing w:lineRule="auto" w:line="240"/>
        <w:rPr>
          <w:rFonts w:ascii="Times New Roman;sans-serif" w:hAnsi="Times New Roman;sans-serif"/>
          <w:b/>
          <w:color w:val="000000"/>
          <w:sz w:val="20"/>
        </w:rPr>
      </w:pPr>
      <w:r>
        <w:rPr>
          <w:rFonts w:ascii="Times New Roman;sans-serif" w:hAnsi="Times New Roman;sans-serif"/>
          <w:b/>
          <w:color w:val="000000"/>
          <w:sz w:val="20"/>
        </w:rPr>
        <w:t>LHM SCD, LLC</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2100"/>
                <wp:effectExtent l="0" t="0" r="0" b="0"/>
                <wp:wrapNone/>
                <wp:docPr id="140" name="Frame13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Second Supplemental Indenture</w:t>
                            </w:r>
                            <w:r>
                              <w:rPr>
                                <w:rFonts w:ascii="Times New Roman;sans-serif" w:hAnsi="Times New Roman;sans-serif"/>
                                <w:b w:val="false"/>
                                <w:color w:val="000000"/>
                                <w:sz w:val="16"/>
                              </w:rPr>
                              <w:t>]</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Second Supplemental Indenture</w:t>
                      </w:r>
                      <w:r>
                        <w:rPr>
                          <w:rFonts w:ascii="Times New Roman;sans-serif" w:hAnsi="Times New Roman;sans-serif"/>
                          <w:b w:val="false"/>
                          <w:color w:val="000000"/>
                          <w:sz w:val="16"/>
                        </w:rPr>
                        <w:t>]</w:t>
                      </w:r>
                    </w:p>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SFL,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SFO,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SSLE,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SPO HOLDINGS,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 SPOKANE,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TSD,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UCN,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INTERMEDIATE HOLDINGS 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GP HOLDINGS, LLC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ind w:left="0" w:right="0" w:hanging="720"/>
        <w:rPr/>
      </w:pPr>
      <w:r>
        <w:rPr/>
      </w:r>
    </w:p>
    <w:p>
      <w:pPr>
        <w:pStyle w:val="TextBody"/>
        <w:spacing w:before="0" w:after="0"/>
        <w:ind w:left="0" w:right="0" w:hanging="72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U.S. BANK NATIONAL ASSOCIATION</w:t>
      </w:r>
    </w:p>
    <w:p>
      <w:pPr>
        <w:pStyle w:val="TextBody"/>
        <w:spacing w:before="0" w:after="0"/>
        <w:rPr/>
      </w:pPr>
      <w:r>
        <w:rPr/>
      </w:r>
    </w:p>
    <w:tbl>
      <w:tblPr>
        <w:tblW w:w="2235" w:type="dxa"/>
        <w:jc w:val="left"/>
        <w:tblInd w:w="0" w:type="dxa"/>
        <w:tblCellMar>
          <w:top w:w="28" w:type="dxa"/>
          <w:left w:w="28" w:type="dxa"/>
          <w:bottom w:w="28" w:type="dxa"/>
          <w:right w:w="28" w:type="dxa"/>
        </w:tblCellMar>
      </w:tblPr>
      <w:tblGrid>
        <w:gridCol w:w="232"/>
        <w:gridCol w:w="205"/>
        <w:gridCol w:w="208"/>
        <w:gridCol w:w="465"/>
        <w:gridCol w:w="465"/>
        <w:gridCol w:w="660"/>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spacing w:before="0" w:after="0"/>
        <w:rPr/>
      </w:pPr>
      <w:r>
        <w:rPr/>
      </w:r>
    </w:p>
    <w:p>
      <w:pPr>
        <w:pStyle w:val="TextBody"/>
        <w:spacing w:before="0" w:after="20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spacing w:before="0" w:after="0"/>
        <w:ind w:left="0" w:right="0" w:hanging="720"/>
        <w:rPr/>
      </w:pPr>
      <w:r>
        <w:rPr/>
      </w:r>
    </w:p>
    <w:tbl>
      <w:tblPr>
        <w:tblW w:w="3809" w:type="dxa"/>
        <w:jc w:val="left"/>
        <w:tblInd w:w="0" w:type="dxa"/>
        <w:tblCellMar>
          <w:top w:w="28" w:type="dxa"/>
          <w:left w:w="28" w:type="dxa"/>
          <w:bottom w:w="28" w:type="dxa"/>
          <w:right w:w="28" w:type="dxa"/>
        </w:tblCellMar>
      </w:tblPr>
      <w:tblGrid>
        <w:gridCol w:w="1217"/>
        <w:gridCol w:w="1070"/>
        <w:gridCol w:w="1522"/>
      </w:tblGrid>
      <w:tr>
        <w:trPr/>
        <w:tc>
          <w:tcPr>
            <w:tcW w:w="12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Aurora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Chev,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JLR,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Por,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Longmont Hund,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AMT,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AVW,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Company – Bountiful,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BSU,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BUC,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CSCO,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CHV,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FLT,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LFO,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GC,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LIT,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LMD,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Osborn/Miller Automotive,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Management, Ltd.</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MFD,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MUR,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NHR,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OCC,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PCH,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PFL,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PNX,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QCH, LLC</w:t>
            </w:r>
          </w:p>
        </w:tc>
      </w:tr>
      <w:tr>
        <w:trPr/>
        <w:tc>
          <w:tcPr>
            <w:tcW w:w="380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QCJ, LLC</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3479" w:type="dxa"/>
        <w:jc w:val="left"/>
        <w:tblInd w:w="0" w:type="dxa"/>
        <w:tblCellMar>
          <w:top w:w="28" w:type="dxa"/>
          <w:left w:w="28" w:type="dxa"/>
          <w:bottom w:w="28" w:type="dxa"/>
          <w:right w:w="28" w:type="dxa"/>
        </w:tblCellMar>
      </w:tblPr>
      <w:tblGrid>
        <w:gridCol w:w="1113"/>
        <w:gridCol w:w="977"/>
        <w:gridCol w:w="1389"/>
      </w:tblGrid>
      <w:tr>
        <w:trPr/>
        <w:tc>
          <w:tcPr>
            <w:tcW w:w="111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RCD,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SAX,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SFL,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SSLE,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SPO Holdings,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 Spokane,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TCJ,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TDR,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TSD,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TVW,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UCN,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 LLC</w:t>
            </w:r>
          </w:p>
        </w:tc>
      </w:tr>
      <w:tr>
        <w:trPr/>
        <w:tc>
          <w:tcPr>
            <w:tcW w:w="347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GP Holdings, LLC</w:t>
            </w:r>
          </w:p>
        </w:tc>
      </w:tr>
    </w:tbl>
    <w:p>
      <w:pPr>
        <w:pStyle w:val="TextBody"/>
        <w:spacing w:before="0" w:after="0"/>
        <w:ind w:left="0" w:right="0" w:hanging="720"/>
        <w:rPr/>
      </w:pPr>
      <w:r>
        <w:rPr/>
      </w:r>
    </w:p>
    <w:p>
      <w:pPr>
        <w:pStyle w:val="TextBody"/>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4.7</w:t>
      </w:r>
    </w:p>
    <w:p>
      <w:pPr>
        <w:pStyle w:val="TextBody"/>
        <w:spacing w:before="0" w:after="0"/>
        <w:rPr/>
      </w:pPr>
      <w:r>
        <w:rPr/>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SECOND SUPPLEMENTAL INDENTURE (this “Supplemental Indenture”), dated as of December 23, 2021, among the entities listed on Exhibit A attached hereto (each a “Guaranteeing Subsidiary” and collectively, the “Guaranteeing Subsidiaries”), Asbury Automotive Group, Inc., a Delaware corporation (the “Company”), and U.S. Bank National Association, as trustee under the indenture referred to below (the “Trustee”).</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Company has heretofore executed and delivered to the Trustee an indenture, dated as of February 19, 2020 (as amended, modified or supplemented, the “Indenture”) providing for the issuance of 4.75% Senior Notes due 2030 (the “Notes”);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“Subsidiary Guarantee”); and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is authorized to execute and deliver this Supplemental Indenture.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pStyle w:val="TextBody"/>
        <w:spacing w:lineRule="auto" w:line="240" w:before="0" w:after="240"/>
        <w:ind w:left="0" w:right="0" w:firstLine="720"/>
        <w:rPr/>
      </w:pPr>
      <w:r>
        <w:rPr>
          <w:rFonts w:ascii="Times New Roman;sans-serif" w:hAnsi="Times New Roman;sans-serif"/>
          <w:b w:val="false"/>
          <w:color w:val="000000"/>
          <w:sz w:val="24"/>
        </w:rPr>
        <w:t>1.</w:t>
      </w:r>
      <w:r>
        <w:rPr>
          <w:rFonts w:ascii="Times New Roman;sans-serif" w:hAnsi="Times New Roman;sans-serif"/>
          <w:b w:val="false"/>
          <w:color w:val="000000"/>
          <w:sz w:val="22"/>
        </w:rPr>
        <w:t>CAPITALIZED TERMS. Capitalized terms used herein without definition shall have the meanings assigned to them in the Indenture.</w:t>
      </w:r>
    </w:p>
    <w:p>
      <w:pPr>
        <w:pStyle w:val="TextBody"/>
        <w:spacing w:lineRule="auto" w:line="240" w:before="0" w:after="240"/>
        <w:ind w:left="0" w:right="0" w:firstLine="720"/>
        <w:rPr/>
      </w:pPr>
      <w:r>
        <w:rPr>
          <w:rFonts w:ascii="Times New Roman;sans-serif" w:hAnsi="Times New Roman;sans-serif"/>
          <w:b w:val="false"/>
          <w:color w:val="000000"/>
          <w:sz w:val="24"/>
        </w:rPr>
        <w:t>2.</w:t>
      </w:r>
      <w:r>
        <w:rPr>
          <w:rFonts w:ascii="Times New Roman;sans-serif" w:hAnsi="Times New Roman;sans-serif"/>
          <w:b w:val="false"/>
          <w:color w:val="000000"/>
          <w:sz w:val="22"/>
        </w:rPr>
        <w:t>AGREEMENT TO GUARANTEE. Each Guaranteeing Subsidiary hereby agrees, jointly and severally along with all Guarantors named in the Indenture, to guarantee the Company’s obligations under the Notes on the terms and subject to the conditions set forth in Article 10 of the Indenture and to be bound by all other applicable provisions of the Indenture and the Notes.</w:t>
      </w:r>
    </w:p>
    <w:p>
      <w:pPr>
        <w:pStyle w:val="TextBody"/>
        <w:spacing w:lineRule="auto" w:line="240" w:before="0" w:after="240"/>
        <w:ind w:left="0" w:right="0" w:firstLine="720"/>
        <w:rPr/>
      </w:pPr>
      <w:r>
        <w:rPr>
          <w:rFonts w:ascii="Times New Roman;sans-serif" w:hAnsi="Times New Roman;sans-serif"/>
          <w:b w:val="false"/>
          <w:color w:val="000000"/>
          <w:sz w:val="24"/>
        </w:rPr>
        <w:t>3.</w:t>
      </w:r>
      <w:r>
        <w:rPr>
          <w:rFonts w:ascii="Times New Roman;sans-serif" w:hAnsi="Times New Roman;sans-serif"/>
          <w:b w:val="false"/>
          <w:color w:val="000000"/>
          <w:sz w:val="22"/>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spacing w:lineRule="auto" w:line="240" w:before="0" w:after="240"/>
        <w:ind w:left="0" w:right="0" w:firstLine="720"/>
        <w:rPr/>
      </w:pPr>
      <w:r>
        <w:rPr>
          <w:rFonts w:ascii="Times New Roman;sans-serif" w:hAnsi="Times New Roman;sans-serif"/>
          <w:b w:val="false"/>
          <w:color w:val="000000"/>
          <w:sz w:val="24"/>
        </w:rPr>
        <w:t>4.</w:t>
      </w:r>
      <w:r>
        <w:rPr>
          <w:rFonts w:ascii="Times New Roman;sans-serif" w:hAnsi="Times New Roman;sans-serif"/>
          <w:b w:val="false"/>
          <w:color w:val="000000"/>
          <w:sz w:val="22"/>
        </w:rPr>
        <w:t>NEW YORK LAW TO GOVERN. THE LAW OF THE STATE OF NEW YORK SHALL GOVERN AND BE USED TO CONSTRUE THIS SUPPLEMENTAL INDENTURE.</w:t>
      </w:r>
    </w:p>
    <w:p>
      <w:pPr>
        <w:pStyle w:val="TextBody"/>
        <w:spacing w:lineRule="auto" w:line="240" w:before="0" w:after="240"/>
        <w:ind w:left="0" w:right="0" w:firstLine="720"/>
        <w:rPr/>
      </w:pPr>
      <w:r>
        <w:rPr>
          <w:rFonts w:ascii="Times New Roman;sans-serif" w:hAnsi="Times New Roman;sans-serif"/>
          <w:b w:val="false"/>
          <w:color w:val="000000"/>
          <w:sz w:val="24"/>
        </w:rPr>
        <w:t>5.</w:t>
      </w:r>
      <w:r>
        <w:rPr>
          <w:rFonts w:ascii="Times New Roman;sans-serif" w:hAnsi="Times New Roman;sans-serif"/>
          <w:b w:val="false"/>
          <w:color w:val="000000"/>
          <w:sz w:val="22"/>
        </w:rPr>
        <w:t>COUNTERPARTS. The parties may sign any number of copies of this Supplemental Indenture. Each signed copy shall be an original, but all of them together represent the same agreement.</w:t>
      </w:r>
    </w:p>
    <w:p>
      <w:pPr>
        <w:pStyle w:val="TextBody"/>
        <w:spacing w:lineRule="auto" w:line="240" w:before="0" w:after="240"/>
        <w:ind w:left="0" w:right="0" w:firstLine="720"/>
        <w:rPr/>
      </w:pPr>
      <w:r>
        <w:rPr>
          <w:rFonts w:ascii="Times New Roman;sans-serif" w:hAnsi="Times New Roman;sans-serif"/>
          <w:b w:val="false"/>
          <w:color w:val="000000"/>
          <w:sz w:val="24"/>
        </w:rPr>
        <w:t>6.</w:t>
      </w:r>
      <w:r>
        <w:rPr>
          <w:rFonts w:ascii="Times New Roman;sans-serif" w:hAnsi="Times New Roman;sans-serif"/>
          <w:b w:val="false"/>
          <w:color w:val="000000"/>
          <w:sz w:val="22"/>
        </w:rPr>
        <w:t>EFFECT OF HEADINGS. The Section headings herein are for convenience only and shall not affect the construction hereof.</w:t>
      </w:r>
    </w:p>
    <w:p>
      <w:pPr>
        <w:pStyle w:val="TextBody"/>
        <w:spacing w:lineRule="auto" w:line="240" w:before="0" w:after="240"/>
        <w:ind w:left="0" w:right="0" w:firstLine="720"/>
        <w:rPr/>
      </w:pPr>
      <w:r>
        <w:rPr>
          <w:rFonts w:ascii="Times New Roman;sans-serif" w:hAnsi="Times New Roman;sans-serif"/>
          <w:b w:val="false"/>
          <w:color w:val="000000"/>
          <w:sz w:val="24"/>
        </w:rPr>
        <w:t>7.</w:t>
      </w:r>
      <w:r>
        <w:rPr>
          <w:rFonts w:ascii="Times New Roman;sans-serif" w:hAnsi="Times New Roman;sans-serif"/>
          <w:b w:val="false"/>
          <w:color w:val="000000"/>
          <w:sz w:val="22"/>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WITNESS HEREOF, the parties hereto have caused this Supplemental Indenture to be duly executed, all as of the date first above written.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AURORA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CO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CHEV,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JLR,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POR,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LONGMONT HUND,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AMT,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LARRY H. MILLER COMPANY – BOUNTIFUL,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BSU,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BUC,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CSCO,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CHV,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FLT,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LFO,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GC,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LIT,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LMD,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OSBORN/MILLER AUTOMOTIVE,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MANAGEMENT, LTD.</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MFD,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MUR,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NHR,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OCC,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PFL,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PNX,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RCD,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SAX,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SFL, LLC</w:t>
      </w:r>
    </w:p>
    <w:p>
      <w:pPr>
        <w:pStyle w:val="TextBody"/>
        <w:spacing w:lineRule="auto" w:line="240"/>
        <w:rPr>
          <w:rFonts w:ascii="Times New Roman;sans-serif" w:hAnsi="Times New Roman;sans-serif"/>
          <w:b/>
          <w:color w:val="000000"/>
          <w:sz w:val="20"/>
        </w:rPr>
      </w:pPr>
      <w:r>
        <w:rPr>
          <w:rFonts w:ascii="Times New Roman;sans-serif" w:hAnsi="Times New Roman;sans-serif"/>
          <w:b/>
          <w:color w:val="000000"/>
          <w:sz w:val="20"/>
        </w:rPr>
        <w:t>LHM SFO, LLC</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45" name="Frame14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Second Supplemental Indenture</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Second Supplemental Indenture</w:t>
                      </w: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SSLE,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SPO HOLDINGS,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 SPOKANE,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TSD,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UCN,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INTERMEDIATE HOLDINGS 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GP HOLDINGS, LLC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U.S. BANK NATIONAL ASSOCIATION</w:t>
      </w:r>
    </w:p>
    <w:p>
      <w:pPr>
        <w:pStyle w:val="TextBody"/>
        <w:spacing w:before="0" w:after="0"/>
        <w:rPr/>
      </w:pPr>
      <w:r>
        <w:rPr/>
      </w:r>
    </w:p>
    <w:p>
      <w:pPr>
        <w:pStyle w:val="TextBody"/>
        <w:spacing w:before="0" w:after="0"/>
        <w:rPr/>
      </w:pPr>
      <w:r>
        <w:rPr/>
      </w:r>
    </w:p>
    <w:tbl>
      <w:tblPr>
        <w:tblW w:w="2235" w:type="dxa"/>
        <w:jc w:val="left"/>
        <w:tblInd w:w="0" w:type="dxa"/>
        <w:tblCellMar>
          <w:top w:w="28" w:type="dxa"/>
          <w:left w:w="28" w:type="dxa"/>
          <w:bottom w:w="28" w:type="dxa"/>
          <w:right w:w="28" w:type="dxa"/>
        </w:tblCellMar>
      </w:tblPr>
      <w:tblGrid>
        <w:gridCol w:w="232"/>
        <w:gridCol w:w="205"/>
        <w:gridCol w:w="208"/>
        <w:gridCol w:w="465"/>
        <w:gridCol w:w="465"/>
        <w:gridCol w:w="660"/>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spacing w:before="0" w:after="0"/>
        <w:rPr/>
      </w:pPr>
      <w:r>
        <w:rPr/>
      </w:r>
    </w:p>
    <w:p>
      <w:pPr>
        <w:pStyle w:val="TextBody"/>
        <w:spacing w:before="0" w:after="20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spacing w:before="0" w:after="0"/>
        <w:ind w:left="0" w:right="0" w:hanging="720"/>
        <w:rPr/>
      </w:pPr>
      <w:r>
        <w:rPr/>
      </w:r>
    </w:p>
    <w:tbl>
      <w:tblPr>
        <w:tblW w:w="3809" w:type="dxa"/>
        <w:jc w:val="left"/>
        <w:tblInd w:w="0" w:type="dxa"/>
        <w:tblCellMar>
          <w:top w:w="28" w:type="dxa"/>
          <w:left w:w="28" w:type="dxa"/>
          <w:bottom w:w="28" w:type="dxa"/>
          <w:right w:w="28" w:type="dxa"/>
        </w:tblCellMar>
      </w:tblPr>
      <w:tblGrid>
        <w:gridCol w:w="1217"/>
        <w:gridCol w:w="1070"/>
        <w:gridCol w:w="1522"/>
      </w:tblGrid>
      <w:tr>
        <w:trPr/>
        <w:tc>
          <w:tcPr>
            <w:tcW w:w="12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Aurora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Chev,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JLR,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Por,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Longmont Hund,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AMT,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AVW,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Company – Bountiful,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BSU,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BUC,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CSCO,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CHV,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FLT,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LFO,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GC,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LIT,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LMD,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Osborn/Miller Automotive,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Management, Ltd.</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MFD,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MUR,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NHR,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OCC,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PCH,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PFL,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PNX,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QCH, LLC</w:t>
            </w:r>
          </w:p>
        </w:tc>
      </w:tr>
      <w:tr>
        <w:trPr/>
        <w:tc>
          <w:tcPr>
            <w:tcW w:w="380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QCJ, LLC</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3479" w:type="dxa"/>
        <w:jc w:val="left"/>
        <w:tblInd w:w="0" w:type="dxa"/>
        <w:tblCellMar>
          <w:top w:w="28" w:type="dxa"/>
          <w:left w:w="28" w:type="dxa"/>
          <w:bottom w:w="28" w:type="dxa"/>
          <w:right w:w="28" w:type="dxa"/>
        </w:tblCellMar>
      </w:tblPr>
      <w:tblGrid>
        <w:gridCol w:w="1113"/>
        <w:gridCol w:w="977"/>
        <w:gridCol w:w="1389"/>
      </w:tblGrid>
      <w:tr>
        <w:trPr/>
        <w:tc>
          <w:tcPr>
            <w:tcW w:w="111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RCD,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SAX,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SFL,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SSLE,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SPO Holdings,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 Spokane,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TCJ,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TDR,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TSD,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TVW,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UCN,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 LLC</w:t>
            </w:r>
          </w:p>
        </w:tc>
      </w:tr>
      <w:tr>
        <w:trPr/>
        <w:tc>
          <w:tcPr>
            <w:tcW w:w="347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GP Holdings, LLC</w:t>
            </w:r>
          </w:p>
        </w:tc>
      </w:tr>
    </w:tbl>
    <w:p>
      <w:pPr>
        <w:pStyle w:val="TextBody"/>
        <w:spacing w:before="0" w:after="0"/>
        <w:ind w:left="0" w:right="0" w:hanging="720"/>
        <w:rPr/>
      </w:pPr>
      <w:r>
        <w:rPr/>
      </w:r>
    </w:p>
    <w:p>
      <w:pPr>
        <w:pStyle w:val="TextBody"/>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4.12</w:t>
      </w:r>
    </w:p>
    <w:p>
      <w:pPr>
        <w:pStyle w:val="TextBody"/>
        <w:spacing w:before="0" w:after="0"/>
        <w:rPr/>
      </w:pPr>
      <w:r>
        <w:rPr/>
      </w:r>
    </w:p>
    <w:p>
      <w:pPr>
        <w:pStyle w:val="TextBody"/>
        <w:spacing w:lineRule="auto" w:line="240" w:before="0" w:after="2"/>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FIRST SUPPLEMENTAL INDENTURE (this “Supplemental Indenture”), dated as of December 23, 2021, among the entities listed on Exhibit A attached hereto (each a “Guaranteeing Subsidiary” and collectively, the “Guaranteeing Subsidiaries”), Asbury Automotive Group, Inc., a Delaware corporation (the “Company”), and U.S. Bank National Association, as trustee under the indenture referred to below (the “Trustee”).</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Company has heretofore executed and delivered to the Trustee an indenture, dated as of November 19, 2021 (the “Indenture”) providing for the issuance of 4.625% Senior Notes due 2029 (the “Notes”);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“Subsidiary Guarantee”); and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is authorized to execute and deliver this Supplemental Indenture.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pStyle w:val="TextBody"/>
        <w:spacing w:lineRule="auto" w:line="240" w:before="0" w:after="240"/>
        <w:ind w:left="0" w:right="0" w:firstLine="720"/>
        <w:rPr/>
      </w:pPr>
      <w:r>
        <w:rPr>
          <w:rFonts w:ascii="Times New Roman;sans-serif" w:hAnsi="Times New Roman;sans-serif"/>
          <w:b w:val="false"/>
          <w:color w:val="000000"/>
          <w:sz w:val="24"/>
        </w:rPr>
        <w:t>1.</w:t>
      </w:r>
      <w:r>
        <w:rPr>
          <w:rFonts w:ascii="Times New Roman;sans-serif" w:hAnsi="Times New Roman;sans-serif"/>
          <w:b w:val="false"/>
          <w:color w:val="000000"/>
          <w:sz w:val="22"/>
        </w:rPr>
        <w:t>CAPITALIZED TERMS. Capitalized terms used herein without definition shall have the meanings assigned to them in the Indenture.</w:t>
      </w:r>
    </w:p>
    <w:p>
      <w:pPr>
        <w:pStyle w:val="TextBody"/>
        <w:spacing w:lineRule="auto" w:line="240" w:before="0" w:after="240"/>
        <w:ind w:left="0" w:right="0" w:firstLine="720"/>
        <w:rPr/>
      </w:pPr>
      <w:r>
        <w:rPr>
          <w:rFonts w:ascii="Times New Roman;sans-serif" w:hAnsi="Times New Roman;sans-serif"/>
          <w:b w:val="false"/>
          <w:color w:val="000000"/>
          <w:sz w:val="24"/>
        </w:rPr>
        <w:t>2.</w:t>
      </w:r>
      <w:r>
        <w:rPr>
          <w:rFonts w:ascii="Times New Roman;sans-serif" w:hAnsi="Times New Roman;sans-serif"/>
          <w:b w:val="false"/>
          <w:color w:val="000000"/>
          <w:sz w:val="22"/>
        </w:rPr>
        <w:t>AGREEMENT TO GUARANTEE. Each Guaranteeing Subsidiary hereby agrees, jointly and severally along with all Guarantors named in the Indenture, to guarantee the Company’s obligations under the Notes on the terms and subject to the conditions set forth in Article 10 of the Indenture and to be bound by all other applicable provisions of the Indenture and the Notes.</w:t>
      </w:r>
    </w:p>
    <w:p>
      <w:pPr>
        <w:pStyle w:val="TextBody"/>
        <w:spacing w:lineRule="auto" w:line="240" w:before="0" w:after="240"/>
        <w:ind w:left="0" w:right="0" w:firstLine="720"/>
        <w:rPr/>
      </w:pPr>
      <w:r>
        <w:rPr>
          <w:rFonts w:ascii="Times New Roman;sans-serif" w:hAnsi="Times New Roman;sans-serif"/>
          <w:b w:val="false"/>
          <w:color w:val="000000"/>
          <w:sz w:val="24"/>
        </w:rPr>
        <w:t>3.</w:t>
      </w:r>
      <w:r>
        <w:rPr>
          <w:rFonts w:ascii="Times New Roman;sans-serif" w:hAnsi="Times New Roman;sans-serif"/>
          <w:b w:val="false"/>
          <w:color w:val="000000"/>
          <w:sz w:val="22"/>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spacing w:lineRule="auto" w:line="240" w:before="0" w:after="240"/>
        <w:ind w:left="0" w:right="0" w:firstLine="720"/>
        <w:rPr/>
      </w:pPr>
      <w:r>
        <w:rPr>
          <w:rFonts w:ascii="Times New Roman;sans-serif" w:hAnsi="Times New Roman;sans-serif"/>
          <w:b w:val="false"/>
          <w:color w:val="000000"/>
          <w:sz w:val="24"/>
        </w:rPr>
        <w:t>4.</w:t>
      </w:r>
      <w:r>
        <w:rPr>
          <w:rFonts w:ascii="Times New Roman;sans-serif" w:hAnsi="Times New Roman;sans-serif"/>
          <w:b w:val="false"/>
          <w:color w:val="000000"/>
          <w:sz w:val="22"/>
        </w:rPr>
        <w:t>NEW YORK LAW TO GOVERN. THE LAW OF THE STATE OF NEW YORK SHALL GOVERN AND BE USED TO CONSTRUE THIS SUPPLEMENTAL INDENTURE.</w:t>
      </w:r>
    </w:p>
    <w:p>
      <w:pPr>
        <w:pStyle w:val="TextBody"/>
        <w:spacing w:lineRule="auto" w:line="240" w:before="0" w:after="240"/>
        <w:ind w:left="0" w:right="0" w:firstLine="720"/>
        <w:rPr/>
      </w:pPr>
      <w:r>
        <w:rPr>
          <w:rFonts w:ascii="Times New Roman;sans-serif" w:hAnsi="Times New Roman;sans-serif"/>
          <w:b w:val="false"/>
          <w:color w:val="000000"/>
          <w:sz w:val="24"/>
        </w:rPr>
        <w:t>5.</w:t>
      </w:r>
      <w:r>
        <w:rPr>
          <w:rFonts w:ascii="Times New Roman;sans-serif" w:hAnsi="Times New Roman;sans-serif"/>
          <w:b w:val="false"/>
          <w:color w:val="000000"/>
          <w:sz w:val="22"/>
        </w:rPr>
        <w:t>COUNTERPARTS. The parties may sign any number of copies of this Supplemental Indenture. Each signed copy shall be an original, but all of them together represent the same agreement.</w:t>
      </w:r>
    </w:p>
    <w:p>
      <w:pPr>
        <w:pStyle w:val="TextBody"/>
        <w:spacing w:lineRule="auto" w:line="240" w:before="0" w:after="240"/>
        <w:ind w:left="0" w:right="0" w:firstLine="720"/>
        <w:rPr/>
      </w:pPr>
      <w:r>
        <w:rPr>
          <w:rFonts w:ascii="Times New Roman;sans-serif" w:hAnsi="Times New Roman;sans-serif"/>
          <w:b w:val="false"/>
          <w:color w:val="000000"/>
          <w:sz w:val="24"/>
        </w:rPr>
        <w:t>6.</w:t>
      </w:r>
      <w:r>
        <w:rPr>
          <w:rFonts w:ascii="Times New Roman;sans-serif" w:hAnsi="Times New Roman;sans-serif"/>
          <w:b w:val="false"/>
          <w:color w:val="000000"/>
          <w:sz w:val="22"/>
        </w:rPr>
        <w:t>EFFECT OF HEADINGS. The Section headings herein are for convenience only and shall not affect the construction hereof.</w:t>
      </w:r>
    </w:p>
    <w:p>
      <w:pPr>
        <w:pStyle w:val="TextBody"/>
        <w:spacing w:lineRule="auto" w:line="240" w:before="0" w:after="240"/>
        <w:ind w:left="0" w:right="0" w:firstLine="720"/>
        <w:rPr/>
      </w:pPr>
      <w:r>
        <w:rPr>
          <w:rFonts w:ascii="Times New Roman;sans-serif" w:hAnsi="Times New Roman;sans-serif"/>
          <w:b w:val="false"/>
          <w:color w:val="000000"/>
          <w:sz w:val="24"/>
        </w:rPr>
        <w:t>7.</w:t>
      </w:r>
      <w:r>
        <w:rPr>
          <w:rFonts w:ascii="Times New Roman;sans-serif" w:hAnsi="Times New Roman;sans-serif"/>
          <w:b w:val="false"/>
          <w:color w:val="000000"/>
          <w:sz w:val="22"/>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WITNESS HEREOF, the parties hereto have caused this Supplemental Indenture to be duly executed, all as of the date first above written.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AURORA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CO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CHEV,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JLR,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POR,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LONGMONT HUND,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AMT,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LARRY H. MILLER COMPANY – BOUNTIFUL,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BSU,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BUC,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CSCO,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CHV,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FLT,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LFO,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GC,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LIT,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LMD,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OSBORN/MILLER AUTOMOTIVE,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MANAGEMENT, LTD.</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MFD,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MUR,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NHR,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OCC,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PFL,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PNX,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RCD,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SAX,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SCD, LLC</w:t>
      </w:r>
    </w:p>
    <w:p>
      <w:pPr>
        <w:pStyle w:val="TextBody"/>
        <w:spacing w:lineRule="auto" w:line="240"/>
        <w:rPr>
          <w:rFonts w:ascii="Times New Roman;sans-serif" w:hAnsi="Times New Roman;sans-serif"/>
          <w:b/>
          <w:color w:val="000000"/>
          <w:sz w:val="20"/>
        </w:rPr>
      </w:pPr>
      <w:r>
        <w:rPr>
          <w:rFonts w:ascii="Times New Roman;sans-serif" w:hAnsi="Times New Roman;sans-serif"/>
          <w:b/>
          <w:color w:val="000000"/>
          <w:sz w:val="20"/>
        </w:rPr>
        <w:t>LHM SFL, LLC</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2100"/>
                <wp:effectExtent l="0" t="0" r="0" b="0"/>
                <wp:wrapNone/>
                <wp:docPr id="150" name="Frame14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Second Supplemental Indenture</w:t>
                            </w:r>
                            <w:r>
                              <w:rPr>
                                <w:rFonts w:ascii="Times New Roman;sans-serif" w:hAnsi="Times New Roman;sans-serif"/>
                                <w:b w:val="false"/>
                                <w:color w:val="000000"/>
                                <w:sz w:val="16"/>
                              </w:rPr>
                              <w:t>]</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Second Supplemental Indenture</w:t>
                      </w:r>
                      <w:r>
                        <w:rPr>
                          <w:rFonts w:ascii="Times New Roman;sans-serif" w:hAnsi="Times New Roman;sans-serif"/>
                          <w:b w:val="false"/>
                          <w:color w:val="000000"/>
                          <w:sz w:val="16"/>
                        </w:rPr>
                        <w:t>]</w:t>
                      </w:r>
                    </w:p>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SFO,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SSLE,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SPO HOLDINGS,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 SPOKANE,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TSD,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UCN,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INTERMEDIATE HOLDINGS 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GP HOLDINGS, LLC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rPr/>
      </w:pPr>
      <w:r>
        <w:rPr/>
      </w:r>
    </w:p>
    <w:p>
      <w:pPr>
        <w:pStyle w:val="TextBody"/>
        <w:spacing w:before="0" w:after="0"/>
        <w:ind w:left="0" w:right="0" w:hanging="72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U.S. BANK NATIONAL ASSOCIATION</w:t>
      </w:r>
    </w:p>
    <w:p>
      <w:pPr>
        <w:pStyle w:val="TextBody"/>
        <w:spacing w:before="0" w:after="0"/>
        <w:rPr/>
      </w:pPr>
      <w:r>
        <w:rPr/>
      </w:r>
    </w:p>
    <w:p>
      <w:pPr>
        <w:pStyle w:val="TextBody"/>
        <w:spacing w:before="0" w:after="0"/>
        <w:rPr/>
      </w:pPr>
      <w:r>
        <w:rPr/>
      </w:r>
    </w:p>
    <w:tbl>
      <w:tblPr>
        <w:tblW w:w="2235" w:type="dxa"/>
        <w:jc w:val="left"/>
        <w:tblInd w:w="0" w:type="dxa"/>
        <w:tblCellMar>
          <w:top w:w="28" w:type="dxa"/>
          <w:left w:w="28" w:type="dxa"/>
          <w:bottom w:w="28" w:type="dxa"/>
          <w:right w:w="28" w:type="dxa"/>
        </w:tblCellMar>
      </w:tblPr>
      <w:tblGrid>
        <w:gridCol w:w="232"/>
        <w:gridCol w:w="205"/>
        <w:gridCol w:w="208"/>
        <w:gridCol w:w="465"/>
        <w:gridCol w:w="465"/>
        <w:gridCol w:w="660"/>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spacing w:before="0" w:after="0"/>
        <w:rPr/>
      </w:pPr>
      <w:r>
        <w:rPr/>
      </w:r>
    </w:p>
    <w:p>
      <w:pPr>
        <w:pStyle w:val="TextBody"/>
        <w:spacing w:before="0" w:after="20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spacing w:before="0" w:after="0"/>
        <w:ind w:left="0" w:right="0" w:hanging="720"/>
        <w:rPr/>
      </w:pPr>
      <w:r>
        <w:rPr/>
      </w:r>
    </w:p>
    <w:tbl>
      <w:tblPr>
        <w:tblW w:w="3809" w:type="dxa"/>
        <w:jc w:val="left"/>
        <w:tblInd w:w="0" w:type="dxa"/>
        <w:tblCellMar>
          <w:top w:w="28" w:type="dxa"/>
          <w:left w:w="28" w:type="dxa"/>
          <w:bottom w:w="28" w:type="dxa"/>
          <w:right w:w="28" w:type="dxa"/>
        </w:tblCellMar>
      </w:tblPr>
      <w:tblGrid>
        <w:gridCol w:w="1217"/>
        <w:gridCol w:w="1070"/>
        <w:gridCol w:w="1522"/>
      </w:tblGrid>
      <w:tr>
        <w:trPr/>
        <w:tc>
          <w:tcPr>
            <w:tcW w:w="12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Aurora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Chev,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JLR,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Por,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Longmont Hund,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AMT,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AVW,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Company – Bountiful,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BSU,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BUC,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CSCO,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CHV,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FLT,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LFO,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GC,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LIT,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LMD,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Osborn/Miller Automotive,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Management, Ltd.</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MFD,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MUR,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NHR,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OCC,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PCH,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PFL,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PNX,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QCH, LLC</w:t>
            </w:r>
          </w:p>
        </w:tc>
      </w:tr>
      <w:tr>
        <w:trPr/>
        <w:tc>
          <w:tcPr>
            <w:tcW w:w="380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QCJ, LLC</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479" w:type="dxa"/>
        <w:jc w:val="left"/>
        <w:tblInd w:w="0" w:type="dxa"/>
        <w:tblCellMar>
          <w:top w:w="28" w:type="dxa"/>
          <w:left w:w="28" w:type="dxa"/>
          <w:bottom w:w="28" w:type="dxa"/>
          <w:right w:w="28" w:type="dxa"/>
        </w:tblCellMar>
      </w:tblPr>
      <w:tblGrid>
        <w:gridCol w:w="1113"/>
        <w:gridCol w:w="977"/>
        <w:gridCol w:w="1389"/>
      </w:tblGrid>
      <w:tr>
        <w:trPr/>
        <w:tc>
          <w:tcPr>
            <w:tcW w:w="111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RCD,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SAX,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SFL,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SSLE,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SPO Holdings,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 Spokane,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TCJ,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TDR,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TSD,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TVW,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UCN,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 LLC</w:t>
            </w:r>
          </w:p>
        </w:tc>
      </w:tr>
      <w:tr>
        <w:trPr/>
        <w:tc>
          <w:tcPr>
            <w:tcW w:w="347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GP Holdings, LLC</w:t>
            </w:r>
          </w:p>
        </w:tc>
      </w:tr>
    </w:tbl>
    <w:p>
      <w:pPr>
        <w:pStyle w:val="TextBody"/>
        <w:spacing w:before="0" w:after="0"/>
        <w:ind w:left="0" w:right="0" w:hanging="720"/>
        <w:rPr/>
      </w:pPr>
      <w:r>
        <w:rPr/>
      </w:r>
    </w:p>
    <w:p>
      <w:pPr>
        <w:pStyle w:val="TextBody"/>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4.15</w:t>
      </w:r>
    </w:p>
    <w:p>
      <w:pPr>
        <w:pStyle w:val="TextBody"/>
        <w:spacing w:before="0" w:after="0"/>
        <w:rPr/>
      </w:pPr>
      <w:r>
        <w:rPr/>
      </w:r>
    </w:p>
    <w:p>
      <w:pPr>
        <w:pStyle w:val="TextBody"/>
        <w:spacing w:lineRule="auto" w:line="240" w:before="0" w:after="2"/>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FIRST SUPPLEMENTAL INDENTURE (this “Supplemental Indenture”), dated as of December 23, 2021, among the entities listed on Exhibit A attached hereto (each a “Guaranteeing Subsidiary” and collectively, the “Guaranteeing Subsidiaries”), Asbury Automotive Group, Inc., a Delaware corporation (the “Company”), and U.S. Bank National Association, as trustee under the indenture referred to below (the “Trustee”).</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Company has heretofore executed and delivered to the Trustee an indenture, dated as of November 19, 2021 (the “Indenture”) providing for the issuance of 5.000% Senior Notes due 2032 (the “Notes”);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“Subsidiary Guarantee”); and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is authorized to execute and deliver this Supplemental Indenture.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pStyle w:val="TextBody"/>
        <w:spacing w:lineRule="auto" w:line="240" w:before="0" w:after="240"/>
        <w:ind w:left="0" w:right="0" w:firstLine="720"/>
        <w:rPr/>
      </w:pPr>
      <w:r>
        <w:rPr>
          <w:rFonts w:ascii="Times New Roman;sans-serif" w:hAnsi="Times New Roman;sans-serif"/>
          <w:b w:val="false"/>
          <w:color w:val="000000"/>
          <w:sz w:val="24"/>
        </w:rPr>
        <w:t>1.</w:t>
      </w:r>
      <w:r>
        <w:rPr>
          <w:rFonts w:ascii="Times New Roman;sans-serif" w:hAnsi="Times New Roman;sans-serif"/>
          <w:b w:val="false"/>
          <w:color w:val="000000"/>
          <w:sz w:val="22"/>
        </w:rPr>
        <w:t>CAPITALIZED TERMS. Capitalized terms used herein without definition shall have the meanings assigned to them in the Indenture.</w:t>
      </w:r>
    </w:p>
    <w:p>
      <w:pPr>
        <w:pStyle w:val="TextBody"/>
        <w:spacing w:lineRule="auto" w:line="240" w:before="0" w:after="240"/>
        <w:ind w:left="0" w:right="0" w:firstLine="720"/>
        <w:rPr/>
      </w:pPr>
      <w:r>
        <w:rPr>
          <w:rFonts w:ascii="Times New Roman;sans-serif" w:hAnsi="Times New Roman;sans-serif"/>
          <w:b w:val="false"/>
          <w:color w:val="000000"/>
          <w:sz w:val="24"/>
        </w:rPr>
        <w:t>2.</w:t>
      </w:r>
      <w:r>
        <w:rPr>
          <w:rFonts w:ascii="Times New Roman;sans-serif" w:hAnsi="Times New Roman;sans-serif"/>
          <w:b w:val="false"/>
          <w:color w:val="000000"/>
          <w:sz w:val="22"/>
        </w:rPr>
        <w:t>AGREEMENT TO GUARANTEE. Each Guaranteeing Subsidiary hereby agrees, jointly and severally along with all Guarantors named in the Indenture, to guarantee the Company’s obligations under the Notes on the terms and subject to the conditions set forth in Article 10 of the Indenture and to be bound by all other applicable provisions of the Indenture and the Notes.</w:t>
      </w:r>
    </w:p>
    <w:p>
      <w:pPr>
        <w:pStyle w:val="TextBody"/>
        <w:spacing w:lineRule="auto" w:line="240" w:before="0" w:after="240"/>
        <w:ind w:left="0" w:right="0" w:firstLine="720"/>
        <w:rPr/>
      </w:pPr>
      <w:r>
        <w:rPr>
          <w:rFonts w:ascii="Times New Roman;sans-serif" w:hAnsi="Times New Roman;sans-serif"/>
          <w:b w:val="false"/>
          <w:color w:val="000000"/>
          <w:sz w:val="24"/>
        </w:rPr>
        <w:t>3.</w:t>
      </w:r>
      <w:r>
        <w:rPr>
          <w:rFonts w:ascii="Times New Roman;sans-serif" w:hAnsi="Times New Roman;sans-serif"/>
          <w:b w:val="false"/>
          <w:color w:val="000000"/>
          <w:sz w:val="22"/>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spacing w:lineRule="auto" w:line="240" w:before="0" w:after="240"/>
        <w:ind w:left="0" w:right="0" w:firstLine="720"/>
        <w:rPr/>
      </w:pPr>
      <w:r>
        <w:rPr>
          <w:rFonts w:ascii="Times New Roman;sans-serif" w:hAnsi="Times New Roman;sans-serif"/>
          <w:b w:val="false"/>
          <w:color w:val="000000"/>
          <w:sz w:val="24"/>
        </w:rPr>
        <w:t>4.</w:t>
      </w:r>
      <w:r>
        <w:rPr>
          <w:rFonts w:ascii="Times New Roman;sans-serif" w:hAnsi="Times New Roman;sans-serif"/>
          <w:b w:val="false"/>
          <w:color w:val="000000"/>
          <w:sz w:val="22"/>
        </w:rPr>
        <w:t>NEW YORK LAW TO GOVERN. THE LAW OF THE STATE OF NEW YORK SHALL GOVERN AND BE USED TO CONSTRUE THIS SUPPLEMENTAL INDENTURE.</w:t>
      </w:r>
    </w:p>
    <w:p>
      <w:pPr>
        <w:pStyle w:val="TextBody"/>
        <w:spacing w:lineRule="auto" w:line="240" w:before="0" w:after="240"/>
        <w:ind w:left="0" w:right="0" w:firstLine="720"/>
        <w:rPr/>
      </w:pPr>
      <w:r>
        <w:rPr>
          <w:rFonts w:ascii="Times New Roman;sans-serif" w:hAnsi="Times New Roman;sans-serif"/>
          <w:b w:val="false"/>
          <w:color w:val="000000"/>
          <w:sz w:val="24"/>
        </w:rPr>
        <w:t>5.</w:t>
      </w:r>
      <w:r>
        <w:rPr>
          <w:rFonts w:ascii="Times New Roman;sans-serif" w:hAnsi="Times New Roman;sans-serif"/>
          <w:b w:val="false"/>
          <w:color w:val="000000"/>
          <w:sz w:val="22"/>
        </w:rPr>
        <w:t>COUNTERPARTS. The parties may sign any number of copies of this Supplemental Indenture. Each signed copy shall be an original, but all of them together represent the same agreement.</w:t>
      </w:r>
    </w:p>
    <w:p>
      <w:pPr>
        <w:pStyle w:val="TextBody"/>
        <w:spacing w:lineRule="auto" w:line="240" w:before="0" w:after="240"/>
        <w:ind w:left="0" w:right="0" w:firstLine="720"/>
        <w:rPr/>
      </w:pPr>
      <w:r>
        <w:rPr>
          <w:rFonts w:ascii="Times New Roman;sans-serif" w:hAnsi="Times New Roman;sans-serif"/>
          <w:b w:val="false"/>
          <w:color w:val="000000"/>
          <w:sz w:val="24"/>
        </w:rPr>
        <w:t>6.</w:t>
      </w:r>
      <w:r>
        <w:rPr>
          <w:rFonts w:ascii="Times New Roman;sans-serif" w:hAnsi="Times New Roman;sans-serif"/>
          <w:b w:val="false"/>
          <w:color w:val="000000"/>
          <w:sz w:val="22"/>
        </w:rPr>
        <w:t>EFFECT OF HEADINGS. The Section headings herein are for convenience only and shall not affect the construction hereof.</w:t>
      </w:r>
    </w:p>
    <w:p>
      <w:pPr>
        <w:pStyle w:val="TextBody"/>
        <w:spacing w:lineRule="auto" w:line="240" w:before="0" w:after="240"/>
        <w:ind w:left="0" w:right="0" w:firstLine="720"/>
        <w:rPr/>
      </w:pPr>
      <w:r>
        <w:rPr>
          <w:rFonts w:ascii="Times New Roman;sans-serif" w:hAnsi="Times New Roman;sans-serif"/>
          <w:b w:val="false"/>
          <w:color w:val="000000"/>
          <w:sz w:val="24"/>
        </w:rPr>
        <w:t>7.</w:t>
      </w:r>
      <w:r>
        <w:rPr>
          <w:rFonts w:ascii="Times New Roman;sans-serif" w:hAnsi="Times New Roman;sans-serif"/>
          <w:b w:val="false"/>
          <w:color w:val="000000"/>
          <w:sz w:val="22"/>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WITNESS HEREOF, the parties hereto have caused this Supplemental Indenture to be duly executed, all as of the date first above written.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AURORA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CO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CHEV,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LAKEWOOD TOY,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JLR,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LITTLETON POR,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ASBURY LONGMONT HUND,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AMT,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LARRY H. MILLER COMPANY – BOUNTIFUL,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BSU,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BUC,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CSCO,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CHV,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CTO,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DNI,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FLT,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LEX,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LFO,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GC,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LIT,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LMD,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OSBORN/MILLER AUTOMOTIVE,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LANDCAR MANAGEMENT, LTD.</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MFD,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MNI,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MUR,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NHR,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COLLISION OCC,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PFL,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PNX,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QCH,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QCJ,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RCD,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SAX,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SCD, LLC</w:t>
      </w:r>
    </w:p>
    <w:p>
      <w:pPr>
        <w:pStyle w:val="TextBody"/>
        <w:spacing w:lineRule="auto" w:line="240"/>
        <w:rPr>
          <w:rFonts w:ascii="Times New Roman;sans-serif" w:hAnsi="Times New Roman;sans-serif"/>
          <w:b/>
          <w:color w:val="000000"/>
          <w:sz w:val="20"/>
        </w:rPr>
      </w:pPr>
      <w:r>
        <w:rPr>
          <w:rFonts w:ascii="Times New Roman;sans-serif" w:hAnsi="Times New Roman;sans-serif"/>
          <w:b/>
          <w:color w:val="000000"/>
          <w:sz w:val="20"/>
        </w:rPr>
        <w:t>LHM SFL, LLC</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5" name="Frame15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First Supplemental Indenture</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Signature Page to First Supplemental Indenture</w:t>
                      </w: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SFO,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SSLE,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SPO HOLDINGS,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 SPOKANE,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TCJ,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TDR,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TSD,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TVW,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UCN,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UCO,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UCS,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INTERMEDIATE HOLDINGS I, LLC</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LHM AUTO GP HOLDINGS, LLC</w: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232"/>
        <w:gridCol w:w="205"/>
        <w:gridCol w:w="208"/>
        <w:gridCol w:w="892"/>
        <w:gridCol w:w="892"/>
        <w:gridCol w:w="127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5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spacing w:before="0" w:after="0"/>
        <w:ind w:left="0" w:right="0" w:hanging="720"/>
        <w:rPr/>
      </w:pPr>
      <w:r>
        <w:rPr/>
      </w:r>
    </w:p>
    <w:p>
      <w:pPr>
        <w:pStyle w:val="TextBody"/>
        <w:spacing w:before="0" w:after="0"/>
        <w:ind w:left="0" w:right="0" w:hanging="72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U.S. BANK NATIONAL ASSOCIATION</w:t>
      </w:r>
    </w:p>
    <w:p>
      <w:pPr>
        <w:pStyle w:val="TextBody"/>
        <w:spacing w:before="0" w:after="0"/>
        <w:rPr/>
      </w:pPr>
      <w:r>
        <w:rPr/>
      </w:r>
    </w:p>
    <w:p>
      <w:pPr>
        <w:pStyle w:val="TextBody"/>
        <w:spacing w:before="0" w:after="0"/>
        <w:rPr/>
      </w:pPr>
      <w:r>
        <w:rPr/>
      </w:r>
    </w:p>
    <w:tbl>
      <w:tblPr>
        <w:tblW w:w="2235" w:type="dxa"/>
        <w:jc w:val="left"/>
        <w:tblInd w:w="0" w:type="dxa"/>
        <w:tblCellMar>
          <w:top w:w="28" w:type="dxa"/>
          <w:left w:w="28" w:type="dxa"/>
          <w:bottom w:w="28" w:type="dxa"/>
          <w:right w:w="28" w:type="dxa"/>
        </w:tblCellMar>
      </w:tblPr>
      <w:tblGrid>
        <w:gridCol w:w="232"/>
        <w:gridCol w:w="205"/>
        <w:gridCol w:w="208"/>
        <w:gridCol w:w="465"/>
        <w:gridCol w:w="465"/>
        <w:gridCol w:w="660"/>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Stephanie Cox</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59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spacing w:before="0" w:after="0"/>
        <w:rPr/>
      </w:pPr>
      <w:r>
        <w:rPr/>
      </w:r>
    </w:p>
    <w:p>
      <w:pPr>
        <w:pStyle w:val="TextBody"/>
        <w:spacing w:before="0" w:after="20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spacing w:before="0" w:after="0"/>
        <w:ind w:left="0" w:right="0" w:hanging="720"/>
        <w:rPr/>
      </w:pPr>
      <w:r>
        <w:rPr/>
      </w:r>
    </w:p>
    <w:tbl>
      <w:tblPr>
        <w:tblW w:w="3809" w:type="dxa"/>
        <w:jc w:val="left"/>
        <w:tblInd w:w="0" w:type="dxa"/>
        <w:tblCellMar>
          <w:top w:w="28" w:type="dxa"/>
          <w:left w:w="28" w:type="dxa"/>
          <w:bottom w:w="28" w:type="dxa"/>
          <w:right w:w="28" w:type="dxa"/>
        </w:tblCellMar>
      </w:tblPr>
      <w:tblGrid>
        <w:gridCol w:w="1217"/>
        <w:gridCol w:w="1070"/>
        <w:gridCol w:w="1522"/>
      </w:tblGrid>
      <w:tr>
        <w:trPr/>
        <w:tc>
          <w:tcPr>
            <w:tcW w:w="12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Aurora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Chev,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Toy,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JLR,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Por,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Longmont Hund,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AMT,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AVW,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Company – Bountiful,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BSU,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BUC,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CSCO,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CHV,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CTO,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DDR,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FLT,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LCJ,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LEX,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LFO,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GC,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LIT,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LMD,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Osborn/Miller Automotive,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Management, Ltd.</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MFD,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MNI,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MUR,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NHR,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OCC,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PCD,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PCH,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PFL,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PNX, LLC</w:t>
            </w:r>
          </w:p>
        </w:tc>
      </w:tr>
      <w:tr>
        <w:trPr/>
        <w:tc>
          <w:tcPr>
            <w:tcW w:w="380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QCH, LLC</w:t>
            </w:r>
          </w:p>
        </w:tc>
      </w:tr>
      <w:tr>
        <w:trPr/>
        <w:tc>
          <w:tcPr>
            <w:tcW w:w="380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QCJ, LLC</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479" w:type="dxa"/>
        <w:jc w:val="left"/>
        <w:tblInd w:w="0" w:type="dxa"/>
        <w:tblCellMar>
          <w:top w:w="28" w:type="dxa"/>
          <w:left w:w="28" w:type="dxa"/>
          <w:bottom w:w="28" w:type="dxa"/>
          <w:right w:w="28" w:type="dxa"/>
        </w:tblCellMar>
      </w:tblPr>
      <w:tblGrid>
        <w:gridCol w:w="1113"/>
        <w:gridCol w:w="977"/>
        <w:gridCol w:w="1389"/>
      </w:tblGrid>
      <w:tr>
        <w:trPr/>
        <w:tc>
          <w:tcPr>
            <w:tcW w:w="111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RCD,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SAX,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SFL,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SSLE,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SPO Holdings,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 Spokane,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TCJ,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TDR,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TSD,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TVW,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UCN,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UCO,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UCS, LLC</w:t>
            </w:r>
          </w:p>
        </w:tc>
      </w:tr>
      <w:tr>
        <w:trPr/>
        <w:tc>
          <w:tcPr>
            <w:tcW w:w="3479"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 LLC</w:t>
            </w:r>
          </w:p>
        </w:tc>
      </w:tr>
      <w:tr>
        <w:trPr/>
        <w:tc>
          <w:tcPr>
            <w:tcW w:w="3479"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GP Holdings, LLC</w:t>
            </w:r>
          </w:p>
        </w:tc>
      </w:tr>
    </w:tbl>
    <w:p>
      <w:pPr>
        <w:pStyle w:val="TextBody"/>
        <w:spacing w:before="0" w:after="0"/>
        <w:ind w:left="0" w:right="0" w:hanging="720"/>
        <w:rPr/>
      </w:pPr>
      <w:r>
        <w:rPr/>
      </w:r>
    </w:p>
    <w:p>
      <w:pPr>
        <w:pStyle w:val="TextBody"/>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
        <w:ind w:left="0" w:right="0" w:firstLine="7"/>
        <w:jc w:val="right"/>
        <w:rPr>
          <w:rFonts w:ascii="Times New Roman;sans-serif" w:hAnsi="Times New Roman;sans-serif"/>
          <w:b/>
          <w:color w:val="000000"/>
          <w:sz w:val="20"/>
        </w:rPr>
      </w:pPr>
      <w:r>
        <w:rPr>
          <w:rFonts w:ascii="Times New Roman;sans-serif" w:hAnsi="Times New Roman;sans-serif"/>
          <w:b/>
          <w:color w:val="000000"/>
          <w:sz w:val="20"/>
        </w:rPr>
        <w:t>Exhibit 10.28</w:t>
      </w:r>
    </w:p>
    <w:p>
      <w:pPr>
        <w:pStyle w:val="TextBody"/>
        <w:spacing w:before="0" w:after="2"/>
        <w:ind w:left="0" w:right="0" w:firstLine="7"/>
        <w:jc w:val="both"/>
        <w:rPr/>
      </w:pPr>
      <w:r>
        <w:rPr/>
      </w:r>
    </w:p>
    <w:tbl>
      <w:tblPr>
        <w:tblW w:w="5999" w:type="dxa"/>
        <w:jc w:val="left"/>
        <w:tblInd w:w="0" w:type="dxa"/>
        <w:tblCellMar>
          <w:top w:w="28" w:type="dxa"/>
          <w:left w:w="28" w:type="dxa"/>
          <w:bottom w:w="28" w:type="dxa"/>
          <w:right w:w="28" w:type="dxa"/>
        </w:tblCellMar>
      </w:tblPr>
      <w:tblGrid>
        <w:gridCol w:w="1920"/>
        <w:gridCol w:w="1689"/>
        <w:gridCol w:w="2390"/>
      </w:tblGrid>
      <w:tr>
        <w:trPr/>
        <w:tc>
          <w:tcPr>
            <w:tcW w:w="1920"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r>
      <w:tr>
        <w:trPr/>
        <w:tc>
          <w:tcPr>
            <w:tcW w:w="5999" w:type="dxa"/>
            <w:gridSpan w:val="3"/>
            <w:tcBorders>
              <w:top w:val="double" w:sz="18" w:space="0" w:color="000000"/>
              <w:bottom w:val="double" w:sz="18" w:space="0" w:color="000000"/>
            </w:tcBorders>
            <w:shd w:fill="auto" w:val="clear"/>
            <w:tcMar>
              <w:top w:w="30" w:type="dxa"/>
              <w:left w:w="0" w:type="dxa"/>
              <w:bottom w:w="30" w:type="dxa"/>
              <w:right w:w="0" w:type="dxa"/>
            </w:tcMar>
            <w:vAlign w:val="center"/>
          </w:tcPr>
          <w:p>
            <w:pPr>
              <w:pStyle w:val="TableContents"/>
              <w:spacing w:lineRule="auto" w:line="240" w:before="240" w:after="240"/>
              <w:jc w:val="left"/>
              <w:rPr>
                <w:color w:val="000000"/>
              </w:rPr>
            </w:pPr>
            <w:r>
              <w:rPr>
                <w:color w:val="000000"/>
              </w:rPr>
              <w:t>        </w:t>
            </w:r>
          </w:p>
          <w:p>
            <w:pPr>
              <w:pStyle w:val="TableContents"/>
              <w:spacing w:before="0" w:after="0"/>
              <w:jc w:val="center"/>
              <w:rPr/>
            </w:pPr>
            <w:r>
              <w:rPr/>
            </w:r>
          </w:p>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THIRD AMENDED AND RESTATED </w:t>
            </w:r>
          </w:p>
          <w:p>
            <w:pPr>
              <w:pStyle w:val="TableContents"/>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ableContents"/>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September 25, 2019</w:t>
            </w:r>
          </w:p>
          <w:p>
            <w:pPr>
              <w:pStyle w:val="TableContents"/>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ASBURY AUTOMOTIVE GROUP, INC.,</w:t>
            </w:r>
          </w:p>
          <w:p>
            <w:pPr>
              <w:pStyle w:val="TableContents"/>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a Borrower,</w:t>
            </w:r>
          </w:p>
          <w:p>
            <w:pPr>
              <w:pStyle w:val="TableContents"/>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CERTAIN OF ITS SUBSIDIARIES,</w:t>
            </w:r>
          </w:p>
          <w:p>
            <w:pPr>
              <w:pStyle w:val="TableContents"/>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Vehicle Borrowers</w:t>
            </w:r>
          </w:p>
          <w:p>
            <w:pPr>
              <w:pStyle w:val="TableContents"/>
              <w:spacing w:lineRule="auto" w:line="240" w:before="0" w:after="0"/>
              <w:jc w:val="center"/>
              <w:rPr/>
            </w:pPr>
            <w:r>
              <w:rPr>
                <w:rFonts w:ascii="Times New Roman;sans-serif" w:hAnsi="Times New Roman;sans-serif"/>
                <w:b/>
                <w:color w:val="000000"/>
                <w:sz w:val="22"/>
              </w:rPr>
              <w:t>BANK OF AMERICA, N.A.,</w:t>
            </w:r>
            <w:r>
              <w:rPr>
                <w:rFonts w:ascii="Times New Roman;sans-serif" w:hAnsi="Times New Roman;sans-serif"/>
                <w:b w:val="false"/>
                <w:color w:val="000000"/>
                <w:sz w:val="22"/>
              </w:rPr>
              <w:br/>
              <w:t xml:space="preserve">as Administrative Agent, Revolving Swing Line Lender, </w:t>
            </w:r>
          </w:p>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New Vehicle Floorplan Swing Line Lender, </w:t>
            </w:r>
          </w:p>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Used Vehicle Floorplan Swing Line Lender and an L/C Issuer,</w:t>
            </w:r>
          </w:p>
          <w:p>
            <w:pPr>
              <w:pStyle w:val="TableContents"/>
              <w:spacing w:before="0" w:after="0"/>
              <w:jc w:val="center"/>
              <w:rPr/>
            </w:pPr>
            <w:r>
              <w:rPr/>
            </w:r>
          </w:p>
          <w:p>
            <w:pPr>
              <w:pStyle w:val="TableContents"/>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THE OTHER LENDERS PARTY HERETO</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JPMORGAN CHASE BANK, N.A.</w:t>
            </w:r>
          </w:p>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lineRule="auto" w:line="240" w:before="0" w:after="240"/>
              <w:jc w:val="center"/>
              <w:rPr/>
            </w:pPr>
            <w:r>
              <w:rPr>
                <w:rFonts w:ascii="Times New Roman;sans-serif" w:hAnsi="Times New Roman;sans-serif"/>
                <w:b/>
                <w:color w:val="000000"/>
                <w:sz w:val="22"/>
              </w:rPr>
              <w:t>WELLS FARGO BANK, N.A.</w:t>
            </w:r>
            <w:r>
              <w:rPr>
                <w:rFonts w:ascii="Times New Roman;sans-serif" w:hAnsi="Times New Roman;sans-serif"/>
                <w:b w:val="false"/>
                <w:color w:val="000000"/>
                <w:sz w:val="22"/>
              </w:rPr>
              <w:t>,</w:t>
              <w:br/>
              <w:t>as Co-Syndication Agents</w:t>
            </w:r>
          </w:p>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TOYOTA MOTOR CREDIT CORPORATION</w:t>
            </w:r>
          </w:p>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lineRule="auto" w:line="240" w:before="0" w:after="0"/>
              <w:jc w:val="center"/>
              <w:rPr/>
            </w:pPr>
            <w:r>
              <w:rPr>
                <w:rFonts w:ascii="Times New Roman;sans-serif" w:hAnsi="Times New Roman;sans-serif"/>
                <w:b/>
                <w:color w:val="000000"/>
                <w:sz w:val="22"/>
              </w:rPr>
              <w:t>MERCEDES-BENZ FINANCIAL SERVICES USA LLC</w:t>
            </w:r>
            <w:r>
              <w:rPr>
                <w:rFonts w:ascii="Times New Roman;sans-serif" w:hAnsi="Times New Roman;sans-serif"/>
                <w:b w:val="false"/>
                <w:color w:val="000000"/>
                <w:sz w:val="22"/>
              </w:rPr>
              <w:t>,</w:t>
            </w:r>
          </w:p>
          <w:p>
            <w:pPr>
              <w:pStyle w:val="TableContents"/>
              <w:spacing w:lineRule="auto" w:line="240" w:before="0" w:after="0"/>
              <w:jc w:val="center"/>
              <w:rPr/>
            </w:pPr>
            <w:r>
              <w:rPr>
                <w:rFonts w:ascii="Times New Roman;sans-serif" w:hAnsi="Times New Roman;sans-serif"/>
                <w:b w:val="false"/>
                <w:color w:val="000000"/>
                <w:sz w:val="22"/>
              </w:rPr>
              <w:t>as Co-Documentation Agents</w:t>
            </w:r>
            <w:r>
              <w:rPr>
                <w:color w:val="000000"/>
              </w:rPr>
              <w:t xml:space="preserve"> </w:t>
            </w:r>
          </w:p>
          <w:p>
            <w:pPr>
              <w:pStyle w:val="TableContents"/>
              <w:spacing w:lineRule="auto" w:line="240" w:before="240" w:after="480"/>
              <w:jc w:val="center"/>
              <w:rPr>
                <w:color w:val="000000"/>
                <w:u w:val="single"/>
              </w:rPr>
            </w:pPr>
            <w:r>
              <w:rPr>
                <w:color w:val="000000"/>
                <w:u w:val="single"/>
              </w:rPr>
              <w:t>            </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BOFA SECURITIES, INC.,</w:t>
            </w:r>
          </w:p>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Sole Lead Arranger and Sole Bookrunner</w:t>
            </w:r>
          </w:p>
          <w:p>
            <w:pPr>
              <w:pStyle w:val="TableContents"/>
              <w:spacing w:before="0" w:after="0"/>
              <w:jc w:val="center"/>
              <w:rPr/>
            </w:pPr>
            <w:r>
              <w:rPr/>
            </w:r>
          </w:p>
        </w:tc>
      </w:tr>
    </w:tbl>
    <w:p>
      <w:pPr>
        <w:pStyle w:val="TextBody"/>
        <w:spacing w:before="0" w:after="240"/>
        <w:ind w:left="0" w:right="0" w:firstLine="7"/>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ind w:left="0" w:right="0" w:firstLine="7"/>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2"/>
                        <w:ind w:left="0" w:right="0" w:firstLine="7"/>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before="0" w:after="0"/>
        <w:jc w:val="center"/>
        <w:rPr/>
      </w:pPr>
      <w:r>
        <w:rPr/>
      </w:r>
    </w:p>
    <w:p>
      <w:pPr>
        <w:pStyle w:val="TextBody"/>
        <w:spacing w:lineRule="auto" w:line="240" w:before="0" w:after="12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I.    DEFINITIONS AND ACCOUNTING TERMS    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    Assignments and Allocations; Amendment and Restatement    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1.02    Defined Terms    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1.03    Other Interpretive Provisions    55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1.04    Accounting Terms    56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1.05    Times of Day    58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1.06    Interest Rates    58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1.07    Letter of Credit Amounts    58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1.08    Limited Condition Acquisition    58</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II.    THE COMMITMENTS AND CREDIT EXTENSIONS    60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2.01    Revolving Committed Loans    60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2.02    Borrowings, Conversions and Continuations of Revolving Committed Loans    60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2.03    Letters of Credit    61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2.04    Revolving Swing Line Loans    70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2.05    New Vehicle Floorplan Committed Loans    75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2.06    Borrowings, Conversions and Continuations of New Vehicle Floorplan Committed Loans    75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2.07    New Vehicle Floorplan Swing Line Loan    76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2.08    New Vehicle Floorplan Overdrafts    82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2.09    Electronic Processing    83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2.10    Used Vehicle Floorplan Committed Loans    84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2.11    Borrowings, Conversions and Continuations of Used Vehicle Floorplan Committed Loans    84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2.12    Used Vehicle Floorplan Swing Line Loans    85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2.13    Prepayments    90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2.14    Termination, Reduction or Conversion of Commitments    92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2.15    Repayment of Loans    94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2.16    Interest    97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2.17    Fees    98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2.18    Computation of Interest and Fees; Retroactive Adjustments of Applicable Rate    99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2.19    Evidence of Debt    99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2.20    Payments Generally; Administrative Agent’s Clawback    100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2.21    Sharing of Payments by Lenders    102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2.22    Increase in Commitments    103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2.23    Extension of Maturity Date    104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2.24    New Vehicle Borrowers    106</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(continued)    </w:t>
      </w:r>
    </w:p>
    <w:p>
      <w:pPr>
        <w:pStyle w:val="TextBody"/>
        <w:spacing w:lineRule="auto" w:line="240" w:before="0" w:after="12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2.25    Used Vehicle Borrowers    108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2.26    Cash Collateral    110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2.27    Defaulting Lenders    111</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III.    TAXES, YIELD PROTECTION AND ILLEGALITY    113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3.01    Taxes    113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3.02    Illegality    118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3.03    Inability to Determine Rates    119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3.04    Increased Costs    121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3.05    Mitigation Obligations; Replacement of Lenders    123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3.06    Survival    124</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IV.    CONDITIONS PRECEDENT TO CREDIT EXTENSIONS    124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4.01    Conditions of Initial Credit Extension    124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4.02    Conditions to all Credit Extensions other than New Vehicle Floorplan Swing Line Borrowings pursuant to a Payment Commitment, a Payoff Letter Commitment or the Floorplan On-Line System    128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4.03    Conditions to all New Vehicle Floorplan Swing Line Borrowings pursuant to a Payment Commitment, a Payoff Letter Commitment or the Floorplan On-Line System    129</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V.    REPRESENTATIONS AND WARRANTIES    129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5.01    Existence, Qualification and Power    129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5.02    Authorization; No Contravention    129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5.03    Governmental Authorization; Other Consents    130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5.04    Binding Effect    130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5.05    Financial Statements; No Material Adverse Effect    130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5.06    Litigation    130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5.07    No Default    130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5.08    Ownership of Property; Liens    130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5.09    Environmental Compliance    131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5.10    Insurance    131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5.11    Taxes    131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5.12    ERISA Compliance    131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5.13    Subsidiaries; Addresses; Equity Interests    132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5.14    Margin Regulations; Investment Company Act    132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5.15    Disclosure    132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5.16    Compliance with Laws    133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5.17    Intellectual Property; Licenses, Etc    133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5.18    Location of Vehicles and Books and Records    133</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(continued)    </w:t>
      </w:r>
    </w:p>
    <w:p>
      <w:pPr>
        <w:pStyle w:val="TextBody"/>
        <w:spacing w:lineRule="auto" w:line="240" w:before="0" w:after="12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5.19    Franchise Agreements and Framework Agreements    133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5.20    Engaged in Business of Vehicle Sales and Related Businesses    134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5.21    Collateral    134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5.22    Solvency    134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5.23    Labor Matters    134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5.24    Taxpayer Identification Number    134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5.25    OFAC    134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5.26    Anti-Corruption Laws    134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5.27    Affected Financial Institutions    134</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VI.    AFFIRMATIVE COVENANTS    135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6.01    Financial Statements    135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6.02    Certificates; Other Information    137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6.03    Notices    140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6.04    Payment of Obligations    141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6.05    Preservation of Existence, Etc.; Maintenance of Vehicle Title Documentation    141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6.06    Maintenance of Properties    141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6.07    Maintenance of Insurance    141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6.08    Compliance with Laws and Material Contractual Obligations    142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6.09    Books and Records    142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6.10    Inspection Rights    142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6.11    Use of Proceeds    143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6.12    Floorplan Audits    143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6.13    Location of Vehicles    144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6.14    Additional Subsidiaries    144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6.15    Further Assurances    145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6.16    Landlord Waivers    145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6.17    Demonstrator, Rental Vehicle or Other Mileaged New Vehicle    146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6.18    Anti-Corruption Laws    146</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VII.    NEGATIVE COVENANTS    146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7.01    Indebtedness    146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7.02    Liens    148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7.03    Consolidations and Mergers    150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7.04    Disposition of Assets    150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7.05    Investments    152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7.06    Transactions with Affiliates    153</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(continued)    </w:t>
      </w:r>
    </w:p>
    <w:p>
      <w:pPr>
        <w:pStyle w:val="TextBody"/>
        <w:spacing w:lineRule="auto" w:line="240" w:before="0" w:after="12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7.07    Other Agreements    153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7.08    Fiscal Year; Accounting    153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7.09    Pension Plans    153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7.10    Restricted Payments and Distributions    154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7.11    Financial Covenants    155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7.12    Change in Nature of Business    155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7.13    Use of Proceeds    155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7.14    Burdensome Agreements    155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7.15    Amendments of Certain Indebtedness    156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7.16    Prepayments, etc    156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7.17    Excluded Collateral    157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7.18    Perfection of Deposit Accounts    157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7.19    Acquisitions    157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7.20    Amendments of Organizational Documents    158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7.21    Sanctions    158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7.22    Anti-Corruption Laws    158</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VIII.    EVENTS OF DEFAULT AND REMEDIES    158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8.01    Revolving/Used Vehicle Events of Default    158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8.02    Remedies Upon Revolving/Used Vehicle Event of Default    161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8.03    New Vehicle Events of Default    162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8.04    Remedies Upon New Vehicle Event of Default    165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8.05    Overdrawing of New Vehicle Floorplan Loans    166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8.06    Application of Funds    167</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IX.    ADMINISTRATIVE AGENT    169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9.01    Appointment and Authority    169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9.02    Rights as a Lender    169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9.03    Exculpatory Provisions    169</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9.04    Reliance by Administrative Agent    170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9.05    Delegation of Duties    170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9.06    Resignation of Administrative Agent    171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9.07    Non-Reliance on Administrative Agent and Other Lenders    173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9.08    No Other Duties, Etc    173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9.09    Administrative Agent May File Proofs of Claim; Credit Bidding    173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9.10    Collateral and Guaranty Matters    174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9.11    Secured Cash Management Arrangements and Secured Hedge Agreements    175</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(continued)    </w:t>
      </w:r>
    </w:p>
    <w:p>
      <w:pPr>
        <w:pStyle w:val="TextBody"/>
        <w:spacing w:lineRule="auto" w:line="240" w:before="0" w:after="12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9.12    Certain ERISA Matters    175</w:t>
      </w:r>
    </w:p>
    <w:p>
      <w:pPr>
        <w:pStyle w:val="TextBody"/>
        <w:spacing w:lineRule="auto" w:line="240" w:before="0" w:after="120"/>
        <w:ind w:left="0" w:right="0" w:hanging="1800"/>
        <w:rPr>
          <w:rFonts w:ascii="Times New Roman;sans-serif" w:hAnsi="Times New Roman;sans-serif"/>
          <w:b w:val="false"/>
          <w:color w:val="000000"/>
          <w:sz w:val="22"/>
        </w:rPr>
      </w:pPr>
      <w:r>
        <w:rPr>
          <w:rFonts w:ascii="Times New Roman;sans-serif" w:hAnsi="Times New Roman;sans-serif"/>
          <w:b w:val="false"/>
          <w:color w:val="000000"/>
          <w:sz w:val="22"/>
        </w:rPr>
        <w:t>ARTICLE X.    MISCELLANEOUS    177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10.01    Amendments, Etc    177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10.02    Notices; Effectiveness; Electronic Communication    178</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10.03    No Waiver; Cumulative Remedies; Enforcement    181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10.04    Expenses; Indemnity; Damage Waiver    181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10.05    Payments Set Aside    184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10.06    Successors and Assigns    184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10.07    Treatment of Certain Information; Confidentiality    190</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10.08    Right of Setoff    191</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10.09    Interest Rate Limitation    192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10.10    Counterparts; Integration; Effectiveness    192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10.11    Survival of Representations and Warranties    192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10.12    Severability    192</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10.13    Replacement of Lenders    193</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10.14    Governing Law; Jurisdiction; Etc    194</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10.15    Waiver of Jury Trial    195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10.16    No Advisory or Fiduciary Responsibility    195</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10.17    Electronic Execution of Assignments and Certain Other Documents    196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10.18    USA PATRIOT Act    196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10.19    Designated Senior Debt    196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10.20    Keepwell    196</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10.21    Acknowledgement and Consent to Bail-In of EEA Financial Institutions    197</w:t>
      </w:r>
    </w:p>
    <w:p>
      <w:pPr>
        <w:pStyle w:val="TextBody"/>
        <w:spacing w:lineRule="auto" w:line="240" w:before="0" w:after="12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10.22    Acknowledgement Regarding Any Supported QFCs    197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txbxContent>
                </v:textbox>
              </v:rect>
            </w:pict>
          </mc:Fallback>
        </mc:AlternateContent>
      </w:r>
    </w:p>
    <w:p>
      <w:pPr>
        <w:pStyle w:val="TextBody"/>
        <w:spacing w:lineRule="auto" w:line="240"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SCHEDULES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1.02(P)    Permitted Real Estate Debt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2.01    Commitments and Applicable Percentages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2.03    Existing Letters of Credit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4.01     Good Standing Jurisdictions and Foreign Qualifications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5.06    Litigation</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5.12(d)    Pension Plan Liability</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5.13    Subsidiaries; Addresses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5.18     Location of Vehicles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5.19    Franchise and Framework Agreements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7.01(b)    Existing Indebtedness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7.02    Permitted Liens</w:t>
      </w:r>
    </w:p>
    <w:p>
      <w:pPr>
        <w:pStyle w:val="TextBody"/>
        <w:spacing w:lineRule="auto" w:line="240" w:before="0" w:after="720"/>
        <w:jc w:val="both"/>
        <w:rPr>
          <w:rFonts w:ascii="Times New Roman;sans-serif" w:hAnsi="Times New Roman;sans-serif"/>
          <w:b w:val="false"/>
          <w:color w:val="000000"/>
          <w:sz w:val="22"/>
        </w:rPr>
      </w:pPr>
      <w:r>
        <w:rPr>
          <w:rFonts w:ascii="Times New Roman;sans-serif" w:hAnsi="Times New Roman;sans-serif"/>
          <w:b w:val="false"/>
          <w:color w:val="000000"/>
          <w:sz w:val="22"/>
        </w:rPr>
        <w:t>Schedule 10.02    Administrative Agent’s Office; Certain Addresses for Notices</w:t>
      </w:r>
    </w:p>
    <w:p>
      <w:pPr>
        <w:pStyle w:val="TextBody"/>
        <w:spacing w:lineRule="auto" w:line="240" w:before="0" w:after="240"/>
        <w:jc w:val="both"/>
        <w:rPr/>
      </w:pPr>
      <w:r>
        <w:rPr>
          <w:rFonts w:ascii="Times New Roman;sans-serif" w:hAnsi="Times New Roman;sans-serif"/>
          <w:b/>
          <w:color w:val="000000"/>
          <w:sz w:val="22"/>
          <w:u w:val="single"/>
        </w:rPr>
        <w:t>EXHIBITS</w:t>
      </w:r>
      <w:r>
        <w:rPr>
          <w:color w:val="000000"/>
        </w:rPr>
        <w:t>    </w:t>
      </w:r>
      <w:r>
        <w:rPr>
          <w:rFonts w:ascii="Times New Roman;sans-serif" w:hAnsi="Times New Roman;sans-serif"/>
          <w:b w:val="false"/>
          <w:i/>
          <w:color w:val="000000"/>
          <w:sz w:val="22"/>
        </w:rPr>
        <w:t>Form of</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A-1    New Vehicle Floorplan Committed Loan Notice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A-2    Revolving Committed Loan Notice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A-3    Used Vehicle Floorplan Committed Loan Notice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B-1    New Vehicle Floorplan Swing Line Loan Notice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B-2    Revolving Swing Line Loan Notice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B-3    Used Vehicle Floorplan Swing Line Loan Notice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C-1    Revolving Note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C-2    New Vehicle Floorplan Note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C-3    Used Vehicle Floorplan Note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D    Assignment and Assumption</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E    Company Guaranty</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F    Subsidiary Guaranty</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G    Compliance Certificate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H    Joinder Agreement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I     Escrow and Security Agreement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J-1    Revolving Borrowing Base Certificate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J-2    Used Vehicle Floorplan Borrowing Base Certificate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K    Security Agreement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L    Opinion Matters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M    Prepayment Test Amount Certificate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N    Pledge Agreement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O    U.S. Tax Compliance Certificates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P    Conversion Notice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Q    Letter of Credit Report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R    Notice of Loan Prepayment</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02920"/>
                <wp:effectExtent l="0" t="0" r="0" b="0"/>
                <wp:wrapNone/>
                <wp:docPr id="165" name="Frame163"/>
                <a:graphic xmlns:a="http://schemas.openxmlformats.org/drawingml/2006/main">
                  <a:graphicData uri="http://schemas.microsoft.com/office/word/2010/wordprocessingShape">
                    <wps:wsp>
                      <wps:cNvSpPr txBox="1"/>
                      <wps:spPr>
                        <a:xfrm>
                          <a:off x="0" y="0"/>
                          <a:ext cx="6480175" cy="502920"/>
                        </a:xfrm>
                        <a:prstGeom prst="rect"/>
                      </wps:spPr>
                      <wps:txb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THIRD AMENDED AND RESTATED</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This THIRD AMENDED AND RESTATED CREDIT AGREEMENT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September 25, 2019, among ASBURY AUTOMOTIVE GROUP,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certain Subsidiaries of the Company party hereto as New Vehicle Borrowers pursuant to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(each a “</w:t>
      </w:r>
      <w:r>
        <w:rPr>
          <w:rFonts w:ascii="Times New Roman;sans-serif" w:hAnsi="Times New Roman;sans-serif"/>
          <w:b w:val="false"/>
          <w:color w:val="000000"/>
          <w:sz w:val="22"/>
          <w:u w:val="single"/>
        </w:rPr>
        <w:t>New Vehicle Borrower</w:t>
      </w:r>
      <w:r>
        <w:rPr>
          <w:color w:val="000000"/>
        </w:rPr>
        <w:t xml:space="preserve">” </w:t>
      </w:r>
      <w:r>
        <w:rPr>
          <w:rFonts w:ascii="Times New Roman;sans-serif" w:hAnsi="Times New Roman;sans-serif"/>
          <w:b w:val="false"/>
          <w:color w:val="000000"/>
          <w:sz w:val="22"/>
        </w:rPr>
        <w:t>and collectively with the Used Vehicle Borrowers (defined below), the “</w:t>
      </w:r>
      <w:r>
        <w:rPr>
          <w:rFonts w:ascii="Times New Roman;sans-serif" w:hAnsi="Times New Roman;sans-serif"/>
          <w:b w:val="false"/>
          <w:color w:val="000000"/>
          <w:sz w:val="22"/>
          <w:u w:val="single"/>
        </w:rPr>
        <w:t>Vehicle Borrowers</w:t>
      </w:r>
      <w:r>
        <w:rPr>
          <w:color w:val="000000"/>
        </w:rPr>
        <w:t>”</w:t>
      </w:r>
      <w:r>
        <w:rPr>
          <w:rFonts w:ascii="Times New Roman;sans-serif" w:hAnsi="Times New Roman;sans-serif"/>
          <w:b w:val="false"/>
          <w:color w:val="000000"/>
          <w:sz w:val="22"/>
        </w:rPr>
        <w:t xml:space="preserve">), certain Subsidiaries of the Company party hereto as Used Vehicle Borrowers pursuant to </w:t>
      </w:r>
      <w:r>
        <w:rPr>
          <w:rFonts w:ascii="Times New Roman;sans-serif" w:hAnsi="Times New Roman;sans-serif"/>
          <w:b w:val="false"/>
          <w:color w:val="000000"/>
          <w:sz w:val="22"/>
          <w:u w:val="single"/>
        </w:rPr>
        <w:t>Section 2.25</w:t>
      </w:r>
      <w:r>
        <w:rPr>
          <w:color w:val="000000"/>
        </w:rPr>
        <w:t xml:space="preserve"> </w:t>
      </w:r>
      <w:r>
        <w:rPr>
          <w:rFonts w:ascii="Times New Roman;sans-serif" w:hAnsi="Times New Roman;sans-serif"/>
          <w:b w:val="false"/>
          <w:color w:val="000000"/>
          <w:sz w:val="22"/>
        </w:rPr>
        <w:t>(each a “</w:t>
      </w:r>
      <w:r>
        <w:rPr>
          <w:rFonts w:ascii="Times New Roman;sans-serif" w:hAnsi="Times New Roman;sans-serif"/>
          <w:b w:val="false"/>
          <w:color w:val="000000"/>
          <w:sz w:val="22"/>
          <w:u w:val="single"/>
        </w:rPr>
        <w:t>Used Vehicle Borrower</w:t>
      </w:r>
      <w:r>
        <w:rPr>
          <w:color w:val="000000"/>
        </w:rPr>
        <w:t>”</w:t>
      </w:r>
      <w:r>
        <w:rPr>
          <w:rFonts w:ascii="Times New Roman;sans-serif" w:hAnsi="Times New Roman;sans-serif"/>
          <w:b w:val="false"/>
          <w:color w:val="000000"/>
          <w:sz w:val="22"/>
        </w:rPr>
        <w:t>, and collectively with the Company, the “</w:t>
      </w:r>
      <w:r>
        <w:rPr>
          <w:rFonts w:ascii="Times New Roman;sans-serif" w:hAnsi="Times New Roman;sans-serif"/>
          <w:b w:val="false"/>
          <w:color w:val="000000"/>
          <w:sz w:val="22"/>
          <w:u w:val="single"/>
        </w:rPr>
        <w:t>Used Vehicle Borrowers</w:t>
      </w:r>
      <w:r>
        <w:rPr>
          <w:color w:val="000000"/>
        </w:rPr>
        <w:t>”</w:t>
      </w:r>
      <w:r>
        <w:rPr>
          <w:rFonts w:ascii="Times New Roman;sans-serif" w:hAnsi="Times New Roman;sans-serif"/>
          <w:b w:val="false"/>
          <w:color w:val="000000"/>
          <w:sz w:val="22"/>
        </w:rPr>
        <w:t>), each lender from time to time party hereto (collectively, the “</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and individually, a “</w:t>
      </w:r>
      <w:r>
        <w:rPr>
          <w:rFonts w:ascii="Times New Roman;sans-serif" w:hAnsi="Times New Roman;sans-serif"/>
          <w:b w:val="false"/>
          <w:color w:val="000000"/>
          <w:sz w:val="22"/>
          <w:u w:val="single"/>
        </w:rPr>
        <w:t>Lender</w:t>
      </w:r>
      <w:r>
        <w:rPr>
          <w:color w:val="000000"/>
        </w:rPr>
        <w:t>”</w:t>
      </w:r>
      <w:r>
        <w:rPr>
          <w:rFonts w:ascii="Times New Roman;sans-serif" w:hAnsi="Times New Roman;sans-serif"/>
          <w:b w:val="false"/>
          <w:color w:val="000000"/>
          <w:sz w:val="22"/>
        </w:rPr>
        <w:t>), and BANK OF AMERICA, N.A., as Administrative Agent, Revolving Swing Line Lender, New Vehicle Floorplan Swing Line Lender, Used Vehicle Floorplan Swing Line Lender and an L/C Issuer. The Vehicle Borrowers, including the Company in its capacity as Borrower under the Revolving Credit Facility, are referred to collectively as the “</w:t>
      </w:r>
      <w:r>
        <w:rPr>
          <w:rFonts w:ascii="Times New Roman;sans-serif" w:hAnsi="Times New Roman;sans-serif"/>
          <w:b w:val="false"/>
          <w:color w:val="000000"/>
          <w:sz w:val="22"/>
          <w:u w:val="single"/>
        </w:rPr>
        <w:t>Borrowers</w:t>
      </w:r>
      <w:r>
        <w:rPr>
          <w:color w:val="000000"/>
        </w:rPr>
        <w:t xml:space="preserve">” </w:t>
      </w:r>
      <w:r>
        <w:rPr>
          <w:rFonts w:ascii="Times New Roman;sans-serif" w:hAnsi="Times New Roman;sans-serif"/>
          <w:b w:val="false"/>
          <w:color w:val="000000"/>
          <w:sz w:val="22"/>
        </w:rPr>
        <w:t>and individually as a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The Company, certain of the Vehicle Borrowers party thereto (the “</w:t>
      </w:r>
      <w:r>
        <w:rPr>
          <w:rFonts w:ascii="Times New Roman;sans-serif" w:hAnsi="Times New Roman;sans-serif"/>
          <w:b w:val="false"/>
          <w:color w:val="000000"/>
          <w:sz w:val="22"/>
          <w:u w:val="single"/>
        </w:rPr>
        <w:t>Existing Vehicle Borrowers</w:t>
      </w:r>
      <w:r>
        <w:rPr>
          <w:color w:val="000000"/>
        </w:rPr>
        <w:t>”</w:t>
      </w:r>
      <w:r>
        <w:rPr>
          <w:rFonts w:ascii="Times New Roman;sans-serif" w:hAnsi="Times New Roman;sans-serif"/>
          <w:b w:val="false"/>
          <w:color w:val="000000"/>
          <w:sz w:val="22"/>
        </w:rPr>
        <w:t>, and collectively with the Company, the “</w:t>
      </w:r>
      <w:r>
        <w:rPr>
          <w:rFonts w:ascii="Times New Roman;sans-serif" w:hAnsi="Times New Roman;sans-serif"/>
          <w:b w:val="false"/>
          <w:color w:val="000000"/>
          <w:sz w:val="22"/>
          <w:u w:val="single"/>
        </w:rPr>
        <w:t>Existing Borrowers</w:t>
      </w:r>
      <w:r>
        <w:rPr>
          <w:color w:val="000000"/>
        </w:rPr>
        <w:t>”</w:t>
      </w:r>
      <w:r>
        <w:rPr>
          <w:rFonts w:ascii="Times New Roman;sans-serif" w:hAnsi="Times New Roman;sans-serif"/>
          <w:b w:val="false"/>
          <w:color w:val="000000"/>
          <w:sz w:val="22"/>
        </w:rPr>
        <w:t>), the Administrative Agent and the Lenders party thereto entered into that certain Second Amended and Restated Credit Agreement dated as of July 25, 2016 (as amended, supplemented or otherwise modified from time to time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xml:space="preserve">), pursuant to which such Lenders provided the Existing Borrowers with a revolving credit facility, a revolving new vehicle floorplan facility and a revolving used vehicle floorplan facility.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requested that the Lenders amend and restate the Existing Credit Agreement in order to continue to provide a revolving credit facility, a revolving new vehicle floorplan facility and a revolving used vehicle floorplan facility, and the Lenders are willing to do so on the terms and conditions set forth herein.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consideration of the mutual covenants and agreements herein contained, the parties hereto covenant and agree as follows: </w:t>
      </w:r>
    </w:p>
    <w:p>
      <w:pPr>
        <w:pStyle w:val="TextBody"/>
        <w:spacing w:lineRule="auto" w:line="240" w:before="0" w:after="240"/>
        <w:jc w:val="center"/>
        <w:rPr/>
      </w:pPr>
      <w:r>
        <w:rPr>
          <w:rFonts w:ascii="Times New Roman;sans-serif" w:hAnsi="Times New Roman;sans-serif"/>
          <w:b/>
          <w:color w:val="000000"/>
          <w:sz w:val="22"/>
        </w:rPr>
        <w:t>ARTICLE I.</w:t>
      </w:r>
      <w:r>
        <w:rPr>
          <w:color w:val="000000"/>
        </w:rPr>
        <w:t xml:space="preserve"> </w:t>
      </w:r>
      <w:r>
        <w:rPr>
          <w:rFonts w:ascii="Times New Roman;sans-serif" w:hAnsi="Times New Roman;sans-serif"/>
          <w:b/>
          <w:color w:val="000000"/>
          <w:sz w:val="22"/>
        </w:rPr>
        <w:t>DEFINITIONS AND ACCOUNTING TERMS</w:t>
      </w:r>
    </w:p>
    <w:p>
      <w:pPr>
        <w:pStyle w:val="TextBody"/>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rPr>
        <w:t>Assignments and Allocations; Amendment and Restatement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Simultaneously with the Closing Date, the parties hereby agree that (i) the initial Revolving Commitments are $250,000,000, the initial Revolving Commitment of each of the Revolving Lenders hereunder shall be as set forth in </w:t>
      </w:r>
      <w:r>
        <w:rPr>
          <w:rFonts w:ascii="Times New Roman;sans-serif" w:hAnsi="Times New Roman;sans-serif"/>
          <w:b w:val="false"/>
          <w:color w:val="000000"/>
          <w:sz w:val="22"/>
          <w:u w:val="single"/>
        </w:rPr>
        <w:t>Schedule 2.01</w:t>
      </w:r>
      <w:r>
        <w:rPr>
          <w:rFonts w:ascii="Times New Roman;sans-serif" w:hAnsi="Times New Roman;sans-serif"/>
          <w:b w:val="false"/>
          <w:color w:val="000000"/>
          <w:sz w:val="22"/>
        </w:rPr>
        <w:t>, the outstanding amount of the Revolving Loans (as defined in and</w:t>
      </w:r>
      <w:r>
        <w:rPr>
          <w:color w:val="000000"/>
        </w:rPr>
        <w:t xml:space="preserve"> </w:t>
      </w:r>
      <w:r>
        <w:rPr>
          <w:rFonts w:ascii="Times New Roman;sans-serif" w:hAnsi="Times New Roman;sans-serif"/>
          <w:b w:val="false"/>
          <w:color w:val="000000"/>
          <w:sz w:val="22"/>
        </w:rPr>
        <w:t>under the Existing Credit Agreement, without giving effect to any Revolving Borrowings of Revolving Loans under this Agreement on the Closing Date, but after giving effect to any repayment or reduction thereof with the proceeds of any applicable sources) shall be reallocated in accordance with such Revolving Commitments and the requisite assignments shall be deemed to be made in such amounts by and between the Revolving Lenders and from each Revolving Lender</w:t>
      </w:r>
      <w:r>
        <w:rPr>
          <w:color w:val="000000"/>
        </w:rPr>
        <w:t xml:space="preserve"> </w:t>
      </w:r>
      <w:r>
        <w:rPr>
          <w:rFonts w:ascii="Times New Roman;sans-serif" w:hAnsi="Times New Roman;sans-serif"/>
          <w:b w:val="false"/>
          <w:color w:val="000000"/>
          <w:sz w:val="22"/>
        </w:rPr>
        <w:t xml:space="preserve">to each other Revolving Lender (including from Revolving Lenders who increase or reduce their Revolving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no other documents or instruments, shall be, or shall be required to be, executed in connection with such assignments (all of which requirements are hereby waived) (ii) the initial New Vehicle Floorplan Commitments are $1,040,000,000, the initial New Vehicle Floorplan Commitment of each of the New Vehicle Floorplan Lenders hereunder shall be as set forth in </w:t>
      </w:r>
      <w:r>
        <w:rPr>
          <w:rFonts w:ascii="Times New Roman;sans-serif" w:hAnsi="Times New Roman;sans-serif"/>
          <w:b w:val="false"/>
          <w:color w:val="000000"/>
          <w:sz w:val="22"/>
          <w:u w:val="single"/>
        </w:rPr>
        <w:t>Schedule 2.01</w:t>
      </w:r>
      <w:r>
        <w:rPr>
          <w:rFonts w:ascii="Times New Roman;sans-serif" w:hAnsi="Times New Roman;sans-serif"/>
          <w:b w:val="false"/>
          <w:color w:val="000000"/>
          <w:sz w:val="22"/>
        </w:rPr>
        <w:t>, the outstanding amount of the New Vehicle Floorplan Loans (as defined in and</w:t>
      </w:r>
      <w:r>
        <w:rPr>
          <w:color w:val="000000"/>
        </w:rPr>
        <w:t xml:space="preserve"> </w:t>
      </w:r>
      <w:r>
        <w:rPr>
          <w:rFonts w:ascii="Times New Roman;sans-serif" w:hAnsi="Times New Roman;sans-serif"/>
          <w:b w:val="false"/>
          <w:color w:val="000000"/>
          <w:sz w:val="22"/>
        </w:rPr>
        <w:t>under the Existing Credit Agreement, without giving effect to any New Vehicle Floorplan Borrowings of New Vehicle Floorplan Loans under this Agreement on the Closing Date, but after giving effect to any repayment or reduction thereof with the proceeds of any applicable sources) shall be reallocated in accordance with such New Vehicle Floorplan Commitments and the requisite assignments shall be deemed to be made in such amounts by and between the New Vehicle Floorplan Lenders and from each New Vehicle Floorplan Lender</w:t>
      </w:r>
      <w:r>
        <w:rPr>
          <w:color w:val="000000"/>
        </w:rPr>
        <w:t xml:space="preserve"> </w:t>
      </w:r>
      <w:r>
        <w:rPr>
          <w:rFonts w:ascii="Times New Roman;sans-serif" w:hAnsi="Times New Roman;sans-serif"/>
          <w:b w:val="false"/>
          <w:color w:val="000000"/>
          <w:sz w:val="22"/>
        </w:rPr>
        <w:t xml:space="preserve">to each other New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Vehicle Floorplan Lender (including from New Vehicle Floorplan Lenders who increase or reduce their New Vehicle Floorplan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no other documents or instruments, shall be, or shall be required to be, executed in connection with such assignments (all of which requirements are hereby waived), (iii) the initial Used Vehicle Floorplan Commitments are $160,000,000, the initial Used Vehicle Floorplan Commitment of each of the Used Vehicle Floorplan Lenders hereunder shall be as set forth in </w:t>
      </w:r>
      <w:r>
        <w:rPr>
          <w:rFonts w:ascii="Times New Roman;sans-serif" w:hAnsi="Times New Roman;sans-serif"/>
          <w:b w:val="false"/>
          <w:color w:val="000000"/>
          <w:sz w:val="22"/>
          <w:u w:val="single"/>
        </w:rPr>
        <w:t>Schedule 2.01</w:t>
      </w:r>
      <w:r>
        <w:rPr>
          <w:rFonts w:ascii="Times New Roman;sans-serif" w:hAnsi="Times New Roman;sans-serif"/>
          <w:b w:val="false"/>
          <w:color w:val="000000"/>
          <w:sz w:val="22"/>
        </w:rPr>
        <w:t>, the outstanding amount of the Used Vehicle Floorplan Loans (as defined in and</w:t>
      </w:r>
      <w:r>
        <w:rPr>
          <w:color w:val="000000"/>
        </w:rPr>
        <w:t xml:space="preserve"> </w:t>
      </w:r>
      <w:r>
        <w:rPr>
          <w:rFonts w:ascii="Times New Roman;sans-serif" w:hAnsi="Times New Roman;sans-serif"/>
          <w:b w:val="false"/>
          <w:color w:val="000000"/>
          <w:sz w:val="22"/>
        </w:rPr>
        <w:t>under the Existing Credit Agreement, without giving effect to any Used Vehicle Floorplan Borrowings of Used Vehicle Floorplan Loans under this Agreement on the Closing Date, but after giving effect to any repayment or reduction thereof with the proceeds of any applicable sources) shall be reallocated in accordance with such Used Vehicle Floorplan Commitments and the requisite assignments shall be deemed to be made in such amounts by and between the Used Vehicle Floorplan Lenders and from each Used Vehicle Floorplan Lender</w:t>
      </w:r>
      <w:r>
        <w:rPr>
          <w:color w:val="000000"/>
        </w:rPr>
        <w:t xml:space="preserve"> </w:t>
      </w:r>
      <w:r>
        <w:rPr>
          <w:rFonts w:ascii="Times New Roman;sans-serif" w:hAnsi="Times New Roman;sans-serif"/>
          <w:b w:val="false"/>
          <w:color w:val="000000"/>
          <w:sz w:val="22"/>
        </w:rPr>
        <w:t>to each other Used Vehicle Floorplan Lender (including from Used Vehicle Floorplan Lenders who increase or reduce their Used Vehicle Floorplan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no other documents or instruments, shall be, or shall be required to be, executed in connection with such assignments (all of which requirements are hereby waived), (iv) the Revolving Swing Line (as defined under the Existing Credit Agreement) shall continue as the revolving swing line subfacility hereunder, with the Revolving Swing Line Sublimit set out herein, and the Revolving Swing Line Loans (as defined in the Existing Credit Agreement), if any, shall continue as and deemed to be Revolving Swing Line Borrowings hereunder (v) the New Vehicle Floorplan Swing Line (as defined under the Existing Credit Agreement) shall continue as the new vehicle swing line subfacility hereunder, with the New Vehicle Floorplan Swing Line Sublimit set out herein, and the New Vehicle Floorplan Swing Line Loans (as defined in the Existing Credit Agreement), if any, shall continue as and deemed to be New Vehicle Floorplan Swing Line Borrowings hereunder and (vi) the Used Vehicle Floorplan Swing Line (as defined under the Existing Credit Agreement) shall continue as the used vehicle swing line subfacility hereunder, with the Used Vehicle Floorplan Swing Line Sublimit set out herein, and the Used Vehicle Floorplan Swing Line Loans (as defined in the Existing Credit Agreement), if any, shall continue as and deemed to be Used Vehicle Floorplan Swing Line Borrowings hereunder.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On the Closing Date, the applicable Lenders shall make full cash settlement with one another and with any lender under the Existing Credit Agreement that may not be a Lender under this Agreement, in each case through the Administrative Agent, as the Administrative Agent may direct or approve, with respect to all assignments, reallocations and other changes in Commitments, such that after giving effect to such settlements, each Lender’s Applicable Percentage of the Aggregate Commitments equals (with customary rounding) its Applicable Percentage of the Outstanding Amount of all Loans. The Borrowers represent that as of the date hereof there are no Obligations arising under any Secured Cash Management Agreement or any Secured Hedge Agreement owing to any Lender (each capitalized term used previously in this sentence as defined in the Existing Credit Agreement) which does not continue as a “Lender” hereunder after giving effect to this Agreement.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Borrowers, each Guarantor, the Administrative Agent and the Lenders hereby agree that upon the effectiveness of this Agreement, the terms and provisions of the Existing Credit Agreement that in any manner govern or evidence the Obligations, the rights and interests of the Administrative Agent and the Lenders, in any of their respective capacities,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Notwithstanding this amendment and restatement of the Existing Credit Agreement, including anything in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and certain of the related “Loan Documents” as defined in the Existing Credit Agreement (the “</w:t>
      </w:r>
      <w:r>
        <w:rPr>
          <w:rFonts w:ascii="Times New Roman;sans-serif" w:hAnsi="Times New Roman;sans-serif"/>
          <w:b w:val="false"/>
          <w:color w:val="000000"/>
          <w:sz w:val="22"/>
          <w:u w:val="single"/>
        </w:rPr>
        <w:t>Prior Loan Documents</w:t>
      </w:r>
      <w:r>
        <w:rPr>
          <w:color w:val="000000"/>
        </w:rPr>
        <w:t>”</w:t>
      </w:r>
      <w:r>
        <w:rPr>
          <w:rFonts w:ascii="Times New Roman;sans-serif" w:hAnsi="Times New Roman;sans-serif"/>
          <w:b w:val="false"/>
          <w:color w:val="000000"/>
          <w:sz w:val="22"/>
        </w:rPr>
        <w:t xml:space="preserve">), (i) after giving effect to any repayments, commitment reductions and commitment terminations on the date hereof, all of the indebtedness, liabilities and obligations owing by any Borrower (as defined in the Existing Credit Agreement) under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Existing Credit Agreement and other Prior Loan Documents shall continue as Obligations hereunder, as amended, supplemented or otherwise modified by the terms of this Agreement, (ii) each of this Agreement and the Notes and the other Loan Documents is given as a substitution or supplement of, as the case may be, and not as a payment of, the indebtedness, liabilities and obligations of the Borrowers (as defined in the Existing Credit Agreement) and the Guarantors (as defined in the Existing Credit Agreement) under the Existing Credit Agreement or any Prior Loan Document and is not intended to constitute a novation thereof or of any of the other Prior Loan Documents, and (iii) certain of the Prior Loan Documents will remain in full force and effect, as set forth in such Prior Loan Document. Upon the effectiveness of this Agreement, all Loans (as defined in the Existing Credit Agreement) owing by any Borrower (as defined in the Existing Credit Agreement) and outstanding under the Existing Credit Agreement shall continue as Loans hereunder subject to the terms hereof; and all Letters of Credit (as defined in the Existing Credit Agreement) outstanding under the Existing Credit Agreement shall continue as Letters of Credit hereunder subject to the terms hereof. Loans which are Base Rate Loans, each as defined and outstanding under the Existing Credit Agreement on the Closing Date, shall continue to accrue interest at the Base Rate hereunder, and Loans which are Eurodollar Rate Loans, each as defined and outstanding under the Existing Credit Agreement on the Closing Date, shall continue to accrue interest at the Eurodollar Rate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on and after the Closing Date, the margin applicable to any Loan hereunder shall be as set forth in the definition of Applicable Rate below, without regard to any margin applicable thereto under the Existing Credit Agreement prior to the Closing Date. </w:t>
      </w:r>
    </w:p>
    <w:p>
      <w:pPr>
        <w:pStyle w:val="TextBody"/>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rPr>
        <w:t>Defined Terms</w:t>
      </w:r>
      <w:r>
        <w:rPr>
          <w:rFonts w:ascii="Times New Roman;sans-serif" w:hAnsi="Times New Roman;sans-serif"/>
          <w:b w:val="false"/>
          <w:color w:val="000000"/>
          <w:sz w:val="22"/>
        </w:rPr>
        <w:t>. As used in this Agreement, the following terms shall have the meanings set forth below: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Account Debtor</w:t>
      </w:r>
      <w:r>
        <w:rPr>
          <w:color w:val="000000"/>
        </w:rPr>
        <w:t xml:space="preserve">” </w:t>
      </w:r>
      <w:r>
        <w:rPr>
          <w:rFonts w:ascii="Times New Roman;sans-serif" w:hAnsi="Times New Roman;sans-serif"/>
          <w:b w:val="false"/>
          <w:color w:val="000000"/>
          <w:sz w:val="22"/>
        </w:rPr>
        <w:t>means each Person obligated in any way on or in connection with an Account, chattel paper or a general intangible (including a payment intangible).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Acquisition</w:t>
      </w:r>
      <w:r>
        <w:rPr>
          <w:color w:val="000000"/>
        </w:rPr>
        <w:t xml:space="preserve">” </w:t>
      </w:r>
      <w:r>
        <w:rPr>
          <w:rFonts w:ascii="Times New Roman;sans-serif" w:hAnsi="Times New Roman;sans-serif"/>
          <w:b w:val="false"/>
          <w:color w:val="000000"/>
          <w:sz w:val="22"/>
        </w:rPr>
        <w:t>means the acquisition of (i) a controlling equity interest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(ii) assets of another Person which constitute all or substantially all of the assets of such Person or of a line or lines of business conducted by or a vehicle franchise or vehicle brand licensed or owned by such Person, or (iii) assets constituting a vehicle dealership.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Acquisition Indebtedness</w:t>
      </w:r>
      <w:r>
        <w:rPr>
          <w:color w:val="000000"/>
        </w:rPr>
        <w:t xml:space="preserve">” </w:t>
      </w:r>
      <w:r>
        <w:rPr>
          <w:rFonts w:ascii="Times New Roman;sans-serif" w:hAnsi="Times New Roman;sans-serif"/>
          <w:b w:val="false"/>
          <w:color w:val="000000"/>
          <w:sz w:val="22"/>
        </w:rPr>
        <w:t>has the meaning specified in the Third Amendment.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10.18</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Additional Commitment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2.23(d)</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Bank of America in its capacity as administrative agent under any of the Loan Documents, or any successor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Agent’s Office</w:t>
      </w:r>
      <w:r>
        <w:rPr>
          <w:color w:val="000000"/>
        </w:rPr>
        <w:t xml:space="preserve">” </w:t>
      </w:r>
      <w:r>
        <w:rPr>
          <w:rFonts w:ascii="Times New Roman;sans-serif" w:hAnsi="Times New Roman;sans-serif"/>
          <w:b w:val="false"/>
          <w:color w:val="000000"/>
          <w:sz w:val="22"/>
        </w:rPr>
        <w:t xml:space="preserve">means the Administrative Agent’s address and, as appropriate, account as set forth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or such other address or account as the Administrative Agent may from time to time notify to the Company and the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any Person, another Person that directly, or indirectly through one or more intermediaries, Controls or is Controlled by or is under common Control with the Person specified.</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Commitments</w:t>
      </w:r>
      <w:r>
        <w:rPr>
          <w:color w:val="000000"/>
        </w:rPr>
        <w:t xml:space="preserve">” </w:t>
      </w:r>
      <w:r>
        <w:rPr>
          <w:rFonts w:ascii="Times New Roman;sans-serif" w:hAnsi="Times New Roman;sans-serif"/>
          <w:b w:val="false"/>
          <w:color w:val="000000"/>
          <w:sz w:val="22"/>
        </w:rPr>
        <w:t>means, collectively, the Aggregate Revolving Commitments, the Aggregate New Vehicle Floorplan Commitments and the Aggregate Used Vehicle Floorplan Commitments.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Floorplan Facility Commitments</w:t>
      </w:r>
      <w:r>
        <w:rPr>
          <w:color w:val="000000"/>
        </w:rPr>
        <w:t xml:space="preserve">” </w:t>
      </w:r>
      <w:r>
        <w:rPr>
          <w:rFonts w:ascii="Times New Roman;sans-serif" w:hAnsi="Times New Roman;sans-serif"/>
          <w:b w:val="false"/>
          <w:color w:val="000000"/>
          <w:sz w:val="22"/>
        </w:rPr>
        <w:t>means, collectively, the Aggregate New Vehicle Floorplan Commitments and the Aggregate Used Vehicle Floorplan Commitments.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New Vehicle Floorplan Commitments</w:t>
      </w:r>
      <w:r>
        <w:rPr>
          <w:color w:val="000000"/>
        </w:rPr>
        <w:t xml:space="preserve">” </w:t>
      </w:r>
      <w:r>
        <w:rPr>
          <w:rFonts w:ascii="Times New Roman;sans-serif" w:hAnsi="Times New Roman;sans-serif"/>
          <w:b w:val="false"/>
          <w:color w:val="000000"/>
          <w:sz w:val="22"/>
        </w:rPr>
        <w:t>means the New Vehicle Floorplan Commitments of all the New Vehicle Floorplan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Revolving Commitments</w:t>
      </w:r>
      <w:r>
        <w:rPr>
          <w:color w:val="000000"/>
        </w:rPr>
        <w:t xml:space="preserve">” </w:t>
      </w:r>
      <w:r>
        <w:rPr>
          <w:rFonts w:ascii="Times New Roman;sans-serif" w:hAnsi="Times New Roman;sans-serif"/>
          <w:b w:val="false"/>
          <w:color w:val="000000"/>
          <w:sz w:val="22"/>
        </w:rPr>
        <w:t>means the Revolving Commitments of all the Revolving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Used Vehicle Floorplan Commitments</w:t>
      </w:r>
      <w:r>
        <w:rPr>
          <w:color w:val="000000"/>
        </w:rPr>
        <w:t xml:space="preserve">” </w:t>
      </w:r>
      <w:r>
        <w:rPr>
          <w:rFonts w:ascii="Times New Roman;sans-serif" w:hAnsi="Times New Roman;sans-serif"/>
          <w:b w:val="false"/>
          <w:color w:val="000000"/>
          <w:sz w:val="22"/>
        </w:rPr>
        <w:t xml:space="preserve">means the Used Vehicle Floorplan Commitments of all the Used Vehicle Floorplan Lenders.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Anniversary Date</w:t>
      </w:r>
      <w:r>
        <w:rPr>
          <w:color w:val="000000"/>
        </w:rPr>
        <w:t xml:space="preserve">” </w:t>
      </w:r>
      <w:r>
        <w:rPr>
          <w:rFonts w:ascii="Times New Roman;sans-serif" w:hAnsi="Times New Roman;sans-serif"/>
          <w:b w:val="false"/>
          <w:color w:val="000000"/>
          <w:sz w:val="22"/>
        </w:rPr>
        <w:t>means each anniversary of the Closing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Facility</w:t>
      </w:r>
      <w:r>
        <w:rPr>
          <w:color w:val="000000"/>
        </w:rPr>
        <w:t xml:space="preserve">” </w:t>
      </w:r>
      <w:r>
        <w:rPr>
          <w:rFonts w:ascii="Times New Roman;sans-serif" w:hAnsi="Times New Roman;sans-serif"/>
          <w:b w:val="false"/>
          <w:color w:val="000000"/>
          <w:sz w:val="22"/>
        </w:rPr>
        <w:t>means the Revolving Credit Facility, the New Vehicle Floorplan Facility or the Used Vehicle Floorplan Facility, as applicable.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Four-Quarter Period</w:t>
      </w:r>
      <w:r>
        <w:rPr>
          <w:color w:val="000000"/>
        </w:rPr>
        <w:t xml:space="preserve">” </w:t>
      </w:r>
      <w:r>
        <w:rPr>
          <w:rFonts w:ascii="Times New Roman;sans-serif" w:hAnsi="Times New Roman;sans-serif"/>
          <w:b w:val="false"/>
          <w:color w:val="000000"/>
          <w:sz w:val="22"/>
        </w:rPr>
        <w:t xml:space="preserve">means with respect to any date of determination, the four-quarter period most recently ended on or prior to such date for which internal financial statements are available.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New Vehicle Floorplan Percentage</w:t>
      </w:r>
      <w:r>
        <w:rPr>
          <w:color w:val="000000"/>
        </w:rPr>
        <w:t xml:space="preserve">” </w:t>
      </w:r>
      <w:r>
        <w:rPr>
          <w:rFonts w:ascii="Times New Roman;sans-serif" w:hAnsi="Times New Roman;sans-serif"/>
          <w:b w:val="false"/>
          <w:color w:val="000000"/>
          <w:sz w:val="22"/>
        </w:rPr>
        <w:t xml:space="preserve">means with respect to any New Vehicle Floorplan Lender at any time, the percentage (carried out to the ninth decimal place) of the Aggregate New Vehicle Floorplan Commitments represented by such Lender’s New Vehicle Floorplan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New Vehicle Floorplan Lender to make New Vehicle Floorplan Loans have been terminated pursuant to </w:t>
      </w:r>
      <w:r>
        <w:rPr>
          <w:rFonts w:ascii="Times New Roman;sans-serif" w:hAnsi="Times New Roman;sans-serif"/>
          <w:b w:val="false"/>
          <w:color w:val="000000"/>
          <w:sz w:val="22"/>
          <w:u w:val="single"/>
        </w:rPr>
        <w:t>Section 8.04</w:t>
      </w:r>
      <w:r>
        <w:rPr>
          <w:color w:val="000000"/>
        </w:rPr>
        <w:t xml:space="preserve"> </w:t>
      </w:r>
      <w:r>
        <w:rPr>
          <w:rFonts w:ascii="Times New Roman;sans-serif" w:hAnsi="Times New Roman;sans-serif"/>
          <w:b w:val="false"/>
          <w:color w:val="000000"/>
          <w:sz w:val="22"/>
        </w:rPr>
        <w:t xml:space="preserve">or if the Aggregate New Vehicle Floorplan Commitments have expired, then the Applicable New Vehicle Floorplan Percentage of each New Vehicle Floorplan Lender shall be determined based on the Applicable New Vehicle Floorplan Percentage of such New Vehicle Floorplan Lender most recently in effect, giving effect to any subsequent assignments. The initial Applicable New Vehicle Floorplan Percentage of each New Vehicle Floorplan Lender is set forth opposite the name of such New Vehicle Floorplan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New Vehicle Floorplan Lender becomes a party hereto, as applicable.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 xml:space="preserve">means with respect to any Lender at any time, the percentage (carried out to the ninth decimal place) of the Aggregate Commitments represented by such Lender’s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Lender under an Applicable Facility to make Loans under such Facility (and, in the case of the Revolving Credit Facility, the obligation of each L/C Issuer to make L/C Credit Extensions) have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8.04</w:t>
      </w:r>
      <w:r>
        <w:rPr>
          <w:color w:val="000000"/>
        </w:rPr>
        <w:t xml:space="preserve"> </w:t>
      </w:r>
      <w:r>
        <w:rPr>
          <w:rFonts w:ascii="Times New Roman;sans-serif" w:hAnsi="Times New Roman;sans-serif"/>
          <w:b w:val="false"/>
          <w:color w:val="000000"/>
          <w:sz w:val="22"/>
        </w:rPr>
        <w:t>or if the Aggregate Revolving Commitments, the Aggregate New Vehicle Floorplan Commitments or the Aggregate Used Vehicle Floorplan Commitments, as applicable, have expired, then for the purposes of determining the Applicable Percentage of any Lender, the Commitment of such Lender under such Facility shall be calculated in accordance with the second sentence of the definition of “Applicable Revolving Percentage”, “Applicable New Vehicle Floorplan Percentage” or “Applicable Used Vehicle Floorplan Percentage”, as the case may be.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has the following meanings, depending on the Applicable Facility:</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With respect to the Revolving Credit Facility, Applicable Rate means the following percentages per annum, based upon the Consolidated Total Lease Adjusted Leverage Ratio as set forth in the most recent Compliance Certificate received by the Administrative Agent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Applicable Rate</w:t>
      </w:r>
    </w:p>
    <w:tbl>
      <w:tblPr>
        <w:tblW w:w="10205" w:type="dxa"/>
        <w:jc w:val="left"/>
        <w:tblInd w:w="0" w:type="dxa"/>
        <w:tblCellMar>
          <w:top w:w="28" w:type="dxa"/>
          <w:left w:w="28" w:type="dxa"/>
          <w:bottom w:w="28" w:type="dxa"/>
          <w:right w:w="28" w:type="dxa"/>
        </w:tblCellMar>
      </w:tblPr>
      <w:tblGrid>
        <w:gridCol w:w="338"/>
        <w:gridCol w:w="298"/>
        <w:gridCol w:w="299"/>
        <w:gridCol w:w="742"/>
        <w:gridCol w:w="742"/>
        <w:gridCol w:w="743"/>
        <w:gridCol w:w="657"/>
        <w:gridCol w:w="657"/>
        <w:gridCol w:w="658"/>
        <w:gridCol w:w="560"/>
        <w:gridCol w:w="560"/>
        <w:gridCol w:w="562"/>
        <w:gridCol w:w="625"/>
        <w:gridCol w:w="625"/>
        <w:gridCol w:w="627"/>
        <w:gridCol w:w="441"/>
        <w:gridCol w:w="441"/>
        <w:gridCol w:w="630"/>
      </w:tblGrid>
      <w:tr>
        <w:trPr/>
        <w:tc>
          <w:tcPr>
            <w:tcW w:w="33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r>
      <w:tr>
        <w:trPr/>
        <w:tc>
          <w:tcPr>
            <w:tcW w:w="93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Pricing Level</w:t>
            </w:r>
          </w:p>
        </w:tc>
        <w:tc>
          <w:tcPr>
            <w:tcW w:w="222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2"/>
              </w:rPr>
            </w:pPr>
            <w:r>
              <w:rPr>
                <w:rFonts w:ascii="Times New Roman;sans-serif" w:hAnsi="Times New Roman;sans-serif"/>
                <w:b/>
                <w:color w:val="000000"/>
                <w:sz w:val="22"/>
              </w:rPr>
              <w:t>Consolidated Total Lease Adjusted Leverage Ratio</w:t>
            </w:r>
          </w:p>
        </w:tc>
        <w:tc>
          <w:tcPr>
            <w:tcW w:w="197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Commitment Fee for Revolving Credit Facility</w:t>
            </w:r>
          </w:p>
        </w:tc>
        <w:tc>
          <w:tcPr>
            <w:tcW w:w="168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Letter </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of Credit Fee for Revolving Credit Facility</w:t>
            </w:r>
          </w:p>
        </w:tc>
        <w:tc>
          <w:tcPr>
            <w:tcW w:w="187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Eurodollar Rate + (for Revolving Credit Facility)</w:t>
            </w:r>
          </w:p>
        </w:tc>
        <w:tc>
          <w:tcPr>
            <w:tcW w:w="1512"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Base Rate + </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Revolving Credit Facility)</w:t>
            </w:r>
          </w:p>
        </w:tc>
      </w:tr>
      <w:tr>
        <w:trPr/>
        <w:tc>
          <w:tcPr>
            <w:tcW w:w="9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2227"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2.50 to 1.00</w:t>
            </w:r>
          </w:p>
        </w:tc>
        <w:tc>
          <w:tcPr>
            <w:tcW w:w="19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c>
          <w:tcPr>
            <w:tcW w:w="168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0.875%</w:t>
            </w:r>
          </w:p>
        </w:tc>
        <w:tc>
          <w:tcPr>
            <w:tcW w:w="187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51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r>
      <w:tr>
        <w:trPr/>
        <w:tc>
          <w:tcPr>
            <w:tcW w:w="9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2227"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3.50 to 1.00 but greater than or equal to 2.50 to 1.00</w:t>
            </w:r>
          </w:p>
        </w:tc>
        <w:tc>
          <w:tcPr>
            <w:tcW w:w="19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0.20%</w:t>
            </w:r>
          </w:p>
        </w:tc>
        <w:tc>
          <w:tcPr>
            <w:tcW w:w="168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1.125%</w:t>
            </w:r>
          </w:p>
        </w:tc>
        <w:tc>
          <w:tcPr>
            <w:tcW w:w="187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51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r>
      <w:tr>
        <w:trPr/>
        <w:tc>
          <w:tcPr>
            <w:tcW w:w="9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2227"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4.00 to 1.00 but greater than or equal to 3.50 to 1.00</w:t>
            </w:r>
          </w:p>
        </w:tc>
        <w:tc>
          <w:tcPr>
            <w:tcW w:w="19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c>
          <w:tcPr>
            <w:tcW w:w="168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1.375%</w:t>
            </w:r>
          </w:p>
        </w:tc>
        <w:tc>
          <w:tcPr>
            <w:tcW w:w="187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c>
          <w:tcPr>
            <w:tcW w:w="151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w:t>
            </w:r>
          </w:p>
        </w:tc>
      </w:tr>
      <w:tr>
        <w:trPr/>
        <w:tc>
          <w:tcPr>
            <w:tcW w:w="9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2227"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4.50 to 1.00 but greater than or equal to 4.00 to 1.00</w:t>
            </w:r>
          </w:p>
        </w:tc>
        <w:tc>
          <w:tcPr>
            <w:tcW w:w="19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0.30%</w:t>
            </w:r>
          </w:p>
        </w:tc>
        <w:tc>
          <w:tcPr>
            <w:tcW w:w="168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1.625%</w:t>
            </w:r>
          </w:p>
        </w:tc>
        <w:tc>
          <w:tcPr>
            <w:tcW w:w="187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tc>
        <w:tc>
          <w:tcPr>
            <w:tcW w:w="151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0.75%</w:t>
            </w:r>
          </w:p>
        </w:tc>
      </w:tr>
      <w:tr>
        <w:trPr/>
        <w:tc>
          <w:tcPr>
            <w:tcW w:w="93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2227"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Greater than or equal to 4.50 to 1.00</w:t>
            </w:r>
          </w:p>
        </w:tc>
        <w:tc>
          <w:tcPr>
            <w:tcW w:w="1972"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0.40%</w:t>
            </w:r>
          </w:p>
        </w:tc>
        <w:tc>
          <w:tcPr>
            <w:tcW w:w="1682"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1.875%</w:t>
            </w:r>
          </w:p>
        </w:tc>
        <w:tc>
          <w:tcPr>
            <w:tcW w:w="187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512"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p>
      <w:pPr>
        <w:pStyle w:val="TextBody"/>
        <w:spacing w:lineRule="auto" w:line="240" w:before="240" w:after="240"/>
        <w:ind w:left="0" w:right="0" w:firstLine="7"/>
        <w:jc w:val="both"/>
        <w:rPr/>
      </w:pPr>
      <w:r>
        <w:rPr>
          <w:rFonts w:ascii="Times New Roman;sans-serif" w:hAnsi="Times New Roman;sans-serif"/>
          <w:b w:val="false"/>
          <w:color w:val="000000"/>
          <w:sz w:val="22"/>
        </w:rPr>
        <w:t xml:space="preserve">Any increase or decrease in the Applicable Rate resulting from a change in the Consolidated Total Lease Adjusted Leverage Ratio shall become effective as of the first Business Day immediately following the date a Compliance Certificate is delivered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if a Compliance Certificate is not delivered when due in accordance with such Section, then Pricing Level 5 shall apply as of the first Business Day after the date on which such Compliance Certificate was required to have been delivered and shall remain in effect until the date on which such Compliance Certificate is delivered and (ii) the Applicable Rate in effect from the Closing Date through the first Business Day of the calendar month immediately succeeding the date the Compliance Certificate with respect to the fiscal quarter ended September 30, 2019 is delivered (or, if not timely delivered, the date such compliance certificate is required to be delivered) pursuant to </w:t>
      </w:r>
      <w:r>
        <w:rPr>
          <w:rFonts w:ascii="Times New Roman;sans-serif" w:hAnsi="Times New Roman;sans-serif"/>
          <w:b w:val="false"/>
          <w:color w:val="000000"/>
          <w:sz w:val="22"/>
          <w:u w:val="single"/>
        </w:rPr>
        <w:t>Section 6.02(a)</w:t>
      </w:r>
      <w:r>
        <w:rPr>
          <w:color w:val="000000"/>
        </w:rPr>
        <w:t xml:space="preserve"> </w:t>
      </w:r>
      <w:r>
        <w:rPr>
          <w:rFonts w:ascii="Times New Roman;sans-serif" w:hAnsi="Times New Roman;sans-serif"/>
          <w:b w:val="false"/>
          <w:color w:val="000000"/>
          <w:sz w:val="22"/>
        </w:rPr>
        <w:t>shall be Pricing Level 2.</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With respect to the New Vehicle Floorplan Facility, Applicable Rate means the following percentages per annum: </w:t>
      </w:r>
    </w:p>
    <w:tbl>
      <w:tblPr>
        <w:tblW w:w="10205" w:type="dxa"/>
        <w:jc w:val="left"/>
        <w:tblInd w:w="0" w:type="dxa"/>
        <w:tblCellMar>
          <w:top w:w="28" w:type="dxa"/>
          <w:left w:w="28" w:type="dxa"/>
          <w:bottom w:w="28" w:type="dxa"/>
          <w:right w:w="28" w:type="dxa"/>
        </w:tblCellMar>
      </w:tblPr>
      <w:tblGrid>
        <w:gridCol w:w="1263"/>
        <w:gridCol w:w="1112"/>
        <w:gridCol w:w="1115"/>
        <w:gridCol w:w="1182"/>
        <w:gridCol w:w="1182"/>
        <w:gridCol w:w="1185"/>
        <w:gridCol w:w="925"/>
        <w:gridCol w:w="925"/>
        <w:gridCol w:w="1316"/>
      </w:tblGrid>
      <w:tr>
        <w:trPr/>
        <w:tc>
          <w:tcPr>
            <w:tcW w:w="126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r>
      <w:tr>
        <w:trPr/>
        <w:tc>
          <w:tcPr>
            <w:tcW w:w="349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Commitment Fee for New Vehicle Floorplan Facility</w:t>
            </w:r>
          </w:p>
        </w:tc>
        <w:tc>
          <w:tcPr>
            <w:tcW w:w="354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Eurodollar Rate + (for New Vehicle Floorplan Facility)</w:t>
            </w:r>
          </w:p>
        </w:tc>
        <w:tc>
          <w:tcPr>
            <w:tcW w:w="3166"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Base Rate + (for New Vehicle Floorplan Facility</w:t>
            </w:r>
          </w:p>
        </w:tc>
      </w:tr>
      <w:tr>
        <w:trPr/>
        <w:tc>
          <w:tcPr>
            <w:tcW w:w="349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c>
          <w:tcPr>
            <w:tcW w:w="354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c>
        <w:tc>
          <w:tcPr>
            <w:tcW w:w="3166"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0.10%</w:t>
            </w:r>
          </w:p>
        </w:tc>
      </w:tr>
    </w:tbl>
    <w:p>
      <w:pPr>
        <w:pStyle w:val="TextBody"/>
        <w:spacing w:before="0" w:after="240"/>
        <w:ind w:left="0" w:right="0" w:firstLine="720"/>
        <w:jc w:val="both"/>
        <w:rPr/>
      </w:pPr>
      <w:r>
        <w:br w:type="page"/>
      </w: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With respect to the Used Vehicle Floorplan Facility, Applicable Rate means the following percentages per annum: </w:t>
      </w:r>
    </w:p>
    <w:tbl>
      <w:tblPr>
        <w:tblW w:w="10205" w:type="dxa"/>
        <w:jc w:val="left"/>
        <w:tblInd w:w="0" w:type="dxa"/>
        <w:tblCellMar>
          <w:top w:w="28" w:type="dxa"/>
          <w:left w:w="28" w:type="dxa"/>
          <w:bottom w:w="28" w:type="dxa"/>
          <w:right w:w="28" w:type="dxa"/>
        </w:tblCellMar>
      </w:tblPr>
      <w:tblGrid>
        <w:gridCol w:w="1264"/>
        <w:gridCol w:w="1112"/>
        <w:gridCol w:w="1115"/>
        <w:gridCol w:w="1181"/>
        <w:gridCol w:w="1181"/>
        <w:gridCol w:w="1184"/>
        <w:gridCol w:w="925"/>
        <w:gridCol w:w="925"/>
        <w:gridCol w:w="1318"/>
      </w:tblGrid>
      <w:tr>
        <w:trPr/>
        <w:tc>
          <w:tcPr>
            <w:tcW w:w="1264"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r>
      <w:tr>
        <w:trPr/>
        <w:tc>
          <w:tcPr>
            <w:tcW w:w="34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Commitment Fee for Used Vehicle Floorplan Facility</w:t>
            </w:r>
          </w:p>
        </w:tc>
        <w:tc>
          <w:tcPr>
            <w:tcW w:w="354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Eurodollar Rate + (for Used Vehicle Floorplan Facility)</w:t>
            </w:r>
          </w:p>
        </w:tc>
        <w:tc>
          <w:tcPr>
            <w:tcW w:w="3168"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Base Rate + (for Used Vehicle Floorplan Facility</w:t>
            </w:r>
          </w:p>
        </w:tc>
      </w:tr>
      <w:tr>
        <w:trPr/>
        <w:tc>
          <w:tcPr>
            <w:tcW w:w="349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c>
          <w:tcPr>
            <w:tcW w:w="354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p>
        </w:tc>
        <w:tc>
          <w:tcPr>
            <w:tcW w:w="3168"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0.40%</w:t>
            </w:r>
          </w:p>
        </w:tc>
      </w:tr>
    </w:tbl>
    <w:p>
      <w:pPr>
        <w:pStyle w:val="TextBody"/>
        <w:spacing w:before="0" w:after="0"/>
        <w:ind w:left="0" w:right="0" w:firstLine="7"/>
        <w:jc w:val="both"/>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Revolving Percentage</w:t>
      </w:r>
      <w:r>
        <w:rPr>
          <w:color w:val="000000"/>
        </w:rPr>
        <w:t xml:space="preserve">” </w:t>
      </w:r>
      <w:r>
        <w:rPr>
          <w:rFonts w:ascii="Times New Roman;sans-serif" w:hAnsi="Times New Roman;sans-serif"/>
          <w:b w:val="false"/>
          <w:color w:val="000000"/>
          <w:sz w:val="22"/>
        </w:rPr>
        <w:t xml:space="preserve">means with respect to any Revolving Lender at any time, the percentage (carried out to the ninth decimal place) of the Aggregate Revolving Commitments represented by such Lender’s Revolving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Revolving Lender to make Revolving Loans and the obligation of each L/C Issuer to make L/C Credit Extensions have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if the Aggregate Revolving Commitments have expired, then the Applicable Revolving Percentage of each Revolving Lender shall be determined based on the Applicable Revolving Percentage of such Lender most recently in effect, giving effect to any subsequent assignments. The initial Applicable Revolving Percentage of each Revolving Lender is set forth opposite the name of such Revolving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Revolving Lender becomes a party hereto, as applicable.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Used Vehicle Floorplan Percentage</w:t>
      </w:r>
      <w:r>
        <w:rPr>
          <w:color w:val="000000"/>
        </w:rPr>
        <w:t xml:space="preserve">” </w:t>
      </w:r>
      <w:r>
        <w:rPr>
          <w:rFonts w:ascii="Times New Roman;sans-serif" w:hAnsi="Times New Roman;sans-serif"/>
          <w:b w:val="false"/>
          <w:color w:val="000000"/>
          <w:sz w:val="22"/>
        </w:rPr>
        <w:t xml:space="preserve">means with respect to any Used Vehicle Floorplan Lender at any time, the percentage (carried out to the ninth decimal place) of the Aggregate Used Vehicle Floorplan Commitments represented by such Lender’s Used Vehicle Floorplan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Used Vehicle Floorplan Lender to make Used Vehicle Floorplan Loans has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if the Aggregate Used Vehicle Floorplan Commitments have expired, then the Applicable Used Vehicle Floorplan Percentage of each Used Vehicle Floorplan Lender shall be determined based on the Applicable Used Vehicle Floorplan Percentage of such Used Vehicle Floorplan Lender most recently in effect, giving effect to any subsequent assignments. The initial Applicable Used Vehicle Floorplan Percentage of each Used Vehicle Floorplan Lender is set forth opposite the name of such Used Vehicle Floorplan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Used Vehicle Floorplan Lender becomes a party hereto, as applicable.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Fund that is administered or managed by (a) a Lender, (b) an Affiliate of a Lender or (c) an entity or an Affiliate of an entity that administers or manages a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Arranger</w:t>
      </w:r>
      <w:r>
        <w:rPr>
          <w:color w:val="000000"/>
        </w:rPr>
        <w:t xml:space="preserve">” </w:t>
      </w:r>
      <w:r>
        <w:rPr>
          <w:rFonts w:ascii="Times New Roman;sans-serif" w:hAnsi="Times New Roman;sans-serif"/>
          <w:b w:val="false"/>
          <w:color w:val="000000"/>
          <w:sz w:val="22"/>
        </w:rPr>
        <w:t>means BofA Securities, Inc., in its capacity as sole lead arranger and sole bookrunner.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Asbury New Vehicle Control Period</w:t>
      </w:r>
      <w:r>
        <w:rPr>
          <w:color w:val="000000"/>
        </w:rPr>
        <w:t xml:space="preserve">” </w:t>
      </w:r>
      <w:r>
        <w:rPr>
          <w:rFonts w:ascii="Times New Roman;sans-serif" w:hAnsi="Times New Roman;sans-serif"/>
          <w:b w:val="false"/>
          <w:color w:val="000000"/>
          <w:sz w:val="22"/>
        </w:rPr>
        <w:t xml:space="preserve">means any period beginning two (2) Business Days after the date that the Company delivers notice to the New Vehicle Swing Line Lender and the Administrative Agent indicating that the Company desires to have the ability to request New Vehicle Floorplan Borrowings, and continuing until two (2) Business Days after the date that the Company delivers notice to the New Vehicle Swing Line Lender and the Administrative Agent that the Company wishes to terminate such Asbury New Vehicle Control Period.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Assignee Group</w:t>
      </w:r>
      <w:r>
        <w:rPr>
          <w:color w:val="000000"/>
        </w:rPr>
        <w:t xml:space="preserve">” </w:t>
      </w:r>
      <w:r>
        <w:rPr>
          <w:rFonts w:ascii="Times New Roman;sans-serif" w:hAnsi="Times New Roman;sans-serif"/>
          <w:b w:val="false"/>
          <w:color w:val="000000"/>
          <w:sz w:val="22"/>
        </w:rPr>
        <w:t>means two or more Eligible Assignees that are Affiliates of one another or two or more Approved Funds managed by the same investment advisor.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10.06(b)</w:t>
      </w:r>
      <w:r>
        <w:rPr>
          <w:rFonts w:ascii="Times New Roman;sans-serif" w:hAnsi="Times New Roman;sans-serif"/>
          <w:b w:val="false"/>
          <w:color w:val="000000"/>
          <w:sz w:val="22"/>
        </w:rPr>
        <w:t xml:space="preserve">), and accepted by the Administrative Agent, in substantially the form of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or any other form (including electronic documentation generated by use of an electronic platform) approved by the Administrative Agent.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Attributable Indebtedness</w:t>
      </w:r>
      <w:r>
        <w:rPr>
          <w:color w:val="000000"/>
        </w:rPr>
        <w:t xml:space="preserve">” </w:t>
      </w:r>
      <w:r>
        <w:rPr>
          <w:rFonts w:ascii="Times New Roman;sans-serif" w:hAnsi="Times New Roman;sans-serif"/>
          <w:b w:val="false"/>
          <w:color w:val="000000"/>
          <w:sz w:val="22"/>
        </w:rPr>
        <w:t xml:space="preserve">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for purposes of determining compliance with any provision of this Agreement, the determination of whether a lease is to be treated as an operating lease or capital lease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Audited Financial Statements</w:t>
      </w:r>
      <w:r>
        <w:rPr>
          <w:color w:val="000000"/>
        </w:rPr>
        <w:t xml:space="preserve">” </w:t>
      </w:r>
      <w:r>
        <w:rPr>
          <w:rFonts w:ascii="Times New Roman;sans-serif" w:hAnsi="Times New Roman;sans-serif"/>
          <w:b w:val="false"/>
          <w:color w:val="000000"/>
          <w:sz w:val="22"/>
        </w:rPr>
        <w:t>means the audited consolidated balance sheet of the Company and its Subsidiaries for the fiscal year ended December 31, 2018, and the related consolidated statements of income or operations, shareholders’ equity and cash flows for such fiscal year of the Company and its Subsidiaries, including the notes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Autoborrow Agreement</w:t>
      </w:r>
      <w:r>
        <w:rPr>
          <w:color w:val="000000"/>
        </w:rPr>
        <w:t xml:space="preserve">” </w:t>
      </w:r>
      <w:r>
        <w:rPr>
          <w:rFonts w:ascii="Times New Roman;sans-serif" w:hAnsi="Times New Roman;sans-serif"/>
          <w:b w:val="false"/>
          <w:color w:val="000000"/>
          <w:sz w:val="22"/>
        </w:rPr>
        <w:t>means the Revolving Autoborrow Agreement or the Used Vehicle Autoborrow Agreement, as applicable.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Automatic Debit Date</w:t>
      </w:r>
      <w:r>
        <w:rPr>
          <w:color w:val="000000"/>
        </w:rPr>
        <w:t xml:space="preserve">” </w:t>
      </w:r>
      <w:r>
        <w:rPr>
          <w:rFonts w:ascii="Times New Roman;sans-serif" w:hAnsi="Times New Roman;sans-serif"/>
          <w:b w:val="false"/>
          <w:color w:val="000000"/>
          <w:sz w:val="22"/>
        </w:rPr>
        <w:t xml:space="preserve">means the fifth day of a calendar month,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day is not a Business Day, the respective Automatic Debit Date shall be the next succeeding Business Day.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means</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in the case of the Revolving Credit Facility, the period from and including the Closing Date to the earliest of (i) the Maturity Date, (ii) the date of termination of the Aggregate Revolving Commitments pursuant to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and (iii) the date of termination of the commitment of each Revolving Lender to make Revolving Loans and of the obligation of each L/C Issuer to make L/C Credit Extensions pursuant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case of the New Vehicle Floorplan Facility, the period from and including the Closing Date to the earliest of (i) the Maturity Date, (ii) the date of termination of the Aggregate New Vehicle Floorplan Commitments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and (iii) the date of termination of the commitment of each New Vehicle Floorplan Lender to make New Vehicle Floorplan Loans pursuant to </w:t>
      </w:r>
      <w:r>
        <w:rPr>
          <w:rFonts w:ascii="Times New Roman;sans-serif" w:hAnsi="Times New Roman;sans-serif"/>
          <w:b w:val="false"/>
          <w:color w:val="000000"/>
          <w:sz w:val="22"/>
          <w:u w:val="single"/>
        </w:rPr>
        <w:t>Section 8.04</w:t>
      </w:r>
      <w:r>
        <w:rPr>
          <w:rFonts w:ascii="Times New Roman;sans-serif" w:hAnsi="Times New Roman;sans-serif"/>
          <w:b w:val="false"/>
          <w:color w:val="000000"/>
          <w:sz w:val="22"/>
        </w:rPr>
        <w:t>, and</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in the case of the Used Vehicle Floorplan Facility, the period from and including the Closing Date to the earliest of (i) the Maturity Date, (ii) the date of termination of the Aggregate Used Vehicle Floorplan Commitments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and (iii) the date of termination of the commitment of each Used Vehicle Floorplan Lender to make Used Vehicle Floorplan Loans pursuant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Available Unused Revolving Commitments</w:t>
      </w:r>
      <w:r>
        <w:rPr>
          <w:color w:val="000000"/>
        </w:rPr>
        <w:t xml:space="preserve">” </w:t>
      </w:r>
      <w:r>
        <w:rPr>
          <w:rFonts w:ascii="Times New Roman;sans-serif" w:hAnsi="Times New Roman;sans-serif"/>
          <w:b w:val="false"/>
          <w:color w:val="000000"/>
          <w:sz w:val="22"/>
        </w:rPr>
        <w:t xml:space="preserve">means, as of any date of determination, the total of (a) the lesser of the Aggregate Revolving Commitments or the Revolving Borrowing Base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Total Revolving Outstandings.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 xml:space="preserve">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investment firms or other financial institutions or their affiliates (other than through liquidation, administration or other insolvency proceedings).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Bank of America</w:t>
      </w:r>
      <w:r>
        <w:rPr>
          <w:color w:val="000000"/>
        </w:rPr>
        <w:t xml:space="preserve">” </w:t>
      </w:r>
      <w:r>
        <w:rPr>
          <w:rFonts w:ascii="Times New Roman;sans-serif" w:hAnsi="Times New Roman;sans-serif"/>
          <w:b w:val="false"/>
          <w:color w:val="000000"/>
          <w:sz w:val="22"/>
        </w:rPr>
        <w:t>means Bank of America, N.A. and its successors.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 xml:space="preserve">means for any day a fluctuating rate per annum equal to the highest of (a) the Federal Funds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1/2 of 1%, (b) the rate of interest in effect for such day as publicly announced from time to time by Bank of America as its “prime rate,” and (c) the Eurodollar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 xml:space="preserve">hereof, then the Base Rate shall be the greater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and shall be determined without reference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above.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Base Rate Committed Loan</w:t>
      </w:r>
      <w:r>
        <w:rPr>
          <w:color w:val="000000"/>
        </w:rPr>
        <w:t xml:space="preserve">” </w:t>
      </w:r>
      <w:r>
        <w:rPr>
          <w:rFonts w:ascii="Times New Roman;sans-serif" w:hAnsi="Times New Roman;sans-serif"/>
          <w:b w:val="false"/>
          <w:color w:val="000000"/>
          <w:sz w:val="22"/>
        </w:rPr>
        <w:t>means a Revolving Committed Loan, a New Vehicle Floorplan Committed Loan or a Used Vehicle Floorplan Committed Loan, as the context may require, that is a Base Rate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Base Rate Loan</w:t>
      </w:r>
      <w:r>
        <w:rPr>
          <w:color w:val="000000"/>
        </w:rPr>
        <w:t xml:space="preserve">” </w:t>
      </w:r>
      <w:r>
        <w:rPr>
          <w:rFonts w:ascii="Times New Roman;sans-serif" w:hAnsi="Times New Roman;sans-serif"/>
          <w:b w:val="false"/>
          <w:color w:val="000000"/>
          <w:sz w:val="22"/>
        </w:rPr>
        <w:t>means a Loan that bears interest based on the Base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required by the Beneficial Ownership Regulation.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Blocked Account Agreement</w:t>
      </w:r>
      <w:r>
        <w:rPr>
          <w:color w:val="000000"/>
        </w:rPr>
        <w:t xml:space="preserve">” </w:t>
      </w:r>
      <w:r>
        <w:rPr>
          <w:rFonts w:ascii="Times New Roman;sans-serif" w:hAnsi="Times New Roman;sans-serif"/>
          <w:b w:val="false"/>
          <w:color w:val="000000"/>
          <w:sz w:val="22"/>
        </w:rPr>
        <w:t>means a control agreement reasonably satisfactory to the Administrative Agent executed by an institution maintaining a deposit account or securities account for a Borrower or Guarantor, to perfect the Administrative Agent’s Lien on such account.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Borrowers</w:t>
      </w:r>
      <w:r>
        <w:rPr>
          <w:color w:val="000000"/>
        </w:rPr>
        <w:t xml:space="preserve">” </w:t>
      </w:r>
      <w:r>
        <w:rPr>
          <w:rFonts w:ascii="Times New Roman;sans-serif" w:hAnsi="Times New Roman;sans-serif"/>
          <w:b w:val="false"/>
          <w:color w:val="000000"/>
          <w:sz w:val="22"/>
        </w:rPr>
        <w:t>each has the meaning specified in the introductory paragraph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Borrower Materials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Revolving Borrowing, a New Vehicle Floorplan Borrowing, or a Used Vehicle Floorplan Borrowing, as the context may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Borrowing Base Assets</w:t>
      </w:r>
      <w:r>
        <w:rPr>
          <w:color w:val="000000"/>
        </w:rPr>
        <w:t xml:space="preserve">” </w:t>
      </w:r>
      <w:r>
        <w:rPr>
          <w:rFonts w:ascii="Times New Roman;sans-serif" w:hAnsi="Times New Roman;sans-serif"/>
          <w:b w:val="false"/>
          <w:color w:val="000000"/>
          <w:sz w:val="22"/>
        </w:rPr>
        <w:t>means (a) Company’s or any Subsidiary Guarantor’s Contracts-in-Transit, (b) Company’s or any Subsidiary Guarantor’s Accounts, (c) any New Vehicle Borrower’s New Vehicles, (d) any Used Vehicle Borrower’s Used Vehicles, (e) Company’s or any Subsidiary Guarantor’s Inventory consisting of parts and accessories, (f) Company’s and any Restricted Subsidiary’s Qualified Cash, (g) Company’s or any Subsidiary Guarantor’s Equipment (in the case of clauses (a) through (g), whether or not they meet the eligibility criteria for inclusion in the Revolving Borrowing Base or the Used Vehicle Floorplan Borrowing Base), and (h) Eligible Borrowing Base Real Estate.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Borrowing Base Permitted Liens</w:t>
      </w:r>
      <w:r>
        <w:rPr>
          <w:color w:val="000000"/>
        </w:rPr>
        <w:t xml:space="preserve">” </w:t>
      </w:r>
      <w:r>
        <w:rPr>
          <w:rFonts w:ascii="Times New Roman;sans-serif" w:hAnsi="Times New Roman;sans-serif"/>
          <w:b w:val="false"/>
          <w:color w:val="000000"/>
          <w:sz w:val="22"/>
        </w:rPr>
        <w:t xml:space="preserve">means, collectively: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(a)Liens created pursuant to the Loan Documents and securing the Obligations,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Liens permitted by this Agreement that (i) are subordinate in priority to the Liens described in clause (a) of this definition or are Liens for which the Administrative Agent may have established a reasonable reserve, (ii) are non-consensual and have not been agreed to or granted by the Company or any Subsidiary in any agreement or document and (iii) do not secure obligations for money borrowed or any guaranty thereof,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Any Lien permitted by </w:t>
      </w:r>
      <w:r>
        <w:rPr>
          <w:rFonts w:ascii="Times New Roman;sans-serif" w:hAnsi="Times New Roman;sans-serif"/>
          <w:b w:val="false"/>
          <w:color w:val="000000"/>
          <w:sz w:val="22"/>
          <w:u w:val="single"/>
        </w:rPr>
        <w:t>Section 7.02(f)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(q)</w:t>
      </w:r>
      <w:r>
        <w:rPr>
          <w:color w:val="000000"/>
        </w:rPr>
        <w:t xml:space="preserve"> </w:t>
      </w:r>
      <w:r>
        <w:rPr>
          <w:rFonts w:ascii="Times New Roman;sans-serif" w:hAnsi="Times New Roman;sans-serif"/>
          <w:b w:val="false"/>
          <w:color w:val="000000"/>
          <w:sz w:val="22"/>
        </w:rPr>
        <w:t xml:space="preserve">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in each case that the holder of such Lien has not taken any action to exercise any remedy in respect of any asset subject to such Lien, and</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solely in the case of any Eligible Borrowing Base Real Estate, zoning, easements and other restrictions on the use of such real estate which do not materially detract from the value of such real estate or (in the reasonable discretion of the Administrative Agent) the mortgageability of such real estate, and which do not materially impair the use of such real estate.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Without limiting the generality of clause (b)(ii) or (iii) above, no Lien that secures any Permitted FMCC Floorplan Indebtedness or Permitted Service Loaner Indebtedness shall constitute a Borrowing Base Permitted Lien.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Captive Insurance Company</w:t>
      </w:r>
      <w:r>
        <w:rPr>
          <w:color w:val="000000"/>
        </w:rPr>
        <w:t xml:space="preserve">” </w:t>
      </w:r>
      <w:r>
        <w:rPr>
          <w:rFonts w:ascii="Times New Roman;sans-serif" w:hAnsi="Times New Roman;sans-serif"/>
          <w:b w:val="false"/>
          <w:color w:val="000000"/>
          <w:sz w:val="22"/>
        </w:rPr>
        <w:t>means any captive insurance company that is either (A) formed by the Company or any of its Subsidiaries or (B) acquired by the Company or any of its Subsidiaries or Affiliates in connection with any Permitted Acquisition, in each case so long as the primary purpose of such entity is providing self-insurance benefits to a Borrower or its Subsidiaries and Affiliates.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means to pledge and deposit with or deliver to the Administrative Agent, for the benefit of the Administrative Agent, the respective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applicable L/C Issuer or Swing Line Lender benefitting from such collateral shall agree in its sole discretion, other credit support, in each case pursuant to documentation in form and substance satisfactory to (a) the Administrative Agent and (b) the respective L/C Issuer or the Swing Line Lender (as applicable). “Cash Collateral” shall have a meaning correlative to the foregoing and shall include the proceeds of such cash collateral and other credit support.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Management Agreement</w:t>
      </w:r>
      <w:r>
        <w:rPr>
          <w:color w:val="000000"/>
        </w:rPr>
        <w:t xml:space="preserve">” </w:t>
      </w:r>
      <w:r>
        <w:rPr>
          <w:rFonts w:ascii="Times New Roman;sans-serif" w:hAnsi="Times New Roman;sans-serif"/>
          <w:b w:val="false"/>
          <w:color w:val="000000"/>
          <w:sz w:val="22"/>
        </w:rPr>
        <w:t>means any agreement (written or oral) to provide cash management services, including treasury, depository, overdraft, credit or debit card, electronic funds transfer and other cash management arrangements.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Management Bank</w:t>
      </w:r>
      <w:r>
        <w:rPr>
          <w:color w:val="000000"/>
        </w:rPr>
        <w:t xml:space="preserve">” </w:t>
      </w:r>
      <w:r>
        <w:rPr>
          <w:rFonts w:ascii="Times New Roman;sans-serif" w:hAnsi="Times New Roman;sans-serif"/>
          <w:b w:val="false"/>
          <w:color w:val="000000"/>
          <w:sz w:val="22"/>
        </w:rPr>
        <w:t>means any Person that, (a) at the time it enters into a Cash Management Agreement, is a Lender or an Affiliate of a Lender, or (b) at the time it (or its Affiliate) becomes a Lender, is a party to a Cash Management Agreement, in each case in its capacity as a party to such Cash Management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case be deemed to be a “Change in Law”, regardless of the date enacted, adopted, issued or implemented.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means (a) the direct or indirect sale, transfer, conveyance or other disposition, in one or a series of related transactions, of the voting stock in the Company, the result of which is that a Person other than a Permitted Holder becomes the beneficial owner, directly or indirectly of more than 35% of the voting stock of the Company, measured by voting power rather than number of shares, (b) a Change of Control as defined in the Indentures or (c) a change of control under any indenture or any similar instrument evidencing any refinancing, refunding, renewal or extension of any Subordinated Indebtedness. As used herein, “Permitted Holder” means those direct and indirect beneficial owners of the voting stock of the Company as of the Closing Date. As used herein, voting stock of any Person as of any date means the capital stock of such Person that at such date is entitled to vote in the election of the Board of Directors of such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 xml:space="preserve">means the first date all the conditions precedent in </w:t>
      </w:r>
      <w:r>
        <w:rPr>
          <w:rFonts w:ascii="Times New Roman;sans-serif" w:hAnsi="Times New Roman;sans-serif"/>
          <w:b w:val="false"/>
          <w:color w:val="000000"/>
          <w:sz w:val="22"/>
          <w:u w:val="single"/>
        </w:rPr>
        <w:t>Section 4.01</w:t>
      </w:r>
      <w:r>
        <w:rPr>
          <w:color w:val="000000"/>
        </w:rPr>
        <w:t xml:space="preserve"> </w:t>
      </w:r>
      <w:r>
        <w:rPr>
          <w:rFonts w:ascii="Times New Roman;sans-serif" w:hAnsi="Times New Roman;sans-serif"/>
          <w:b w:val="false"/>
          <w:color w:val="000000"/>
          <w:sz w:val="22"/>
        </w:rPr>
        <w:t xml:space="preserve">are satisfied or waived in accordance with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collectively, the assets and rights and interests in property of any Person in which the Administrative Agent, on behalf of the Secured Parties, is granted a Lien under any Security Instrument as security for all or any portion of the Obligations.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as to each Lender, the Revolving Commitment, New Vehicle Floorplan Commitment and Used Vehicle Floorplan Commitment, collectively, of such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Commitment Increase Effective Date</w:t>
      </w:r>
      <w:r>
        <w:rPr>
          <w:color w:val="000000"/>
        </w:rPr>
        <w:t xml:space="preserve">” </w:t>
      </w:r>
      <w:r>
        <w:rPr>
          <w:rFonts w:ascii="Times New Roman;sans-serif" w:hAnsi="Times New Roman;sans-serif"/>
          <w:b w:val="false"/>
          <w:color w:val="000000"/>
          <w:sz w:val="22"/>
        </w:rPr>
        <w:t>has the meaning specified in the Third Amendment.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Committed Borrowing</w:t>
      </w:r>
      <w:r>
        <w:rPr>
          <w:color w:val="000000"/>
        </w:rPr>
        <w:t xml:space="preserve">” </w:t>
      </w:r>
      <w:r>
        <w:rPr>
          <w:rFonts w:ascii="Times New Roman;sans-serif" w:hAnsi="Times New Roman;sans-serif"/>
          <w:b w:val="false"/>
          <w:color w:val="000000"/>
          <w:sz w:val="22"/>
        </w:rPr>
        <w:t>means a Revolving Committed Borrowing, a New Vehicle Floorplan Committed Borrowing or a Used Vehicle Floorplan Committed Borrowing, as the context may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Committed Loan</w:t>
      </w:r>
      <w:r>
        <w:rPr>
          <w:color w:val="000000"/>
        </w:rPr>
        <w:t xml:space="preserve">” </w:t>
      </w:r>
      <w:r>
        <w:rPr>
          <w:rFonts w:ascii="Times New Roman;sans-serif" w:hAnsi="Times New Roman;sans-serif"/>
          <w:b w:val="false"/>
          <w:color w:val="000000"/>
          <w:sz w:val="22"/>
        </w:rPr>
        <w:t>means a Revolving Committed Loan, a New Vehicle Floorplan Committed Loan or a Used Vehicle Floorplan Committed Loan, as the context may require.</w:t>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means the Commodity Exchange Act (7 U.S.C. § 1 et seq.), as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amended from time to time, and any successor statute.</w:t>
      </w:r>
    </w:p>
    <w:p>
      <w:pPr>
        <w:pStyle w:val="TextBody"/>
        <w:spacing w:before="0" w:after="240"/>
        <w:ind w:left="0" w:right="0" w:firstLine="720"/>
        <w:jc w:val="both"/>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Company Guaranty</w:t>
      </w:r>
      <w:r>
        <w:rPr>
          <w:color w:val="000000"/>
        </w:rPr>
        <w:t xml:space="preserve">” </w:t>
      </w:r>
      <w:r>
        <w:rPr>
          <w:rFonts w:ascii="Times New Roman;sans-serif" w:hAnsi="Times New Roman;sans-serif"/>
          <w:b w:val="false"/>
          <w:color w:val="000000"/>
          <w:sz w:val="22"/>
        </w:rPr>
        <w:t xml:space="preserve">means that certain Third Amended and Restated Company Guaranty Agreement executed by the Company dated as of the Closing Date in favor of the Administrative Agent and the Lenders, substantially in the form of </w:t>
      </w:r>
      <w:r>
        <w:rPr>
          <w:rFonts w:ascii="Times New Roman;sans-serif" w:hAnsi="Times New Roman;sans-serif"/>
          <w:b w:val="false"/>
          <w:color w:val="000000"/>
          <w:sz w:val="22"/>
          <w:u w:val="single"/>
        </w:rPr>
        <w:t>Exhibit E</w:t>
      </w:r>
      <w:r>
        <w:rPr>
          <w:rFonts w:ascii="Times New Roman;sans-serif" w:hAnsi="Times New Roman;sans-serif"/>
          <w:b w:val="false"/>
          <w:color w:val="000000"/>
          <w:sz w:val="22"/>
        </w:rPr>
        <w:t>, as supplemented, amended, or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Competitor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10.06(b)(v)</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Compliance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G</w:t>
      </w:r>
      <w:r>
        <w:rPr>
          <w:rFonts w:ascii="Times New Roman;sans-serif" w:hAnsi="Times New Roman;sans-serif"/>
          <w:b w:val="false"/>
          <w:color w:val="000000"/>
          <w:sz w:val="22"/>
        </w:rPr>
        <w:t>.</w:t>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2"/>
          <w:u w:val="single"/>
        </w:rPr>
        <w:t>Communication</w:t>
      </w:r>
      <w:r>
        <w:rPr>
          <w:color w:val="000000"/>
        </w:rPr>
        <w:t xml:space="preserve">” </w:t>
      </w:r>
      <w:r>
        <w:rPr>
          <w:rFonts w:ascii="Times New Roman;sans-serif" w:hAnsi="Times New Roman;sans-serif"/>
          <w:b w:val="false"/>
          <w:color w:val="000000"/>
          <w:sz w:val="22"/>
        </w:rPr>
        <w:t xml:space="preserve">means this Agreement, any Loan Document and any document, any amendment, approval, consent, information, notice, certificate, request, statement, disclosure or authorization related to any Loan Document. </w:t>
      </w:r>
    </w:p>
    <w:p>
      <w:pPr>
        <w:pStyle w:val="TextBody"/>
        <w:spacing w:before="0" w:after="0"/>
        <w:ind w:left="0" w:right="0" w:firstLine="72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Connection Income Taxes</w:t>
      </w:r>
      <w:r>
        <w:rPr>
          <w:color w:val="000000"/>
        </w:rPr>
        <w:t xml:space="preserve">” </w:t>
      </w:r>
      <w:r>
        <w:rPr>
          <w:rFonts w:ascii="Times New Roman;sans-serif" w:hAnsi="Times New Roman;sans-serif"/>
          <w:b w:val="false"/>
          <w:color w:val="000000"/>
          <w:sz w:val="22"/>
        </w:rPr>
        <w:t xml:space="preserve">means Other Connection Taxes that are imposed on or measured by net income (however denominated) or that are franchise Taxes or branch profits Taxes.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Adjusted Funded Indebtedness</w:t>
      </w:r>
      <w:r>
        <w:rPr>
          <w:color w:val="000000"/>
        </w:rPr>
        <w:t xml:space="preserve">” </w:t>
      </w:r>
      <w:r>
        <w:rPr>
          <w:rFonts w:ascii="Times New Roman;sans-serif" w:hAnsi="Times New Roman;sans-serif"/>
          <w:b w:val="false"/>
          <w:color w:val="000000"/>
          <w:sz w:val="22"/>
        </w:rPr>
        <w:t xml:space="preserve">means, as of any date of determination, for the Company and its Subsidiaries (other than the Specified Insurance Subsidiaries and any Designated Escrow Subsidiary) on a consolidated basis, (a) Consolidated Funded Indebtedness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Permitted Floorplan Indebtedness.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for the Company and its Subsidiaries (other than the Specified Insurance Subsidiaries and any Designated Escrow Subsidiary), Consolidated EBITDAR for such period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Consolidated Rental Expense for such period.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EBITDAR</w:t>
      </w:r>
      <w:r>
        <w:rPr>
          <w:color w:val="000000"/>
        </w:rPr>
        <w:t xml:space="preserve">” </w:t>
      </w:r>
      <w:r>
        <w:rPr>
          <w:rFonts w:ascii="Times New Roman;sans-serif" w:hAnsi="Times New Roman;sans-serif"/>
          <w:b w:val="false"/>
          <w:color w:val="000000"/>
          <w:sz w:val="22"/>
        </w:rPr>
        <w:t xml:space="preserve">means, for any period, for the Company and its Subsidiaries (other than the Specified Insurance Subsidiaries and any Designated Escrow Subsidiary), on a consolidated basis, an amount equal to Consolidated Net Income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 the following, without duplication, to the extent deducted in calculating such Consolidated Net Income: (i) Consolidated Interest Expense for such period (other than interest expense with respect to Permitted Floorplan Indebtedness), (ii) the provision for Federal, state, local and foreign income Taxes payable by the Company and its Subsidiaries (other than the Specified Insurance Subsidiaries) on a consolidated basis for such period, (iii) depreciation and amortization expense, (iv) other non-cash expenses reducing such Consolidated Net Income which do not represent a cash item in such period or any future period, (v) all losses on and other expenses related to repurchases of long-term Indebtedness, (vi) any expenses or charges related to any issuance of Equity Interests, Investment, Acquisition, disposition, recapitalization or the incurrence or repayment of Indebtedness (including any refinancing thereof) and any amendment or modification to the terms of any such transactions (in each case, whether or not successful), (vii) any fees, expenses or other costs paid in connection with this Agreement, (viii) other non-recurring or unusual losses, and (ix) Consolidated Rental Expense;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(b) to the extent included in calculating such Consolidated Net Income, (i) all non-cash items increasing Consolidated Net Income for such period, (ii) all gains on repurchases of long-term Indebtedness, (iii) other non-recurring or unusual gains;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sum of clauses (a)(vi), (a)(vii) and (a)(viii) shall not exceed fifteen percent (15%) of Consolidated EBITDAR for the applicable four-quarter period (calculated after giving effect to any such add-backs).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Fixed Charge Coverage Ratio</w:t>
      </w:r>
      <w:r>
        <w:rPr>
          <w:color w:val="000000"/>
        </w:rPr>
        <w:t xml:space="preserve">” </w:t>
      </w:r>
      <w:r>
        <w:rPr>
          <w:rFonts w:ascii="Times New Roman;sans-serif" w:hAnsi="Times New Roman;sans-serif"/>
          <w:b w:val="false"/>
          <w:color w:val="000000"/>
          <w:sz w:val="22"/>
        </w:rPr>
        <w:t>means, as of any date of determination, the ratio of (a) the total of (i) Consolidated EBITDAR for the four fiscal quarter period most recently ending on or prior to such date for which internal financial statements are available, less (ii) deemed capital expenditures in an amount equal to $100,000 for each dealer location in existence on such date, to (b) Consolidated Fixed Charges for such period.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Fixed Charges</w:t>
      </w:r>
      <w:r>
        <w:rPr>
          <w:color w:val="000000"/>
        </w:rPr>
        <w:t xml:space="preserve">” </w:t>
      </w:r>
      <w:r>
        <w:rPr>
          <w:rFonts w:ascii="Times New Roman;sans-serif" w:hAnsi="Times New Roman;sans-serif"/>
          <w:b w:val="false"/>
          <w:color w:val="000000"/>
          <w:sz w:val="22"/>
        </w:rPr>
        <w:t xml:space="preserve">means, for any period, the sum of (a) Consolidated Interest Expense for such period (but excluding interest expense with respect to Permitted Floorplan Indebtedness),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scheduled amortization during such period of the principal portion of all indebtedness for money borrowed (other than any balloon, bullet or similar principal payment which repays or refinances such indebtedness in full) of the Company and its Subsidiaries (other than the Specified Insurance Subsidiaries and any Designated Escrow Subsidiary) on a consolidated basis,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Consolidated Rental Expense for such period,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(d) Consolidated Pro Forma Rent Savings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(e) Taxes paid in cash during such period by the Company and its Subsidiaries (other than the Specified Insurance Subsidiaries and any Designated Escrow Subsidiary) (excluding, any such cash Taxes paid as a result of any gains on repurchases of long-term Indebtedness),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(f) cash refunds of Federal, state, local and foreign income Taxes received by the Company and its Subsidiaries (other than the Specified Insurance Subsidiaries and any Designated Escrow Subsidiary) on a consolidated basis during such period.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Funded Indebtedness</w:t>
      </w:r>
      <w:r>
        <w:rPr>
          <w:color w:val="000000"/>
        </w:rPr>
        <w:t xml:space="preserve">” </w:t>
      </w:r>
      <w:r>
        <w:rPr>
          <w:rFonts w:ascii="Times New Roman;sans-serif" w:hAnsi="Times New Roman;sans-serif"/>
          <w:b w:val="false"/>
          <w:color w:val="000000"/>
          <w:sz w:val="22"/>
        </w:rPr>
        <w:t xml:space="preserve">means, as of any date of determination, for the Company and its Subsidiaries (other than the Specified Insurance Subsidiaries and any Designated Escrow Subsidiary) on a consolidated basis, the sum of (a) the outstanding principal amount of all Indebtedness, whether current or long-term, for borrowed money (including Obligations hereunder) and all obligations evidenced by bonds, debentures, notes, loan agreements or other similar instruments, (b) all purchase money Indebtedness (other than trade accounts payable incurred in the ordinary course of business), (c) all direct reimbursement obligations arising under funded or drawn letters of credit (including standby and commercial), bankers’ acceptances, bank guaranties, surety bonds and similar instruments, (d) all obligations in respect of the deferred purchase price of property or services (other than trade accounts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payable in the ordinary course of business), (e) Attributable Indebtedness in respect of capital leases and Synthetic Lease Obligations, (f) without duplication, all Guarantees with respect to outstanding Indebtedness of the types specified in clauses (a) through (e) above of Persons other than the Company or any Subsidiary (but including Guarantees of Indebtedness of any Specified Insurance Subsidiary), and (g) all Indebtedness of the types referred to in clauses (a) through (f) above of any partnership or joint venture (other than a joint venture that is itself a corporation or limited liability company) in which the Company or a Subsidiary (other than a Specified Insurance Subsidiary) is a general partner or joint venturer, unless such Indebtedness is expressly made non-recourse to the Company or such Subsidiary (or is expressly made with limited recourse to the Company or such Subsidiary, in which case the amount of such Indebtedness (for the purpose of determining Consolidated Funded Indebtedness) is limited to the extent of such recourse).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Interest Expense</w:t>
      </w:r>
      <w:r>
        <w:rPr>
          <w:color w:val="000000"/>
        </w:rPr>
        <w:t xml:space="preserve">” </w:t>
      </w:r>
      <w:r>
        <w:rPr>
          <w:rFonts w:ascii="Times New Roman;sans-serif" w:hAnsi="Times New Roman;sans-serif"/>
          <w:b w:val="false"/>
          <w:color w:val="000000"/>
          <w:sz w:val="22"/>
        </w:rPr>
        <w:t>means, for any period, for the Company and its Subsidiaries (other than the Specified Insurance Subsidiaries and any Designated Escrow Subsidiary) on a consolidated basis, the sum of (a) all cash interest, premium payments, debt discount, fees, charges and related expenses of the Company and its Subsidiaries (other than the Specified Insurance Subsidiaries and any Designated Escrow Subsidiary) in connection with borrowed money (including capitalized interest) or in connection with the deferred purchase price of assets, in each case to the extent treated as interest in accordance with GAAP, and (b) the portion of rent expense of the Company and its Subsidiaries (other than the Specified Insurance Subsidiaries and any Designated Escrow Subsidiary) with respect to such period under capital leases that is treated as interest in accordance with GAAP.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means, for any period, for the Company and its Subsidiaries (other than the Specified Insurance Subsidiaries and any Designated Escrow Subsidiary) on a consolidated basis, the net income of the Company and its Subsidiaries (other than the Specified Insurance Subsidiaries) (excluding extraordinary gains and extraordinary losses) for that period.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Pro Forma Rent Savings</w:t>
      </w:r>
      <w:r>
        <w:rPr>
          <w:color w:val="000000"/>
        </w:rPr>
        <w:t xml:space="preserve">” </w:t>
      </w:r>
      <w:r>
        <w:rPr>
          <w:rFonts w:ascii="Times New Roman;sans-serif" w:hAnsi="Times New Roman;sans-serif"/>
          <w:b w:val="false"/>
          <w:color w:val="000000"/>
          <w:sz w:val="22"/>
        </w:rPr>
        <w:t>means the pro forma rent savings associated with any leased properties purchased within the prior twelve-month period for the Company and its Subsidiaries (other than the Specified Insurance Subsidiaries and any Designated Escrow Subsidiary) on a consolidated basis as determined by the Company in good faith.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Rental Expense</w:t>
      </w:r>
      <w:r>
        <w:rPr>
          <w:color w:val="000000"/>
        </w:rPr>
        <w:t xml:space="preserve">” </w:t>
      </w:r>
      <w:r>
        <w:rPr>
          <w:rFonts w:ascii="Times New Roman;sans-serif" w:hAnsi="Times New Roman;sans-serif"/>
          <w:b w:val="false"/>
          <w:color w:val="000000"/>
          <w:sz w:val="22"/>
        </w:rPr>
        <w:t>means, for any period, for the Company and its Subsidiaries (other than the Specified Insurance Subsidiaries and any Designated Escrow Subsidiary) on a consolidated basis, the aggregate amount of fixed and contingent rentals payable by the Company and its Subsidiaries (other than the Specified Insurance Subsidiaries and any Designated Escrow Subsidiary) with respect to leases of real and personal property (excluding capital lease obligations) determined in accordance with GAAP for such period.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Secured Funded Indebtedness</w:t>
      </w:r>
      <w:r>
        <w:rPr>
          <w:color w:val="000000"/>
        </w:rPr>
        <w:t xml:space="preserve">” </w:t>
      </w:r>
      <w:r>
        <w:rPr>
          <w:rFonts w:ascii="Times New Roman;sans-serif" w:hAnsi="Times New Roman;sans-serif"/>
          <w:b w:val="false"/>
          <w:color w:val="000000"/>
          <w:sz w:val="22"/>
        </w:rPr>
        <w:t>means, as of any date of determination, for the Company and its Subsidiaries (other than the Specified Insurance Subsidiaries and any Designated Escrow Subsidiary) on a consolidated basis, the outstanding principal amount of all Consolidated Funded Indebtedness that is secured by a Lien.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Secured Leverage Ratio</w:t>
      </w:r>
      <w:r>
        <w:rPr>
          <w:color w:val="000000"/>
        </w:rPr>
        <w:t xml:space="preserve">” </w:t>
      </w:r>
      <w:r>
        <w:rPr>
          <w:rFonts w:ascii="Times New Roman;sans-serif" w:hAnsi="Times New Roman;sans-serif"/>
          <w:b w:val="false"/>
          <w:color w:val="000000"/>
          <w:sz w:val="22"/>
        </w:rPr>
        <w:t xml:space="preserve">means, as of any date of determination, the ratio of: (a) Consolidated Secured Funded Indebtedness as of the date of determination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 xml:space="preserve">(b) Consolidated EBITDA during the Applicable Four-Quarter Period.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Total Lease Adjusted Leverage Ratio</w:t>
      </w:r>
      <w:r>
        <w:rPr>
          <w:color w:val="000000"/>
        </w:rPr>
        <w:t xml:space="preserve">” </w:t>
      </w:r>
      <w:r>
        <w:rPr>
          <w:rFonts w:ascii="Times New Roman;sans-serif" w:hAnsi="Times New Roman;sans-serif"/>
          <w:b w:val="false"/>
          <w:color w:val="000000"/>
          <w:sz w:val="22"/>
        </w:rPr>
        <w:t xml:space="preserve">means, as of any date of determination, the ratio of: (a) the sum of (i) Consolidated Adjusted Funded Indebtedness as of the date of determination,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the sum of (x) the aggregate amount as of the date of determination of cash on the consolidated balance sheet of the applicable Person and its Restricted Subsidiaries as of such date (to the extent the use thereof for application to payment of Indebtedness is not prohibited by law or any contract to which any such Person is a party) which cash is held in deposit accounts subject to Blocked Account Agreements or in deposit accounts maintained with Bank of America, which ensure, in either case, that the Administrative Agent has a first priority, perfected Lien in such accounts and (y) the Floorplan Offset Amount (if any) as of such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(iii) six (6) times Consolidated Rental Expense during the Applicable Four-Quarter Period (excluding Consolidated Rental Expense relating to any real property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acquired during such period to the extent any lease on such property is terminated prior to or simultaneously with such acquisition, but including as Consolidated Rental Expense the “rental payments” for any real property disposed of and leased back to the Company or its Subsidiaries during such period as if such sale-leaseback transaction had occurred on and such “rental payments” began on the first day of such applicable four fiscal quarter period)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 xml:space="preserve">(b) Consolidated EBITDAR for the Applicable Four-Quarter Period.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Total Leverage Ratio</w:t>
      </w:r>
      <w:r>
        <w:rPr>
          <w:color w:val="000000"/>
        </w:rPr>
        <w:t xml:space="preserve">” </w:t>
      </w:r>
      <w:r>
        <w:rPr>
          <w:rFonts w:ascii="Times New Roman;sans-serif" w:hAnsi="Times New Roman;sans-serif"/>
          <w:b w:val="false"/>
          <w:color w:val="000000"/>
          <w:sz w:val="22"/>
        </w:rPr>
        <w:t xml:space="preserve">means, as of any date of determination, the ratio of: (a) Consolidated Adjusted Funded Indebtedness as of the date of determination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the sum of (x) the aggregate amount as of the date of determination of cash on the consolidated balance sheet of the applicable Person and its Restricted Subsidiaries as of such date (to the extent the use thereof for application to payment of Indebtedness is not prohibited by law or any contract to which any such Person is a party) which is held in deposit accounts subject to Blocked Account Agreements or in deposit accounts maintained with Bank of America, which ensure, in either case, that the Administrative Agent has a first priority, perfected Lien in such accounts and (y) the Floorplan Offset Amount (if any) as of such date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 xml:space="preserve">(b) Consolidated EBITDA for the Applicable Four-Quarter Period.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Contract-in-Transit</w:t>
      </w:r>
      <w:r>
        <w:rPr>
          <w:color w:val="000000"/>
        </w:rPr>
        <w:t xml:space="preserve">” </w:t>
      </w:r>
      <w:r>
        <w:rPr>
          <w:rFonts w:ascii="Times New Roman;sans-serif" w:hAnsi="Times New Roman;sans-serif"/>
          <w:b w:val="false"/>
          <w:color w:val="000000"/>
          <w:sz w:val="22"/>
        </w:rPr>
        <w:t>means a contract-in-transit with respect to any Vehicle.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Conversion Notice</w:t>
      </w:r>
      <w:r>
        <w:rPr>
          <w:color w:val="000000"/>
        </w:rPr>
        <w:t xml:space="preserve">” </w:t>
      </w:r>
      <w:r>
        <w:rPr>
          <w:rFonts w:ascii="Times New Roman;sans-serif" w:hAnsi="Times New Roman;sans-serif"/>
          <w:b w:val="false"/>
          <w:color w:val="000000"/>
          <w:sz w:val="22"/>
        </w:rPr>
        <w:t xml:space="preserve">means a notice from the Company delivered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requesting that any portion of the Aggregate Revolving Commitments be converted into Aggregate New Vehicle Floorplan Commitments or Aggregate Used Vehicle Floorplan Commitments, or that any portion of the Aggregate New Vehicle Floorplan Commitments or Aggregate Used Vehicle Floorplan Commitments be converted to Aggregate Revolving Commitments, which notice, in either case, shall be substantially in the form of </w:t>
      </w:r>
      <w:r>
        <w:rPr>
          <w:rFonts w:ascii="Times New Roman;sans-serif" w:hAnsi="Times New Roman;sans-serif"/>
          <w:b w:val="false"/>
          <w:color w:val="000000"/>
          <w:sz w:val="22"/>
          <w:u w:val="single"/>
        </w:rPr>
        <w:t>Exhibit P</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Cost of Acquisition</w:t>
      </w:r>
      <w:r>
        <w:rPr>
          <w:color w:val="000000"/>
        </w:rPr>
        <w:t xml:space="preserve">” </w:t>
      </w:r>
      <w:r>
        <w:rPr>
          <w:rFonts w:ascii="Times New Roman;sans-serif" w:hAnsi="Times New Roman;sans-serif"/>
          <w:b w:val="false"/>
          <w:color w:val="000000"/>
          <w:sz w:val="22"/>
        </w:rPr>
        <w:t xml:space="preserve">means, with respect to any Acquisition, as at the date of the consummation of such Acquisition, the sum of the following (without duplication): (i) the value of the Equity Interests of any Subsidiary to be transferred in connection with such Acquisition, (ii) the amount of any cash and fair market value of other property (excluding property of the type described in clause (i) and the unpaid principal amount of any debt instrument) given as consideration in connection with such Acquisition as reasonably determined by the Company in good faith, (iii) the amount (determined by using the face amount or the amount payable at maturity, whichever is greater) of any Indebtedness assumed by the Company or any Subsidiary in connection with such Acquisition, (iv) all additional purchase price amounts in the form of earnouts and other contingent obligations that should be recorded on the financial statements of the Company and its Subsidiaries in accordance with GAAP in connection with such Acquisition, (v) all amounts paid in respect of covenants not to compete, consulting agreements that should be recorded on the financial statements of the Company and its Subsidiaries in accordance with GAAP, and other affiliated contracts in connection with such Acquisition, and (vi) the aggregate fair market value of all other consideration (other than Equity Interests of the Company) given by the Company or any Subsidiary in connection with such Acquisition as reasonably determined by the Company in good faith;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Cost of Acquisition shall not include the purchase price of floored vehicles acquired in connection with such Acquisition. For purposes of determining the Cost of Acquisition for any transaction, the Equity Interests of the Company or any Subsidiary shall be valued in accordance with GAAP.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10.22(b)</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Credit Extension</w:t>
      </w:r>
      <w:r>
        <w:rPr>
          <w:color w:val="000000"/>
        </w:rPr>
        <w:t xml:space="preserve">” </w:t>
      </w:r>
      <w:r>
        <w:rPr>
          <w:rFonts w:ascii="Times New Roman;sans-serif" w:hAnsi="Times New Roman;sans-serif"/>
          <w:b w:val="false"/>
          <w:color w:val="000000"/>
          <w:sz w:val="22"/>
        </w:rPr>
        <w:t>means each of the following: (a) a Revolving Borrowing, (b) an L/C Credit Extension, (c) a New Vehicle Floorplan Borrowing and (d) a Used Vehicle Floorplan Borrowing.</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Debtor Relief Laws</w:t>
      </w:r>
      <w:r>
        <w:rPr>
          <w:color w:val="000000"/>
        </w:rPr>
        <w:t xml:space="preserve">” </w:t>
      </w:r>
      <w:r>
        <w:rPr>
          <w:rFonts w:ascii="Times New Roman;sans-serif" w:hAnsi="Times New Roman;sans-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Deemed Floored</w:t>
      </w:r>
      <w:r>
        <w:rPr>
          <w:color w:val="000000"/>
        </w:rPr>
        <w:t xml:space="preserve">” </w:t>
      </w:r>
      <w:r>
        <w:rPr>
          <w:rFonts w:ascii="Times New Roman;sans-serif" w:hAnsi="Times New Roman;sans-serif"/>
          <w:b w:val="false"/>
          <w:color w:val="000000"/>
          <w:sz w:val="22"/>
        </w:rPr>
        <w:t>means, with respect to each New Vehicle, the date a New Vehicle Floorplan Borrowing is deemed to be made by a New Vehicle Floorplan Lender, including the New Vehicle Floorplan Swing Line Lender, under the New Vehicle Floorplan Facility.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Deemed To Be A Mileage Vehicle</w:t>
      </w:r>
      <w:r>
        <w:rPr>
          <w:color w:val="000000"/>
        </w:rPr>
        <w:t xml:space="preserve">” </w:t>
      </w:r>
      <w:r>
        <w:rPr>
          <w:rFonts w:ascii="Times New Roman;sans-serif" w:hAnsi="Times New Roman;sans-serif"/>
          <w:b w:val="false"/>
          <w:color w:val="000000"/>
          <w:sz w:val="22"/>
        </w:rPr>
        <w:t>means, with respect to any New Vehicle which has been Deemed Floored, the date such New Vehicle is deemed to be a Demonstrator, Rental Vehicle or other mileaged New Vehicle under the New Vehicle Floorplan Facility, which such date may be the same day as, or a date after, the date such New Vehicle is Deemed Floored.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that constitutes a Revolving/Used Vehicle Event of Default or a New Vehicle Event of Default or that, with the giving of any notice, the passage of time, or both, would be a Revolving/Used Vehicle Event of Default or a New Vehicle Event of Default.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means (a) when used with respect to Obligations other than Letter of Credit Fees, an interest rate equal to (i)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the Applicable Rate, if any, applicable to Base Rate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(iii) 2%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with respect to a Eurodollar Rate Loan, the Default Rate shall be an interest rate equal to the interest rate (including any Applicable Rate) otherwise applicable to such Loan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2% per annum, and (b) when used with respect to Letter of Credit Fees, a rate equal to the Applicable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2% per annum.</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subject to </w:t>
      </w:r>
      <w:r>
        <w:rPr>
          <w:rFonts w:ascii="Times New Roman;sans-serif" w:hAnsi="Times New Roman;sans-serif"/>
          <w:b w:val="false"/>
          <w:color w:val="000000"/>
          <w:sz w:val="22"/>
          <w:u w:val="single"/>
        </w:rPr>
        <w:t>Section 2.27(b)</w:t>
      </w:r>
      <w:r>
        <w:rPr>
          <w:rFonts w:ascii="Times New Roman;sans-serif" w:hAnsi="Times New Roman;sans-serif"/>
          <w:b w:val="false"/>
          <w:color w:val="000000"/>
          <w:sz w:val="22"/>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any Swing Line Lender, or any other Lender any other amount required to be paid by it hereunder (including in respect of its participation in Letters of Credit or Swing Line Loans) within two Business Days of the date when due, (b) has notified the Company, the Administrative Agent, any L/C Issuer, or any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r>
        <w:rPr>
          <w:color w:val="0070C0"/>
        </w:rPr>
        <w:t xml:space="preserve"> </w:t>
      </w:r>
      <w:r>
        <w:rPr>
          <w:rFonts w:ascii="Times New Roman;sans-serif" w:hAnsi="Times New Roman;sans-serif"/>
          <w:b w:val="false"/>
          <w:color w:val="000000"/>
          <w:sz w:val="22"/>
        </w:rPr>
        <w:t xml:space="preserve">or (iii) become the subject of a Bail-In 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sans-serif" w:hAnsi="Times New Roman;sans-serif"/>
          <w:b w:val="false"/>
          <w:color w:val="000000"/>
          <w:sz w:val="22"/>
          <w:u w:val="single"/>
        </w:rPr>
        <w:t>Section 2.27(b))</w:t>
      </w:r>
      <w:r>
        <w:rPr>
          <w:color w:val="000000"/>
        </w:rPr>
        <w:t xml:space="preserve"> </w:t>
      </w:r>
      <w:r>
        <w:rPr>
          <w:rFonts w:ascii="Times New Roman;sans-serif" w:hAnsi="Times New Roman;sans-serif"/>
          <w:b w:val="false"/>
          <w:color w:val="000000"/>
          <w:sz w:val="22"/>
        </w:rPr>
        <w:t xml:space="preserve">as of the date established therefor by the Administrative Agent in a written notice of such determination, which shall be delivered by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to the Company, each L/C Issuer, each Swing Line Lender and each other Lender promptly following such determination.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Designated Escrow Subsidiary</w:t>
      </w:r>
      <w:r>
        <w:rPr>
          <w:color w:val="000000"/>
        </w:rPr>
        <w:t xml:space="preserve">” </w:t>
      </w:r>
      <w:r>
        <w:rPr>
          <w:rFonts w:ascii="Times New Roman;sans-serif" w:hAnsi="Times New Roman;sans-serif"/>
          <w:b w:val="false"/>
          <w:color w:val="000000"/>
          <w:sz w:val="22"/>
        </w:rPr>
        <w:t xml:space="preserve">means a wholly-owned Subsidiary that is formed by the Company or any of its Subsidiaries for the sole purpose of incurring Indebtedness the proceeds of which will be subject to an escrow or other similar arrangement;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the termination of all such escrow or similar arrangements (but in any event no later than the consummation of the applicable Acquisition), such Subsidiary shall cease to constitute a “Designated Escrow Subsidiary” hereunder and shall merge with and into the Company or one of its Restricted Subsidiaries. Prior to its merger with and into such Person, the Designated Escrow Subsidiary shall not own, hold or otherwise have any interest in any material assets other than the proceeds of the applicable Indebtedness incurred by the Designated Escrow Subsidiary and any cash or cash equivalents invested in such Designated Escrow Subsidiary to cover interest and premium in respect of such Indebtedness.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Dividing Person</w:t>
      </w:r>
      <w:r>
        <w:rPr>
          <w:color w:val="000000"/>
        </w:rPr>
        <w:t xml:space="preserve">” </w:t>
      </w:r>
      <w:r>
        <w:rPr>
          <w:rFonts w:ascii="Times New Roman;sans-serif" w:hAnsi="Times New Roman;sans-serif"/>
          <w:b w:val="false"/>
          <w:color w:val="000000"/>
          <w:sz w:val="22"/>
        </w:rPr>
        <w:t>has the meaning assigned to it in the definition of “Division.”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Division</w:t>
      </w:r>
      <w:r>
        <w:rPr>
          <w:color w:val="000000"/>
        </w:rPr>
        <w:t xml:space="preserve">” </w:t>
      </w:r>
      <w:r>
        <w:rPr>
          <w:rFonts w:ascii="Times New Roman;sans-serif" w:hAnsi="Times New Roman;sans-serif"/>
          <w:b w:val="false"/>
          <w:color w:val="000000"/>
          <w:sz w:val="22"/>
        </w:rPr>
        <w:t>means the division of the assets, liabilities and/or obligations of a Person (the “</w:t>
      </w:r>
      <w:r>
        <w:rPr>
          <w:rFonts w:ascii="Times New Roman;sans-serif" w:hAnsi="Times New Roman;sans-serif"/>
          <w:b w:val="false"/>
          <w:color w:val="000000"/>
          <w:sz w:val="22"/>
          <w:u w:val="single"/>
        </w:rPr>
        <w:t>Dividing Person</w:t>
      </w:r>
      <w:r>
        <w:rPr>
          <w:color w:val="000000"/>
        </w:rPr>
        <w:t>”</w:t>
      </w:r>
      <w:r>
        <w:rPr>
          <w:rFonts w:ascii="Times New Roman;sans-serif" w:hAnsi="Times New Roman;sans-serif"/>
          <w:b w:val="false"/>
          <w:color w:val="000000"/>
          <w:sz w:val="22"/>
        </w:rPr>
        <w:t>) among two or more Persons (whether pursuant to a “plan of division” or similar arrangement), which may or may not include the Dividing Person and pursuant to which the Dividing Person may or may not survive.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Demonstrator</w:t>
      </w:r>
      <w:r>
        <w:rPr>
          <w:color w:val="000000"/>
        </w:rPr>
        <w:t xml:space="preserve">” </w:t>
      </w:r>
      <w:r>
        <w:rPr>
          <w:rFonts w:ascii="Times New Roman;sans-serif" w:hAnsi="Times New Roman;sans-serif"/>
          <w:b w:val="false"/>
          <w:color w:val="000000"/>
          <w:sz w:val="22"/>
        </w:rPr>
        <w:t>means a New Vehicle that (i) has not been previously titled (other than to a New Vehicle Borrower in accordance with applicable law), (ii) is the then current model year or last model year, (iii) has an odometer reading of less than 7500 miles and (iv) is designated by the applicable New Vehicle Borrower as such.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Designated Jurisdiction</w:t>
      </w:r>
      <w:r>
        <w:rPr>
          <w:color w:val="000000"/>
        </w:rPr>
        <w:t xml:space="preserve">” </w:t>
      </w:r>
      <w:r>
        <w:rPr>
          <w:rFonts w:ascii="Times New Roman;sans-serif" w:hAnsi="Times New Roman;sans-serif"/>
          <w:b w:val="false"/>
          <w:color w:val="000000"/>
          <w:sz w:val="22"/>
        </w:rPr>
        <w:t>means any country or territory to the extent that such country or territory itself is the subject of any Sanction.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Disposition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Dispose</w:t>
      </w:r>
      <w:r>
        <w:rPr>
          <w:color w:val="000000"/>
        </w:rPr>
        <w:t xml:space="preserve">” </w:t>
      </w:r>
      <w:r>
        <w:rPr>
          <w:rFonts w:ascii="Times New Roman;sans-serif" w:hAnsi="Times New Roman;sans-serif"/>
          <w:b w:val="false"/>
          <w:color w:val="000000"/>
          <w:sz w:val="22"/>
        </w:rPr>
        <w:t>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and including any disposition of property pursuant to a Division.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Disposition Proceeds</w:t>
      </w:r>
      <w:r>
        <w:rPr>
          <w:color w:val="000000"/>
        </w:rPr>
        <w:t xml:space="preserve">” </w:t>
      </w:r>
      <w:r>
        <w:rPr>
          <w:rFonts w:ascii="Times New Roman;sans-serif" w:hAnsi="Times New Roman;sans-serif"/>
          <w:b w:val="false"/>
          <w:color w:val="000000"/>
          <w:sz w:val="22"/>
        </w:rPr>
        <w:t xml:space="preserve">means, with respect to any Disposition, as at the date of such Disposition, the sum of the following (without duplication): (i) the amount of any cash and fair market value of other property received as consideration in connection with such Disposition, (ii) all consideration amounts in the form of earnouts and other contingent obligations that should be recorded on the financial statements of the Company and its Subsidiaries in accordance with GAAP in connection with such Disposition, (iii) all amounts received in respect of covenants not to compete, consulting agreements that should be recorded on the financial statements of the Company and its Subsidiaries in accordance with GAAP, and other affiliated contracts in connection with such Disposition, and (iv) the aggregate fair market value of all other consideration received by the Company or any Subsidiary in connection with such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Disposition Proceeds shall not include (a) the sale price of floored Vehicles disposed of in connection with such Disposition or (b) any amount used to pay off Liens (other than Liens created by the Loan Documents) on any property disposed of in connection with such Disposition.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Dollar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 lawful money of the United States.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that is not a Foreign Subsidiary.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Electronic Record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shall have the meanings assigned to them, respectively, by 15 USC §7006, as it may be amended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Accounts</w:t>
      </w:r>
      <w:r>
        <w:rPr>
          <w:color w:val="000000"/>
        </w:rPr>
        <w:t xml:space="preserve">” </w:t>
      </w:r>
      <w:r>
        <w:rPr>
          <w:rFonts w:ascii="Times New Roman;sans-serif" w:hAnsi="Times New Roman;sans-serif"/>
          <w:b w:val="false"/>
          <w:color w:val="000000"/>
          <w:sz w:val="22"/>
        </w:rPr>
        <w:t>means the Accounts, other than Contracts-in-Transit, of the Company and the Subsidiary Guarantors, which Accounts arise from the sale, lease or license of goods or rendition of services in the ordinary course of business;</w:t>
      </w:r>
    </w:p>
    <w:p>
      <w:pPr>
        <w:pStyle w:val="TextBody"/>
        <w:spacing w:lineRule="auto" w:line="240"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Accounts shall not (unless otherwise agreed to by the Administrative Agent) include any Account: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(i)with respect to which any of the representations, warranties, covenants, and agreements contained in the Loan Documents are incorrect or have been breached in any material respect;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(ii)except as provided in clause (b)(viii) below, with respect to which either the perfection, enforceability, or validity of the Administrative Agent’s Liens in such Account, or the Administrative Agent’s right or ability to obtain direct payment to the Administrative Agent of the proceeds of such Account, is governed by any federal, state, or local statutory requirements other than those of the UCC;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(iii)owed by an Account Debtor which is obligated to the Company or the applicable Subsidiary representing Accounts the aggregate unpaid balance of which exceeds twenty-five percent (25%) of the aggregate unpaid balance of all Accounts owed to the Company or the applicable Subsidiary at such time by all of the Company’s or the applicable Subsidiary’s Account Debtors, but only to the extent of such excess;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(iv)that is not subject to the Administrative Agent’s Liens which are perfected as to such Accounts, or that is subject to any other Lien whatsoever other than Borrowing Base Permitted Liens; and</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(b) the following Accounts shall not be Eligible Accounts to the extent (but only to the extent) that the aggregate Net Book Value of all such Accounts constitutes more than 10% of the Net Book Value of all otherwise Eligible Accounts: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(i)any Account with respect to which more than 90 days have elapsed since the date of the original invoice therefor or which is more than 60 days past due;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(ii)any Account with respect to which Account (or any other Account due from such Account Debtor), in whole or in part, a check, promissory note, draft, trade acceptance or other instrument for the payment of money has been received, presented for payment and returned uncollected for any reason;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(iii)any Account that represents a progress billing (as hereinafter defined) or as to which the Company or any Subsidiary has extended the time for payment without the consent of the Administrative Agent; for the purposes hereof, “progress billing” means any invoice for goods sold or leased or services rendered under a contract or agreement pursuant to which the Account Debtor’s obligation to pay such invoice is conditioned upon the Company’s or the applicable Subsidiary’s completion of any further performance under the contract or agreement;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(iv)any Account with respect to which any one or more of the following events has occurred to the Account Debtor on such Account: death or judicial declaration of incompetency of an Account Debtor who is an individual; the filing by or against the Account Debtor of a request or petition for liquidation, reorganization, arrangement, adjustment of debts, adjudication as a bankrupt, winding-up, or other relief under Debtor Relief Laws; the making of any general assignment by the Account Debtor for the benefit of creditors; the appointment of a receiver or trustee for the Account Debtor or for any of the assets of the Account Debtor, including, without limitation, the appointment of or taking possession by a “custodian,” as defined in the Bankruptcy Code of the United States; the institution by or against the Account Debtor of any other type of insolvency proceeding (under Debtor Relief Laws or otherwise) or of any formal or informal proceeding for the dissolution or liquidation of, settlement of claims against, or winding up of affairs of, the Account Debtor; the sale, assignment, or transfer of all or any material part of the assets of the Account Debtor; the nonpayment generally by the Account Debtor of its debts as they become due; or the cessation of the business of the Account Debtor as a going concern;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(v)any Account owed by an Account Debtor which: (1) does not maintain its chief executive office in the United States or Canada; (2) is not organized under the laws of the United States, Canada or any state or province thereof; (3) is not, if a natural person, a citizen of the United States or Canada residing therein; or (4) is a Governmental Authority of any foreign country or sovereign state, or of any state, province, municipality, or other political subdivision thereof;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(vi)any Account owed by an Account Debtor which is an Affiliate, officer, director or employee of the Company or any Subsidiary;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(vii)any Account owed by an Account Debtor to which the Company or any Subsidiary is indebted in any way, or with respect to which the Company or such Subsidiary has knowledge or notice that such Account is subject to any right of setoff or recoupment by the Account Debtor (including, without limitation, all Accounts that are subject to any agreement encumbering or limiting in any manner the Company’s or any Subsidiary’s access to such Accounts), unless the Account Debtor has entered into an agreement acceptable to the Administrative Agent to waive setoff rights; or if the Account Debtor thereon has disputed liability or made any claim with respect to any other Account due from such Account Debtor, but in each such case only to the extent of such indebtedness, setoff, recoupment, dispute, or claim;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(viii)any Account owed by any Governmental Authority, unless the Federal Assignment of Claims Act of 1940, as amended (31 U.S.C. § 3727 et seq.), and any other steps necessary to perfect the Administrative Agent’s Liens therein, have been complied with to the Administrative Agent’s satisfaction with respect to such Account;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(ix)any Account owed by any Governmental Authority and as to which the Administrative Agent determines that its Lien therein is not or cannot be perfected;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(x)any Account which represents a sale on a bill-and-hold, guaranteed sale, sale and return, sale on approval, consignment, or other repurchase or return basis;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(xi)any Account which is evidenced by a promissory note or other instrument or by chattel paper;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(xii)any Account with respect to which the Account Debtor is located in any state requiring the filing of a Notice of Business Activities Report or similar report in order to permit the Company or any Subsidiary to seek judicial enforcement in such state of payment of such Account, unless the Company or any Subsidiary has qualified to do business in such state or has filed a Notice of Business Activities Report or equivalent report for the then current year;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(xiii)any Account that arises out of a sale not made in the ordinary course of the Company’s or the applicable Subsidiary’s business or out of finance or similar charges;</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18</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(xiv)any Account with respect to which the goods giving rise to such Account have not been shipped and delivered to and accepted by the Account Debtor or the services giving rise to such Account have not been performed by the Company or the applicable Subsidiary and, if applicable, accepted by the Account Debtor, or the Account Debtor revokes its acceptance of such goods or services;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(xv)any Account in which the payment thereof has been extended beyond 90 days from the date of the original invoice thereof, the Account Debtor has made a partial payment, or such Account arises from a sale on a cash-on-delivery basis; or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(xvi)any Account which includes a billing for interest, fees or late charges,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ineligibility shall be limited to the extent of such billing.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an Account in any computation of the Borrowing Base, shall be deemed to represent and warrant to the Administrative Agent and the Lenders that (y) such Account is not of the type described in any of (a)(i) through (iv) above and (z) at least 90% of the Accounts included as Eligible Accounts in the computation of such Borrowing Base are not of the type described in any of (b)(i) through (xvi) above; and if any Account at any time ceases to be an Eligible Account, then such Account shall promptly be excluded by the Company from the calculation of Eligible Accounts. If the Administrative Agent or the Required Lenders have reasonable grounds to believe that an Account is of the type described in any of clauses (a)(i) through (iv) above or that any Account or Accounts cause the calculation of the Borrowing Base to violate proviso (b) above, the Administrative Agent shall inform the Company of the grounds for such belief and shall request confirmation by the Company of the eligibility of such Account or Accounts. Prior to confirmation of the eligibility thereof by the Company, such Account or Accounts shall not be considered Eligible Accounts and no representation and warranty shall have been deemed made with respect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any Person that meets the requirements to be an assignee under </w:t>
      </w:r>
      <w:r>
        <w:rPr>
          <w:rFonts w:ascii="Times New Roman;sans-serif" w:hAnsi="Times New Roman;sans-serif"/>
          <w:b w:val="false"/>
          <w:color w:val="000000"/>
          <w:sz w:val="22"/>
          <w:u w:val="single"/>
        </w:rPr>
        <w:t>Section 10.06(b)(iii)</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(v)</w:t>
      </w:r>
      <w:r>
        <w:rPr>
          <w:color w:val="000000"/>
        </w:rPr>
        <w:t xml:space="preserve"> </w:t>
      </w:r>
      <w:r>
        <w:rPr>
          <w:rFonts w:ascii="Times New Roman;sans-serif" w:hAnsi="Times New Roman;sans-serif"/>
          <w:b w:val="false"/>
          <w:color w:val="000000"/>
          <w:sz w:val="22"/>
        </w:rPr>
        <w:t xml:space="preserve">(subject to such consents, if any, as may be required under </w:t>
      </w:r>
      <w:r>
        <w:rPr>
          <w:rFonts w:ascii="Times New Roman;sans-serif" w:hAnsi="Times New Roman;sans-serif"/>
          <w:b w:val="false"/>
          <w:color w:val="000000"/>
          <w:sz w:val="22"/>
          <w:u w:val="single"/>
        </w:rPr>
        <w:t>Section 10.06(b)(iii)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Borrowing Base Real Estate</w:t>
      </w:r>
      <w:r>
        <w:rPr>
          <w:color w:val="000000"/>
        </w:rPr>
        <w:t xml:space="preserve">” </w:t>
      </w:r>
      <w:r>
        <w:rPr>
          <w:rFonts w:ascii="Times New Roman;sans-serif" w:hAnsi="Times New Roman;sans-serif"/>
          <w:b w:val="false"/>
          <w:color w:val="000000"/>
          <w:sz w:val="22"/>
        </w:rPr>
        <w:t>means any real property of the Company or a Subsidiary Guarantor;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Eligible Borrowing Base Real Estate shall not include any real property unless: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property is owned in fee simple by a Borrower or a Subsidiary Guarantor,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property is not subject to any lien or encumbrances (other than Borrowing Base Permitted Liens),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property is utilized by or leased to a Borrower or Subsidiary Guarantor that is a vehicle dealership or is an operating entity involved in the sale, repair, service or storage of auto vehicles,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address(es), tenant(s), value(s) and date(s) included for such Eligible Borrowing Base Real Estate are detailed quarterly in a revolving borrowing base certificate (and, if applicable, the Pro Forma Revolving Borrowing Base Certificate first reflecting such property) delivered to the Administrative Agent,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(v)the Administrative Agent has received (A) a FIRREA-conforming appraisal for such property, which appraisal shall be delivered by the Administrative Agent to the Lenders upon receipt by the Administrative Agent, and (B) a Phase I (or, if necessary, a Phase II) environmental report for such property,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(vi)such Eligible Borrowing Base Real Estate is located in a state within the United States or in the District of Columbia, and</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(vii)if such real property has been deemed Eligible Borrowing Base Real Estate for 12 months or longer (a) then with respect to each anniversary of the date such property was first deemed Eligible Borrowing Base Real Estate, the Administrative Agent has received (x) an updated FIRREA-conforming appraisal as of such date, which appraisal shall be delivered to the Lenders by the Administrative Agent upon receipt by the Administrative Agent, (y) if requested by the Administrative Agent in its sole discretion, an updated Phase I (or if necessary, a Phase II) environmental report and (z) a title report for such property and (b) the Administrative Agent, in its reasonable discretion, has not determined that such property is unacceptable or unmortgageable. Such determination shall be made each 90 days after such 12-month period and which determination shall take into account whether there is sufficient closing cost liquidity and market access available to the Company to consummate a mortgage financing and recordation in the open market;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Administrative Agent deems such real property not to be acceptable or mortgageable, the Administrative Agent shall notify the Company in writing of such determination and such real property shall cease to be Eligible Borrowing Base Real Estate 90 days after delivery of such written notice to the Company of such determination by the Administrative Agent.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Contracts-in-Transit</w:t>
      </w:r>
      <w:r>
        <w:rPr>
          <w:color w:val="000000"/>
        </w:rPr>
        <w:t xml:space="preserve">” </w:t>
      </w:r>
      <w:r>
        <w:rPr>
          <w:rFonts w:ascii="Times New Roman;sans-serif" w:hAnsi="Times New Roman;sans-serif"/>
          <w:b w:val="false"/>
          <w:color w:val="000000"/>
          <w:sz w:val="22"/>
        </w:rPr>
        <w:t>means the Contracts-in-Transit of the Company and the Subsidiary Guarantors;</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Contracts-in-Transit shall not (unless otherwise agreed to by the Administrative Agent) include any Contract-in-Transit: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(i)with respect to which any of the representations, warranties, covenants, and agreements contained in the Loan Documents are incorrect or have been breached in any material respect;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(ii)with respect to which either the perfection, enforceability, or validity of the Administrative Agent’s Liens in such Contract-in-Transit, or the Administrative Agent’s right or ability to obtain direct payment to the Administrative Agent of the proceeds of such Contract-in-Transit, is governed by any federal, state, or local statutory requirements other than those of the UCC;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(iii)that is not subject to the Administrative Agent’s Liens which are perfected as to such Contract-in-Transit, or that is subject to any other Lien whatsoever other than Borrowing Base Permitted Liens; and</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(b) the following Contracts-in-Transit shall not be Eligible Contracts-in-Transit to the extent (but only to the extent) that the aggregate Net Book Value of all such Contracts-in-Transit constitutes more than 10% of the Net Book Value of all otherwise Eligible Contracts-in-Transit: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(i)any Contract-in-Transit with respect to which more than 12 days have elapsed since the sale of the applicable Vehicle;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(ii)any Contract-in-Transit with respect to which Contract-in-Transit (or any other Contract-in-Transit due from such financial institution), in whole or in part, a check, promissory note, draft, trade acceptance or other instrument for the payment of money has been received, presented for payment and returned uncollected for any reason;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(iii)any Contract-in-Transit with respect to which any one or more of the following events has occurred to the respective financial institution: the filing by or against the financial institution of a request or petition for insolvency, liquidation, reorganization, arrangement, adjustment of debts, adjudication as a bankrupt, winding-up, or other relief under Debtor Relief Laws; the making of any general assignment by the financial institution for the benefit of creditors; the appointment of a receiver or trustee for the financial institution or for any of the assets of the financial institution, including, without limitation, the appointment of or taking possession by a “custodian,” as defined in the Bankruptcy Code of the United States; the institution by or against the financial institution of any other type of insolvency proceeding (under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Debtor Relief Laws or otherwise) or of any formal or informal proceeding for the dissolution or liquidation of, settlement of claims against, or winding up of affairs of, the financial institution; the sale, assignment, or transfer of all or any material part of the assets of the financial institution; the nonpayment generally by the financial institution of its debts as they become due; or the cessation of the business of the financial institution as a going concern;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(iv)any Contract-in-Transit provided by a financial institution which is an Affiliate of the Company or any Subsidiary;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(v)any Contract-in-Transit which is subject to any right of setoff or recoupment by the financial institution (including, without limitation, all Contracts-in-Transit that are subject to any agreement encumbering or limiting in any manner the Company’s or any Subsidiary’s access to such Contracts-in-Transit), unless the financial institution has entered into an agreement acceptable to the Administrative Agent to waive setoff rights; or if the financial institution has disputed liability or made any claim with respect to any other Contract-in-Transit due from such financial institution, but in each such case only to the extent of such indebtedness, setoff, recoupment, dispute, or claim;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(vi)any Contract-in-Transit that arises out of a sale not made in the ordinary course of the Company’s or the applicable Subsidiary’s business;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(vii)any Contract-in-Transit with respect to which the Vehicle giving rise to such Contract-in-Transit has not been delivered to and accepted by the applicable customer.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a Contract-in-Transit in any computation of the Borrowing Base, shall be deemed to represent and warrant to the Administrative Agent and the Lenders that (y) such Contract-in-Transit is not of the type described in any of (a)(i) through (iii) above and (z) at least 90% of the Contracts-in-Transit included as Eligible Contracts-in-Transit in the computation of such Borrowing Base are not of the type described in any of (b)(i) through (x) above; and if any Contract-in-Transit at any time ceases to be an Eligible Contract-in-Transit, then such Contract-in-Transit shall promptly be excluded by the Company from the calculation of Eligible Contracts-in-Transit. If the Administrative Agent or the Required Lenders have reasonable grounds to believe that a Contract-in-Transit is of the type described in any of clauses (a)(i) through (iv) above or that any Contract-in-Transit or Contracts-in-Transit cause the calculation of the Borrowing Base to violate proviso (b) above, the Administrative Agent shall inform the Company of the grounds for such belief and shall request confirmation by the Company of the eligibility of such Contract-in-Transit or Contracts-in-Transit. Prior to confirmation of the eligibility thereof by the Company, such Contract-in-Transit or Contracts-in-Transit shall not be considered Eligible Contracts-in-Transit and no representation and warranty shall have been deemed made with respect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Equipment</w:t>
      </w:r>
      <w:r>
        <w:rPr>
          <w:color w:val="000000"/>
        </w:rPr>
        <w:t xml:space="preserve">” </w:t>
      </w:r>
      <w:r>
        <w:rPr>
          <w:rFonts w:ascii="Times New Roman;sans-serif" w:hAnsi="Times New Roman;sans-serif"/>
          <w:b w:val="false"/>
          <w:color w:val="000000"/>
          <w:sz w:val="22"/>
        </w:rPr>
        <w:t>means Equipment of the Company or a Subsidiary Guarantor;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Equipment shall not (unless otherwise agreed to by the Administrative Agent) include any Equipment: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(i)that is not legally owned by the Company or a Subsidiary;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(ii)that is not subject to the Administrative Agent’s Liens which are perfected as to such Equipment, or that is subject to any other Lien whatsoever other than Borrowing Base Permitted Liens; and</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(b) the following Equipment shall not be Eligible Equipment to the extent (but only to the extent) that the aggregate Net Book Value of all such Equipment constitutes more than 10% of the Net Book Value of all otherwise Eligible Equipment: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(i)Equipment that is not in good working condition for its intended use or for sale; or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21</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(ii)Equipment that is located outside the United States or at a location other than a place of business of the Company or a Subsidiary.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Equipment in any computation of the Borrowing Base, shall be deemed to represent and warrant to the Administrative Agent and the Lenders that (y) such Equipment is not of the type described in any of (a)(i) through (ii) above and (z) at least 90% of the Equipment included as Eligible Equipment in the computation of such Borrowing Base is not of the type described in any of (b)(i) through (ii) above, and if any Equipment at any time ceases to be Eligible Equipment, then such Equipment shall promptly be excluded by the Company from the calculation of Eligible Equipment. If the Administrative Agent or the Required Lenders have reasonable grounds to believe that an item of Equipment is of the type described in any of clauses (a)(i) through (ii) above or that any item of Equipment causes the calculation of the Borrowing Base to violate proviso (b) above, the Administrative Agent shall inform the Company of the grounds for such belief and shall request confirmation by the Company of the eligibility of such Equipment. Prior to confirmation of the eligibility thereof by the Company, such Equipment shall not be considered Eligible Equipment and no representation and warranty shall have been deemed made with respect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New Vehicle Inventory</w:t>
      </w:r>
      <w:r>
        <w:rPr>
          <w:color w:val="000000"/>
        </w:rPr>
        <w:t xml:space="preserve">” </w:t>
      </w:r>
      <w:r>
        <w:rPr>
          <w:rFonts w:ascii="Times New Roman;sans-serif" w:hAnsi="Times New Roman;sans-serif"/>
          <w:b w:val="false"/>
          <w:color w:val="000000"/>
          <w:sz w:val="22"/>
        </w:rPr>
        <w:t>means New Vehicles each of which is an automobile or light-duty truck and is owned by a New Vehicle Borrower;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Eligible New Vehicles shall not (unless otherwise agreed to by the Administrative Agent) include any New Vehicle unless: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New Vehicle is subject to a perfected, first priority Lien in favor of the Administrative Agent for the benefit of the Secured Parties pursuant to the Security Instruments, free of any title defect or other Lien other than Borrowing Base Permitted Liens;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(ii)except as set forth in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xml:space="preserve">, the New Vehicle is located at one of the locations identified in </w:t>
      </w:r>
      <w:r>
        <w:rPr>
          <w:rFonts w:ascii="Times New Roman;sans-serif" w:hAnsi="Times New Roman;sans-serif"/>
          <w:b w:val="false"/>
          <w:color w:val="000000"/>
          <w:sz w:val="22"/>
          <w:u w:val="single"/>
        </w:rPr>
        <w:t>Schedule 5.18</w:t>
      </w:r>
      <w:r>
        <w:rPr>
          <w:color w:val="000000"/>
        </w:rPr>
        <w:t xml:space="preserve"> </w:t>
      </w:r>
      <w:r>
        <w:rPr>
          <w:rFonts w:ascii="Times New Roman;sans-serif" w:hAnsi="Times New Roman;sans-serif"/>
          <w:b w:val="false"/>
          <w:color w:val="000000"/>
          <w:sz w:val="22"/>
        </w:rPr>
        <w:t xml:space="preserve">(as updated from time to time in accordance with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New Vehicle is held for sale in the ordinary course of a New Vehicle Borrower’s business (or is a Rental Vehicle, Demonstrator or Fleet Vehicle) and is of good and merchantable quality.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a New Vehicle in any computation of the Revolving Borrowing Base, shall be deemed to represent and warrant to the Administrative Agent and the Lenders that such Vehicle satisfies each of the requirements set forth in (i) through (iii) above. If the Administrative Agent or the Required Lenders have reasonable grounds to believe that a New Vehicle does not satisfy any of clauses (i) through (iii) above, the Administrative Agent shall inform the Company of the grounds for such belief and shall request confirmation by the Company of the eligibility of such New Vehicle. Prior to confirmation of the eligibility thereof by the Company, such New Vehicle shall not be considered Eligible New Vehicle Inventory and no representation and warranty shall have been deemed made with respect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Parts and Accessories Inventory</w:t>
      </w:r>
      <w:r>
        <w:rPr>
          <w:color w:val="000000"/>
        </w:rPr>
        <w:t xml:space="preserve">” </w:t>
      </w:r>
      <w:r>
        <w:rPr>
          <w:rFonts w:ascii="Times New Roman;sans-serif" w:hAnsi="Times New Roman;sans-serif"/>
          <w:b w:val="false"/>
          <w:color w:val="000000"/>
          <w:sz w:val="22"/>
        </w:rPr>
        <w:t>means Inventory consisting of parts and accessories (but specifically excluding Vehicles and parts and accessories affixed thereto), which Inventory is owned by the Company or a Subsidiary that is a Guarantor;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Parts and Accessories Inventory shall not (unless otherwise agreed to by the Administrative Agent) include any Inventory: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(i)that is not owned by the Company or a Subsidiary that is a Guarantor;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(ii)that is not subject to the Administrative Agent’s Liens which are perfected as to such Inventory, or that is subject to any other Lien whatsoever, other than Borrowing Base Permitted Liens;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22</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(iii)that is not currently either usable or salable, at prices approximating at least cost, in the normal course of the Company’s or the applicable Subsidiary’s business, or that is slow moving or stale;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(iv)that is obsolete;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(v)that is Inventory placed on consignment; and</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(b) the following Inventory shall not be Eligible Parts and Accessories Inventory to the extent (but only to the extent) that the aggregate Net Book Value of all such Inventory constitutes more than 10% of the Net Book Value of all otherwise Eligible Parts and Accessories Inventory: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(vi)Inventory that does not consist of finished goods;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(vii)Inventory that consists of raw materials, work-in-process, chemicals (other than gas, oil and grease), samples, prototypes, supplies, or packing and shipping materials;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(viii)Inventory that is not in good condition, is unmerchantable or does not meet all standards imposed by any Governmental Authority, having regulatory authority over such goods, their use or sale;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(ix)Inventory that is returned or repossessed or used goods taken in trade;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(x)Inventory that is located outside the United States of America or Canada (or that is in-transit from vendors or suppliers);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(xi)Inventory that is located in a public warehouse or in possession of a bailee, if the warehouseman or the bailee has not delivered to the Administrative Agent, if requested by the Administrative Agent, a subordination agreement in form and substance reasonably satisfactory to the Administrative Agent.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Inventory in any computation of the Borrowing Base, shall be deemed to represent and warrant to the Administrative Agent and the Lenders that (y) such Inventory is not of the type described in any of (a)(i) through (v) above and (z) at least 90% of the Inventory included as Eligible Inventory in the computation of such Borrowing Base is not of the type described in any of (b)(i) through (vi) above, and if any Inventory at any time ceases to be Eligible Parts and Accessories Inventory, such Inventory shall promptly be excluded by the Company from the calculation of Eligible Parts and Accessories Inventory. If the Administrative Agent or the Required Lenders have reasonable grounds to believe that an item of Inventory is of the type described in any of clauses (a)(i) through (v) above or that any item of Inventory causes the calculation of the Borrowing Base to violate proviso (b) above, the Administrative Agent shall inform the Company of the grounds for such belief and shall request confirmation by the Company of the eligibility of such Inventory. Prior to confirmation of the eligibility thereof by the Company, such Inventory shall not be considered Eligible Parts and Accessories Inventory and no representation and warranty shall have been deemed made with respect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Used Vehicle Inventory</w:t>
      </w:r>
      <w:r>
        <w:rPr>
          <w:color w:val="000000"/>
        </w:rPr>
        <w:t xml:space="preserve">” </w:t>
      </w:r>
      <w:r>
        <w:rPr>
          <w:rFonts w:ascii="Times New Roman;sans-serif" w:hAnsi="Times New Roman;sans-serif"/>
          <w:b w:val="false"/>
          <w:color w:val="000000"/>
          <w:sz w:val="22"/>
        </w:rPr>
        <w:t>means Used Vehicles that are automobiles or light-duty trucks and are owned by a Used Vehicle Borrower;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Eligible Used Vehicle Inventory shall not (unless otherwise agreed to by the Administrative Agent) include any Used Vehicle unless: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Used Vehicle is subject to a perfected, first priority Lien in favor of the Administrative Agent for the benefit of the Secured Parties pursuant to the Security Instruments, free from any title defect or other Lien other than Borrowing Base Permitted Liens;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23</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Used Vehicle is properly titled in a Used Vehicle Borrower’s name or the certificate of title for such Used Vehicle is endorsed in blank by the prior owners and such Used Vehicle Borrower physically holds such certificates of title (or such Used Vehicle Borrower has, in accordance with its standard policies and procedures, initiated the process by which the requirements of this clause (b) will be satisfied);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(iii)except as set forth in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xml:space="preserve">, the Used Vehicle is located at one of the locations identified in </w:t>
      </w:r>
      <w:r>
        <w:rPr>
          <w:rFonts w:ascii="Times New Roman;sans-serif" w:hAnsi="Times New Roman;sans-serif"/>
          <w:b w:val="false"/>
          <w:color w:val="000000"/>
          <w:sz w:val="22"/>
          <w:u w:val="single"/>
        </w:rPr>
        <w:t>Schedule 5.18</w:t>
      </w:r>
      <w:r>
        <w:rPr>
          <w:color w:val="000000"/>
        </w:rPr>
        <w:t xml:space="preserve"> </w:t>
      </w:r>
      <w:r>
        <w:rPr>
          <w:rFonts w:ascii="Times New Roman;sans-serif" w:hAnsi="Times New Roman;sans-serif"/>
          <w:b w:val="false"/>
          <w:color w:val="000000"/>
          <w:sz w:val="22"/>
        </w:rPr>
        <w:t xml:space="preserve">(as updated from time to time in accordance with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Used Vehicle is held for sale in the ordinary course of a Used Vehicle Borrower’s business and is of good and merchantable quality.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a Used Vehicle in any computation of the Used Vehicle Floorplan Borrowing Base or the Revolving Borrowing Base, shall be deemed to represent and warrant to the Administrative Agent and the Lenders that (1) such Vehicle satisfies each of the requirements set forth in (i) through (iv) above and (2) such Vehicle is not a Demonstrator, Rental Vehicle or other mileaged New Vehicle, or any other New Vehicle. If the Administrative Agent or the Required Lenders have reasonable grounds to believe that a Used Vehicle does not satisfy any of clauses (i) through (iv) above or the foregoing clause (2), the Administrative Agent shall inform the Company of the grounds for such belief and shall request confirmation by the Company of the eligibility of such Used Vehicle. Prior to confirmation of the eligibility thereof by the Company, such Used Vehicle shall not be considered Eligible Used Vehicle Inventory and no representation and warranty shall have been deemed made with respect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Equipment</w:t>
      </w:r>
      <w:r>
        <w:rPr>
          <w:color w:val="000000"/>
        </w:rPr>
        <w:t xml:space="preserve">” </w:t>
      </w:r>
      <w:r>
        <w:rPr>
          <w:rFonts w:ascii="Times New Roman;sans-serif" w:hAnsi="Times New Roman;sans-serif"/>
          <w:b w:val="false"/>
          <w:color w:val="000000"/>
          <w:sz w:val="22"/>
        </w:rPr>
        <w:t>has the meaning given such term in Section 9-102 of the UCC.</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and the rules and regulations promulgated thereunder.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under common control with the Company within the meaning of Section 414(b) or (c) of the Code (and Sections 414(m) and (o) of the Code for purposes of provisions relating to Section 412 of the Code).</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24</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Escrow and Security Agreement</w:t>
      </w:r>
      <w:r>
        <w:rPr>
          <w:color w:val="000000"/>
        </w:rPr>
        <w:t xml:space="preserve">” </w:t>
      </w:r>
      <w:r>
        <w:rPr>
          <w:rFonts w:ascii="Times New Roman;sans-serif" w:hAnsi="Times New Roman;sans-serif"/>
          <w:b w:val="false"/>
          <w:color w:val="000000"/>
          <w:sz w:val="22"/>
        </w:rPr>
        <w:t xml:space="preserve">means that certain Third Amended and Restated Escrow and Security Agreement dated as of the Closing Date made by the Company and certain Loan Parties in favor of the Administrative Agent for the benefit of the Secured Parties, substantially in the form of </w:t>
      </w:r>
      <w:r>
        <w:rPr>
          <w:rFonts w:ascii="Times New Roman;sans-serif" w:hAnsi="Times New Roman;sans-serif"/>
          <w:b w:val="false"/>
          <w:color w:val="000000"/>
          <w:sz w:val="22"/>
          <w:u w:val="single"/>
        </w:rPr>
        <w:t>Exhibit I</w:t>
      </w:r>
      <w:r>
        <w:rPr>
          <w:color w:val="000000"/>
        </w:rPr>
        <w:t xml:space="preserve"> </w:t>
      </w:r>
      <w:r>
        <w:rPr>
          <w:rFonts w:ascii="Times New Roman;sans-serif" w:hAnsi="Times New Roman;sans-serif"/>
          <w:b w:val="false"/>
          <w:color w:val="000000"/>
          <w:sz w:val="22"/>
        </w:rPr>
        <w:t xml:space="preserve">attached hereto, as supplemented from time to time by the execution and delivery of Joinder Agreements pursuant to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and as otherwise supplemented, amended, or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Eurodollar Rate</w:t>
      </w:r>
      <w:r>
        <w:rPr>
          <w:color w:val="000000"/>
        </w:rPr>
        <w:t xml:space="preserve">” </w:t>
      </w:r>
      <w:r>
        <w:rPr>
          <w:rFonts w:ascii="Times New Roman;sans-serif" w:hAnsi="Times New Roman;sans-serif"/>
          <w:b w:val="false"/>
          <w:color w:val="000000"/>
          <w:sz w:val="22"/>
        </w:rPr>
        <w:t>means:</w:t>
      </w:r>
    </w:p>
    <w:p>
      <w:pPr>
        <w:pStyle w:val="TextBody"/>
        <w:spacing w:lineRule="auto" w:line="240" w:before="0" w:after="240"/>
        <w:ind w:left="0" w:right="0" w:firstLine="720"/>
        <w:jc w:val="both"/>
        <w:rPr/>
      </w:pPr>
      <w:r>
        <w:rPr>
          <w:rFonts w:ascii="Times New Roman;sans-serif" w:hAnsi="Times New Roman;sans-serif"/>
          <w:b w:val="false"/>
          <w:color w:val="000000"/>
          <w:sz w:val="22"/>
        </w:rPr>
        <w:t>(a)for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Times New Roman;sans-serif" w:hAnsi="Times New Roman;sans-serif"/>
          <w:b w:val="false"/>
          <w:color w:val="000000"/>
          <w:sz w:val="22"/>
          <w:u w:val="single"/>
        </w:rPr>
        <w:t>LIBOR</w:t>
      </w:r>
      <w:r>
        <w:rPr>
          <w:color w:val="000000"/>
        </w:rPr>
        <w:t>”</w:t>
      </w:r>
      <w:r>
        <w:rPr>
          <w:rFonts w:ascii="Times New Roman;sans-serif" w:hAnsi="Times New Roman;sans-serif"/>
          <w:b w:val="false"/>
          <w:color w:val="000000"/>
          <w:sz w:val="22"/>
        </w:rPr>
        <w:t xml:space="preserve">)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for any interest calculation with respect to a Base Rate Loan on any date, the rate per annum equal to LIBOR, at or about 11:00 a.m., London time determined two Business Days prior to such date for U.S. Dollar deposits with a term of one month commencing that day; and</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if the Eurodollar Rate shall be less than zero, such rate shall be deemed zero for purposes of this Agreement;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provided that to the extent a comparable or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Loan bearing interest at the Eurodollar Rate may be (a) borrowed on any day (whether or not it is the first day of the applicable Interest Period) and (b) repaid or converted to a different Type of Loan on any day (whether or not it is the last day of an Interest Period) without giving rise to any additional payment for “break funding” losses.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such a comparable or successor rate is adopted, the Administrative Agent will provide notice thereof to the Company.</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25</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Eurodollar Rate Committed Loan</w:t>
      </w:r>
      <w:r>
        <w:rPr>
          <w:color w:val="000000"/>
        </w:rPr>
        <w:t xml:space="preserve">” </w:t>
      </w:r>
      <w:r>
        <w:rPr>
          <w:rFonts w:ascii="Times New Roman;sans-serif" w:hAnsi="Times New Roman;sans-serif"/>
          <w:b w:val="false"/>
          <w:color w:val="000000"/>
          <w:sz w:val="22"/>
        </w:rPr>
        <w:t>means a Revolving Committed Loan, a New Vehicle Floorplan Committed Loan or a Used Vehicle Floorplan Committed Loan, as the context may require, that bears interest at a rate based on clause (a) of the definition of “Eurodollar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Eurodollar Rate Loan</w:t>
      </w:r>
      <w:r>
        <w:rPr>
          <w:color w:val="000000"/>
        </w:rPr>
        <w:t xml:space="preserve">” </w:t>
      </w:r>
      <w:r>
        <w:rPr>
          <w:rFonts w:ascii="Times New Roman;sans-serif" w:hAnsi="Times New Roman;sans-serif"/>
          <w:b w:val="false"/>
          <w:color w:val="000000"/>
          <w:sz w:val="22"/>
        </w:rPr>
        <w:t>means a Eurodollar Rate Committed Loan or a Revolving Swing Line Loan, a New Vehicle Floorplan Swing Line Loan or a Used Vehicle Floorplan Swing Line Loan that, in each case, bears interest at a rate based on clause (a) of the definition of “Eurodollar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means either a Revolving/Used Vehicle Event of Default or a New Vehicle Event of Default.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Property</w:t>
      </w:r>
      <w:r>
        <w:rPr>
          <w:color w:val="000000"/>
        </w:rPr>
        <w:t xml:space="preserve">” </w:t>
      </w:r>
      <w:r>
        <w:rPr>
          <w:rFonts w:ascii="Times New Roman;sans-serif" w:hAnsi="Times New Roman;sans-serif"/>
          <w:b w:val="false"/>
          <w:color w:val="000000"/>
          <w:sz w:val="22"/>
        </w:rPr>
        <w:t xml:space="preserve">means collectively: (a) any of the following, to the extent (but only to the extent) that any Franchise Agreement or Framework Agreement prohibits the granting of a security interest in such property: any Equity Interests of any Subsidiary owning (directly or indirectly) and/or operating a Franchise, the proceeds from the sale of any Franchise Agreement or Framework Agreement or any Equity Interests of any Subsidiary, any Framework Agreements, Franchise Agreements or other contracts or agreements with a manufacturer or distributor of Vehicles relating to the ownership or operation of any Franchise, any contract rights or other privileges (including, without limitation, any licenses) arising pursuant to any Framework Agreement, Franchise Agreement or other such agreement and any other assets (other than Vehicles, Borrowing Base Assets and proceeds of Vehicles and Borrowing Base Assets); (b) any contract, license, lease or agreement (other than any contract that is Excluded Property pursuant to clause (a) above) in which any Loan Party has any right, title or interest if and to the extent such contract or agreement contains a or is subject to a contractual provision or other restriction on assignment; (c) any “intent-to-use” trademark applications filed in the United States Patent and Trademark Office for which a statement of use has not been filed (but only until such statement is filed);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“Excluded Property” shall not include any common law rights with respect to any Trademark described in or subject to such “intent to use” application; (d) any real property, fixtures, related real property rights, related contracts and proceeds of the foregoing (including, without limitation, insurance proceeds in respect of the foregoing), that in each case secures Permitted Real Estate Debt to the extent that a grant of a security interest thereon would conflict with or result in a violation of the terms of such Permitted Real Estate Debt; and (e) any real property, fixtures, related real property rights, related contracts and proceeds of the foregoing (including, without limitation, insurance proceeds in respect of the foregoing), that in each case secures Indebtedness permitted by </w:t>
      </w:r>
      <w:r>
        <w:rPr>
          <w:rFonts w:ascii="Times New Roman;sans-serif" w:hAnsi="Times New Roman;sans-serif"/>
          <w:b w:val="false"/>
          <w:color w:val="000000"/>
          <w:sz w:val="22"/>
          <w:u w:val="single"/>
        </w:rPr>
        <w:t>Section 7.01(s)</w:t>
      </w:r>
      <w:r>
        <w:rPr>
          <w:color w:val="000000"/>
        </w:rPr>
        <w:t xml:space="preserve"> </w:t>
      </w:r>
      <w:r>
        <w:rPr>
          <w:rFonts w:ascii="Times New Roman;sans-serif" w:hAnsi="Times New Roman;sans-serif"/>
          <w:b w:val="false"/>
          <w:color w:val="000000"/>
          <w:sz w:val="22"/>
        </w:rPr>
        <w:t>to the extent that a grant of a security interest thereon would conflict with or result in a violation of the terms of such Indebtedness;</w:t>
      </w:r>
    </w:p>
    <w:p>
      <w:pPr>
        <w:pStyle w:val="TextBody"/>
        <w:spacing w:lineRule="auto" w:line="240"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of the foregoing exclusions in clause (a) or (b) shall not apply if (x) such prohibition has been waived or such other Person has otherwise consented to the creation hereunder of a security interest in such agreement, or (y) such prohibition would be rendered ineffective pursuant to Section 9-406, 9-407 or 9-408 of Article 9 of the UCC, as applicable and as then in effect in any relevant jurisdiction, or any other applicable law or principles of equity; and</w:t>
      </w:r>
    </w:p>
    <w:p>
      <w:pPr>
        <w:pStyle w:val="TextBody"/>
        <w:spacing w:lineRule="auto" w:line="240"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immediately upon the ineffectiveness, lapse or termination of any such prohibition, such Loan Party shall be deemed to have granted a security interest in all its rights, title and interests in and to such contract or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 xml:space="preserve">means, with respect to any Loan Party, any Swap Obligation if, and to the extent that, all or a portion of the Guarantee of such Loan Party of, the joint and several liability of such Loan Party for, or the grant by such Loan Party of a security interest to secure, such Swap Obligation (or any Guarantee thereof or joint and several liability therefor)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w:t>
      </w:r>
      <w:r>
        <w:rPr>
          <w:rFonts w:ascii="Times New Roman;sans-serif" w:hAnsi="Times New Roman;sans-serif"/>
          <w:b w:val="false"/>
          <w:color w:val="000000"/>
          <w:sz w:val="22"/>
          <w:u w:val="single"/>
        </w:rPr>
        <w:t>Section 10.20</w:t>
      </w:r>
      <w:r>
        <w:rPr>
          <w:color w:val="000000"/>
        </w:rPr>
        <w:t xml:space="preserve"> </w:t>
      </w:r>
      <w:r>
        <w:rPr>
          <w:rFonts w:ascii="Times New Roman;sans-serif" w:hAnsi="Times New Roman;sans-serif"/>
          <w:b w:val="false"/>
          <w:color w:val="000000"/>
          <w:sz w:val="22"/>
        </w:rPr>
        <w:t xml:space="preserve">and any other “keepwell, support or other agreement” for the benefit of such Loan Party and any and all guarantees of such Loan Party’s Swap Obligations by other Loan Parties) at the time the Guarantee of such Loan Party, the joint and several liability of such Loan Party or a grant by such Loan Party of a security interest, becomes effective with respect to such Swap Obligation. If a Swap Obligation arises under a master agreement governing more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than one swap, such exclusion shall apply only to the portion of such Swap Obligation that is attributable to swaps for which such Guarantee or security interest is or becomes excluded in accordance with the first sentence of this definition. The parties hereto agree that if any Loan Party has granted a Lien on any Collateral of such Loan Party pursuant to any Collateral Document, the obligations secured by such Lien shall exclude any Excluded Swap Obligation with respect to such Loan Party, and such Collateral Document is hereby deemed amended to effect such exclusion.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 xml:space="preserve">) or (ii) such Lender changes its Lending Office, except in each case to the extent that, pursuant to </w:t>
      </w:r>
      <w:r>
        <w:rPr>
          <w:rFonts w:ascii="Times New Roman;sans-serif" w:hAnsi="Times New Roman;sans-serif"/>
          <w:b w:val="false"/>
          <w:color w:val="000000"/>
          <w:sz w:val="22"/>
          <w:u w:val="single"/>
        </w:rPr>
        <w:t>Section 3.01(a)(ii)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and (d) any U.S. federal withholding Taxes imposed pursuant to FATCA.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 xml:space="preserve">has the meaning given such term in the recitals hereto.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 xml:space="preserve">means those Letters of Credit described on </w:t>
      </w:r>
      <w:r>
        <w:rPr>
          <w:rFonts w:ascii="Times New Roman;sans-serif" w:hAnsi="Times New Roman;sans-serif"/>
          <w:b w:val="false"/>
          <w:color w:val="000000"/>
          <w:sz w:val="22"/>
          <w:u w:val="single"/>
        </w:rPr>
        <w:t>Schedule 2.03</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Extending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2.23(e)</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Existing Maturity Date</w:t>
      </w:r>
      <w:r>
        <w:rPr>
          <w:color w:val="000000"/>
        </w:rPr>
        <w:t xml:space="preserve">” </w:t>
      </w:r>
      <w:r>
        <w:rPr>
          <w:rFonts w:ascii="Times New Roman;sans-serif" w:hAnsi="Times New Roman;sans-serif"/>
          <w:b w:val="false"/>
          <w:color w:val="000000"/>
          <w:sz w:val="22"/>
        </w:rPr>
        <w:t>means the Maturity Date then in effect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Facilities</w:t>
      </w:r>
      <w:r>
        <w:rPr>
          <w:color w:val="000000"/>
        </w:rPr>
        <w:t xml:space="preserve">” </w:t>
      </w:r>
      <w:r>
        <w:rPr>
          <w:rFonts w:ascii="Times New Roman;sans-serif" w:hAnsi="Times New Roman;sans-serif"/>
          <w:b w:val="false"/>
          <w:color w:val="000000"/>
          <w:sz w:val="22"/>
        </w:rPr>
        <w:t>means, collectively, the Revolving Credit Facility, the New Vehicle Floorplan Facility and the Used Vehicle Floorplan Facility.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FASB ASC</w:t>
      </w:r>
      <w:r>
        <w:rPr>
          <w:color w:val="000000"/>
        </w:rPr>
        <w:t xml:space="preserve">” </w:t>
      </w:r>
      <w:r>
        <w:rPr>
          <w:rFonts w:ascii="Times New Roman;sans-serif" w:hAnsi="Times New Roman;sans-serif"/>
          <w:b w:val="false"/>
          <w:color w:val="000000"/>
          <w:sz w:val="22"/>
        </w:rPr>
        <w:t>means the Accounting Standards Codification of the Financial Accounting Standards Board.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Federal Funds Rate</w:t>
      </w:r>
      <w:r>
        <w:rPr>
          <w:color w:val="000000"/>
        </w:rPr>
        <w:t xml:space="preserve">” </w:t>
      </w:r>
      <w:r>
        <w:rPr>
          <w:rFonts w:ascii="Times New Roman;sans-serif" w:hAnsi="Times New Roman;sans-serif"/>
          <w:b w:val="false"/>
          <w:color w:val="000000"/>
          <w:sz w:val="22"/>
        </w:rPr>
        <w:t xml:space="preserve">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as so determined would be less than zero, such rate shall be deemed to be zero for purposes 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Fee Letter</w:t>
      </w:r>
      <w:r>
        <w:rPr>
          <w:color w:val="000000"/>
        </w:rPr>
        <w:t xml:space="preserve">” </w:t>
      </w:r>
      <w:r>
        <w:rPr>
          <w:rFonts w:ascii="Times New Roman;sans-serif" w:hAnsi="Times New Roman;sans-serif"/>
          <w:b w:val="false"/>
          <w:color w:val="000000"/>
          <w:sz w:val="22"/>
        </w:rPr>
        <w:t>means the letter agreement, dated August 8, 2019 among the Company, the Administrative Agent and the Arranger.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27</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Fleet Vehicle</w:t>
      </w:r>
      <w:r>
        <w:rPr>
          <w:color w:val="000000"/>
        </w:rPr>
        <w:t xml:space="preserve">” </w:t>
      </w:r>
      <w:r>
        <w:rPr>
          <w:rFonts w:ascii="Times New Roman;sans-serif" w:hAnsi="Times New Roman;sans-serif"/>
          <w:b w:val="false"/>
          <w:color w:val="000000"/>
          <w:sz w:val="22"/>
        </w:rPr>
        <w:t>means one of a group of New Vehicles sold to a Person (e.g., a rental car agency) which purchases in excess of ten (10) Vehicles per purchase contract for commercial use.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Floorplan Commitment</w:t>
      </w:r>
      <w:r>
        <w:rPr>
          <w:color w:val="000000"/>
        </w:rPr>
        <w:t xml:space="preserve">” </w:t>
      </w:r>
      <w:r>
        <w:rPr>
          <w:rFonts w:ascii="Times New Roman;sans-serif" w:hAnsi="Times New Roman;sans-serif"/>
          <w:b w:val="false"/>
          <w:color w:val="000000"/>
          <w:sz w:val="22"/>
        </w:rPr>
        <w:t>means, as to each Lender, the New Vehicle Floorplan Commitment and Used Vehicle Floorplan Commitment, collectively, of such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Floorplan Facility</w:t>
      </w:r>
      <w:r>
        <w:rPr>
          <w:color w:val="000000"/>
        </w:rPr>
        <w:t xml:space="preserve">” </w:t>
      </w:r>
      <w:r>
        <w:rPr>
          <w:rFonts w:ascii="Times New Roman;sans-serif" w:hAnsi="Times New Roman;sans-serif"/>
          <w:b w:val="false"/>
          <w:color w:val="000000"/>
          <w:sz w:val="22"/>
        </w:rPr>
        <w:t>means, collectively or individually, as the context may require, the New Vehicle Floorplan Facility or the Used Vehicle Floorplan Facility.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Floorplan Loan</w:t>
      </w:r>
      <w:r>
        <w:rPr>
          <w:color w:val="000000"/>
        </w:rPr>
        <w:t xml:space="preserve">” </w:t>
      </w:r>
      <w:r>
        <w:rPr>
          <w:rFonts w:ascii="Times New Roman;sans-serif" w:hAnsi="Times New Roman;sans-serif"/>
          <w:b w:val="false"/>
          <w:color w:val="000000"/>
          <w:sz w:val="22"/>
        </w:rPr>
        <w:t>means any New Vehicle Floorplan Loan or any Used Vehicle Floorplan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Floorplan Offset Amount</w:t>
      </w:r>
      <w:r>
        <w:rPr>
          <w:color w:val="000000"/>
        </w:rPr>
        <w:t xml:space="preserve">” </w:t>
      </w:r>
      <w:r>
        <w:rPr>
          <w:rFonts w:ascii="Times New Roman;sans-serif" w:hAnsi="Times New Roman;sans-serif"/>
          <w:b w:val="false"/>
          <w:color w:val="000000"/>
          <w:sz w:val="22"/>
        </w:rPr>
        <w:t>has the meaning assigned thereto in the definition of “New Vehicle Floorplan Offset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Floorplan On-line System</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2.09</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FMCC</w:t>
      </w:r>
      <w:r>
        <w:rPr>
          <w:color w:val="000000"/>
        </w:rPr>
        <w:t xml:space="preserve">” </w:t>
      </w:r>
      <w:r>
        <w:rPr>
          <w:rFonts w:ascii="Times New Roman;sans-serif" w:hAnsi="Times New Roman;sans-serif"/>
          <w:b w:val="false"/>
          <w:color w:val="000000"/>
          <w:sz w:val="22"/>
        </w:rPr>
        <w:t xml:space="preserve">means Ford Motor Credit Company, or any successor in interest to Ford Motor Credit Company.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FMCC Collateral</w:t>
      </w:r>
      <w:r>
        <w:rPr>
          <w:color w:val="000000"/>
        </w:rPr>
        <w:t xml:space="preserve">” </w:t>
      </w:r>
      <w:r>
        <w:rPr>
          <w:rFonts w:ascii="Times New Roman;sans-serif" w:hAnsi="Times New Roman;sans-serif"/>
          <w:b w:val="false"/>
          <w:color w:val="000000"/>
          <w:sz w:val="22"/>
        </w:rPr>
        <w:t>means, to the extent a security interest in and to the following items of property have been granted to FMCC, (A) any item of Ford or Lincoln New Vehicle inventory if such inventory was originally acquired by any Ford or Lincoln Franchise (whether directly from a manufacturer, through dealer trade or at auction) set forth on the applicable exhibit to the FMCC Intercreditor Agreement (which Exhibit shall be considered the “</w:t>
      </w:r>
      <w:r>
        <w:rPr>
          <w:rFonts w:ascii="Times New Roman;sans-serif" w:hAnsi="Times New Roman;sans-serif"/>
          <w:b w:val="false"/>
          <w:color w:val="000000"/>
          <w:sz w:val="22"/>
          <w:u w:val="single"/>
        </w:rPr>
        <w:t>FMCC Exhibit</w:t>
      </w:r>
      <w:r>
        <w:rPr>
          <w:color w:val="000000"/>
        </w:rPr>
        <w:t xml:space="preserve">” </w:t>
      </w:r>
      <w:r>
        <w:rPr>
          <w:rFonts w:ascii="Times New Roman;sans-serif" w:hAnsi="Times New Roman;sans-serif"/>
          <w:b w:val="false"/>
          <w:color w:val="000000"/>
          <w:sz w:val="22"/>
        </w:rPr>
        <w:t>and may be supplemented or amended from time to time in accordance with the terms of the FMCC Intercreditor Agreement) and FMCC is a party to a loan facility to provide inventory financing of Ford or Lincoln New Vehicle inventory on a VIN-specific basis to such Ford or Lincoln Franchise, (B) all accounts, instruments, monies, payment intangibles and other rights to payment (and all items in which FMCC may exercise a right of setoff or recoupment at law or in equity) which are owed by any Person to a Ford or Lincoln Franchise (or to the dealership Subsidiary that owns such Ford or Lincoln Franchise and which relate to such Ford or Lincoln Franchise) set forth on the FMCC Exhibit, (C) any inventory of repair, replacement or service parts of any Ford or Lincoln Franchise set forth on the FMCC Exhibit, (D) general intangibles of any Ford or Lincoln Franchise set forth on the FMCC Exhibit (including, without limitation, franchise rights of such Ford or Lincoln Franchise to the extent such Ford or Lincoln Franchise shall have granted a security interest therein to FMCC, but excluding any equity or other ownership interests in any direct or indirect Subsidiary of the Company), and (E) any proceeds of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FMCC Intercreditor Agreement</w:t>
      </w:r>
      <w:r>
        <w:rPr>
          <w:color w:val="000000"/>
        </w:rPr>
        <w:t xml:space="preserve">” </w:t>
      </w:r>
      <w:r>
        <w:rPr>
          <w:rFonts w:ascii="Times New Roman;sans-serif" w:hAnsi="Times New Roman;sans-serif"/>
          <w:b w:val="false"/>
          <w:color w:val="000000"/>
          <w:sz w:val="22"/>
        </w:rPr>
        <w:t xml:space="preserve">means an intercreditor agreement, including any such agreement entered into after December 4, 2014, between FMCC and the Administrative Agent with respect to FMCC Collateral and is otherwise acceptable to the Administrative Agent.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any Lender that is organized under the Laws of a jurisdiction other than that in which the Company is resident for tax purposes (including such a Lender when acting in the capacity of an L/C Issuer). For purposes of this definition, the United States, each State thereof and the District of Columbia shall be deemed to constitute a single jurisdiction.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(i) any Subsidiary not organized under the laws of the United States, any state thereof, or the District of Columbia, (ii) any Subsidiary of an entity described in the preceding clause (i), (iii) any Subsidiary that is a disregarded entity for U.S. federal income tax purposes that owns the capital stock or indebtedness of one or more Foreign Subsidiaries or (iv) a Subsidiary substantially all of the assets of which are capital stock or indebtedness of one or more Foreign Subsidiaries.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Framework Agreement</w:t>
      </w:r>
      <w:r>
        <w:rPr>
          <w:color w:val="000000"/>
        </w:rPr>
        <w:t xml:space="preserve">” </w:t>
      </w:r>
      <w:r>
        <w:rPr>
          <w:rFonts w:ascii="Times New Roman;sans-serif" w:hAnsi="Times New Roman;sans-serif"/>
          <w:b w:val="false"/>
          <w:color w:val="000000"/>
          <w:sz w:val="22"/>
        </w:rPr>
        <w:t>means a framework agreement, in each case between a Loan Party and a manufacturer or distributor of Vehicles.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FRB</w:t>
      </w:r>
      <w:r>
        <w:rPr>
          <w:color w:val="000000"/>
        </w:rPr>
        <w:t xml:space="preserve">” </w:t>
      </w:r>
      <w:r>
        <w:rPr>
          <w:rFonts w:ascii="Times New Roman;sans-serif" w:hAnsi="Times New Roman;sans-serif"/>
          <w:b w:val="false"/>
          <w:color w:val="000000"/>
          <w:sz w:val="22"/>
        </w:rPr>
        <w:t>means the Board of Governors of the Federal Reserve System of the United States.</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28</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Franchise</w:t>
      </w:r>
      <w:r>
        <w:rPr>
          <w:color w:val="000000"/>
        </w:rPr>
        <w:t xml:space="preserve">” </w:t>
      </w:r>
      <w:r>
        <w:rPr>
          <w:rFonts w:ascii="Times New Roman;sans-serif" w:hAnsi="Times New Roman;sans-serif"/>
          <w:b w:val="false"/>
          <w:color w:val="000000"/>
          <w:sz w:val="22"/>
        </w:rPr>
        <w:t>means any division of a Subsidiary that holds (or the portion of the assets of such Subsidiary that constitutes) the assets of a particular franchise for the sale of New Vehicles and/or Used Vehicles. A Subsidiary may own and operate one or more than one Franchise. (By way of example, and without limiting the generality of the foregoing, Asbury Automotive St. Louis, L.L.C. is a Subsidiary that, as of the date hereof, owns a BMW Franchise and an Infiniti Franchise, among others.)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Franchise Agreement</w:t>
      </w:r>
      <w:r>
        <w:rPr>
          <w:color w:val="000000"/>
        </w:rPr>
        <w:t xml:space="preserve">” </w:t>
      </w:r>
      <w:r>
        <w:rPr>
          <w:rFonts w:ascii="Times New Roman;sans-serif" w:hAnsi="Times New Roman;sans-serif"/>
          <w:b w:val="false"/>
          <w:color w:val="000000"/>
          <w:sz w:val="22"/>
        </w:rPr>
        <w:t>means any dealer franchise agreement, dealer sales and service agreement or similar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Fronting Exposure</w:t>
      </w:r>
      <w:r>
        <w:rPr>
          <w:color w:val="000000"/>
        </w:rPr>
        <w:t xml:space="preserve">” </w:t>
      </w:r>
      <w:r>
        <w:rPr>
          <w:rFonts w:ascii="Times New Roman;sans-serif" w:hAnsi="Times New Roman;sans-serif"/>
          <w:b w:val="false"/>
          <w:color w:val="000000"/>
          <w:sz w:val="22"/>
        </w:rPr>
        <w:t>means, at any time there is a Defaulting Lender, (a) with respect to an L/C Issuer, such Defaulting Lender’s Applicable Percentage of the outstanding L/C Obligations with respect to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 xml:space="preserve">means, as to any Person, (a) any obligation, contingent or otherwise, of such Person guaranteeing or having the economic effect of guaranteeing any Indebtedness (the “primary obligations”) payable or performable by another Person (the “primary obligor”) in any manner, whether directly or indirectly, and including any obligation of such Person, direct or indirect, (i) to purchase or pay (or advance or supply funds for the purchase or payment of) such primary obligations, (ii) to purchase or lease property, securities or services for the purpose of assuring the obligee in respect of such primary obligations of the payment or performance of such primary obligations, (iii) to maintain working capital, equity capital or any other financial statement condition or liquidity or level of income or cash flow of the primary obligor so as to enable the primary obligor to pay such primary obligations, or (iv) entered into for the purpose of assuring in any other manner the obligee in respect of such primary obligations of the payment or performance thereof or to protect such obligee against loss in respect thereof (in whole or in part), or (b) any Lien on any assets of such Person securing any primary obligations of any primary obligor, whether or not such primary obligation is assumed by such Person (or any right, contingent or otherwise, of any holder of such primary obligation to obtain any such Lien). The amount of any Guarantee (other than a Guarantee of the type described in clause (b) above) shall be deemed to be an amount equal to the stated or determinable amount of the related primary obligation, or portion thereof, in respect of which such Guarantee is made or, if not stated or determinable, the maximum reasonably anticipated liability in respect thereof as reasonably determined by the guaranteeing Person in good faith. The amount of any Guarantee of the type described in clause (b) above shall be deemed to be an amount equal to the lesser of (x) the fair market value of the property subject to such Lien and (y)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has a corresponding meaning. The term “Guarantee” shall not include endorsements of instruments for deposit or collection in the ordinary course of business.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Guaranties</w:t>
      </w:r>
      <w:r>
        <w:rPr>
          <w:color w:val="000000"/>
        </w:rPr>
        <w:t xml:space="preserve">” </w:t>
      </w:r>
      <w:r>
        <w:rPr>
          <w:rFonts w:ascii="Times New Roman;sans-serif" w:hAnsi="Times New Roman;sans-serif"/>
          <w:b w:val="false"/>
          <w:color w:val="000000"/>
          <w:sz w:val="22"/>
        </w:rPr>
        <w:t>means, collectively, the Company Guaranty and the Subsidiary Guaranty.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means, collectively, (a) the Company, (b) the Subsidiary Guarantors, and (c) with respect to (i) Obligations owing by any Loan Party or any Subsidiary of a Loan Party under any Swap Contract or any Cash Management Agreement and (ii) the payment and performance by each Specified Loan Party of its obligations under its Guarantee with respect to all Swap Obligations, each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Hedge Bank</w:t>
      </w:r>
      <w:r>
        <w:rPr>
          <w:color w:val="000000"/>
        </w:rPr>
        <w:t xml:space="preserve">” </w:t>
      </w:r>
      <w:r>
        <w:rPr>
          <w:rFonts w:ascii="Times New Roman;sans-serif" w:hAnsi="Times New Roman;sans-serif"/>
          <w:b w:val="false"/>
          <w:color w:val="000000"/>
          <w:sz w:val="22"/>
        </w:rPr>
        <w:t xml:space="preserve">means any Person that, (a) at the time it enters into a Swap Contract not prohibited under </w:t>
      </w:r>
      <w:r>
        <w:rPr>
          <w:rFonts w:ascii="Times New Roman;sans-serif" w:hAnsi="Times New Roman;sans-serif"/>
          <w:b w:val="false"/>
          <w:color w:val="000000"/>
          <w:sz w:val="22"/>
          <w:u w:val="single"/>
        </w:rPr>
        <w:t xml:space="preserve">Article VI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xml:space="preserve">, is a Lender or an Affiliate of a Lender, or (b) at the time it (or its Affiliate) becomes a Lender, is a party to a Swap Contract not prohibited under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in each case, in its capacity as a party to such Swap Contract.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Increase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2.22(d)</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Immaterial Subsidiary</w:t>
      </w:r>
      <w:r>
        <w:rPr>
          <w:color w:val="000000"/>
        </w:rPr>
        <w:t xml:space="preserve">” </w:t>
      </w:r>
      <w:r>
        <w:rPr>
          <w:rFonts w:ascii="Times New Roman;sans-serif" w:hAnsi="Times New Roman;sans-serif"/>
          <w:b w:val="false"/>
          <w:color w:val="000000"/>
          <w:sz w:val="22"/>
        </w:rPr>
        <w:t xml:space="preserve">means each direct or indirect Subsidiary of the Company that either (a) has total assets (including Equity Interests in other Persons) of less than 2.5% of the total assets of the Company and its Subsidiaries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if prior to delivery of any financial statements pursuant to such Sections, then calculated based on the Audited Financial Statements) or (b) contributes less than 2.5% to Consolidated EBITDA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if prior to delivery of any financial statements pursuant to such Sections, then calculated based on the Audited Financial Statements). In the event that either (x) the total assets of all Immaterial Subsidiaries equals or exceed 5% of the total assets of the Company and its Subsidiaries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if prior to delivery of any financial statements pursuant to such Sections, then calculated based on the Audited Financial Statements) or (y) the total contribution of all Immaterial Subsidiaries to Consolidated EBITDA exceeds 5% of Consolidated EBITDA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(or if prior to delivery of any financial statements pursuant to such Sections, then calculated based on the Audited Financial Statements), as the case may be, the Company will designate Subsidiaries which would otherwise constitute Immaterial Subsidiaries to be excluded from qualifying as Immaterial Subsidiaries until the total assets and total contribution to Consolidated EBITDA of all Subsidiaries constituting Immaterial Subsidiaries are, in each case, less than or equal to such 5% thresholds.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Impacted Loans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as to any Person at a particular time, without duplication, all of the following, whether or not included as indebtedness or liabilities in accordance with GAAP:</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(a)all obligations of such Person for borrowed money and all obligations of such Person evidenced by bonds, debentures, notes, loan agreements or other similar instruments; </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all direct or contingent obligations of such Person arising under letters of credit (including standby and commercial), bankers’ acceptances, bank guaranties, surety bonds and similar instruments;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30</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net obligations of such Person under any Swap Contract;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all obligations of such Person to pay the deferred purchase price of property or services (other than trade accounts payable in the ordinary course of business and, in each case, not past due for more than (i) 90 days after the original specified due date thereof, or (ii) if such trade account payable has no specified due date, 120 days after the date on which such trade account payable was created); </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capital leases and Synthetic Lease Obligations; </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accrued and unpaid dividends; and</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all Guarantees of such Person in respect of any of the foregoing.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 The amount of Indebtedness of the type described in clause (e) above to the extent the recourse for such Indebtedness is limited to recourse against the property subject to the Lien described in clause (e) shall be deemed to be an amount equal to the lesser of (x) the fair market value of the property subject to such Lien and (y) the outstanding amount if indebtedness secured by such Lien. The term “Indebtedness” shall not include (x) customer deposits and interest payable thereon in the ordinary course of business or (y) indebtedness to the extent that it has been defeased or satisfied and discharged in accordance with the terms of the documents governing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to the extent the deposit of assets with the applicable holders (or trustee on behalf of such holders) is required in connection with the defeasance or satisfaction and discharge of such indebtedness, such assets are limited to cash and cash equivalents and (ii) none of the assets associated with such defeasance, or any income earned on such assets, shall be included in the calculation of any financial covenant or ratio or incurrence test hereunder, any borrowing base hereunder or the Prepayment Test Amount.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any Loan Party under any Loan Document and (b) to the extent not otherwise described in (a), Other Taxes.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Indemnitees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10.04(b)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Indentures</w:t>
      </w:r>
      <w:r>
        <w:rPr>
          <w:color w:val="000000"/>
        </w:rPr>
        <w:t xml:space="preserve">” </w:t>
      </w:r>
      <w:r>
        <w:rPr>
          <w:rFonts w:ascii="Times New Roman;sans-serif" w:hAnsi="Times New Roman;sans-serif"/>
          <w:b w:val="false"/>
          <w:color w:val="000000"/>
          <w:sz w:val="22"/>
        </w:rPr>
        <w:t>means (i) that certain Indenture, dated as of February 19, 2020 (as amended, supplemented and otherwise modified prior to the date hereof, and as further amended, supplemented or otherwise modified from time to time to the extent permitted hereunder), governing the 4.50% Senior Notes due 2028 of the Company and (ii) that certain Indenture, dated as of February 19, 2020 (as amended, supplemented and otherwise modified prior to the date hereof, and as further amended, supplemented or otherwise modified from time to time to the extent permitted hereunder), governing the 4.75% Senior Notes due 2030 of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10.07</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31</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Intangible Assets</w:t>
      </w:r>
      <w:r>
        <w:rPr>
          <w:color w:val="000000"/>
        </w:rPr>
        <w:t xml:space="preserve">” </w:t>
      </w:r>
      <w:r>
        <w:rPr>
          <w:rFonts w:ascii="Times New Roman;sans-serif" w:hAnsi="Times New Roman;sans-serif"/>
          <w:b w:val="false"/>
          <w:color w:val="000000"/>
          <w:sz w:val="22"/>
        </w:rPr>
        <w:t>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the Automatic Debit Date of each calendar month.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means a period of approximately one month commencing on the first Business Day of each month and ending on the first Business Day of the following month.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 xml:space="preserve">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t>
      </w:r>
      <w:r>
        <w:rPr>
          <w:rFonts w:ascii="Times New Roman;sans-serif" w:hAnsi="Times New Roman;sans-serif"/>
          <w:b w:val="false"/>
          <w:i/>
          <w:color w:val="000000"/>
          <w:sz w:val="22"/>
        </w:rPr>
        <w:t xml:space="preserve">less </w:t>
      </w:r>
      <w:r>
        <w:rPr>
          <w:rFonts w:ascii="Times New Roman;sans-serif" w:hAnsi="Times New Roman;sans-serif"/>
          <w:b w:val="false"/>
          <w:color w:val="000000"/>
          <w:sz w:val="22"/>
        </w:rPr>
        <w:t>any principal repayments or return of capital actually received in cash from such Investment.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the International Standby Practices, International Chamber of Commerce Publication No. 590 (or such later version thereof as may be in effect at the applicable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Issuer Documents</w:t>
      </w:r>
      <w:r>
        <w:rPr>
          <w:color w:val="000000"/>
        </w:rPr>
        <w:t xml:space="preserve">” </w:t>
      </w:r>
      <w:r>
        <w:rPr>
          <w:rFonts w:ascii="Times New Roman;sans-serif" w:hAnsi="Times New Roman;sans-serif"/>
          <w:b w:val="false"/>
          <w:color w:val="000000"/>
          <w:sz w:val="22"/>
        </w:rPr>
        <w:t>means with respect to any Letter of Credit, the Letter of Credit Application, and any other document, agreement and instrument entered into by the respective L/C Issuer and the Company (or any Subsidiary) or in favor of such L/C Issuer and relating to such Letter of Credit.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Joinder Agreement</w:t>
      </w:r>
      <w:r>
        <w:rPr>
          <w:color w:val="000000"/>
        </w:rPr>
        <w:t xml:space="preserve">” </w:t>
      </w:r>
      <w:r>
        <w:rPr>
          <w:rFonts w:ascii="Times New Roman;sans-serif" w:hAnsi="Times New Roman;sans-serif"/>
          <w:b w:val="false"/>
          <w:color w:val="000000"/>
          <w:sz w:val="22"/>
        </w:rPr>
        <w:t xml:space="preserve">means each Joinder Agreement, substantially in the form of </w:t>
      </w:r>
      <w:r>
        <w:rPr>
          <w:rFonts w:ascii="Times New Roman;sans-serif" w:hAnsi="Times New Roman;sans-serif"/>
          <w:b w:val="false"/>
          <w:color w:val="000000"/>
          <w:sz w:val="22"/>
          <w:u w:val="single"/>
        </w:rPr>
        <w:t>Exhibit H</w:t>
      </w:r>
      <w:r>
        <w:rPr>
          <w:rFonts w:ascii="Times New Roman;sans-serif" w:hAnsi="Times New Roman;sans-serif"/>
          <w:b w:val="false"/>
          <w:color w:val="000000"/>
          <w:sz w:val="22"/>
        </w:rPr>
        <w:t xml:space="preserve">, executed and delivered by a Subsidiary or any other Person to the Administrative Agent, for the benefit of the Secured Parties, pursuant to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Landlord Waiver</w:t>
      </w:r>
      <w:r>
        <w:rPr>
          <w:color w:val="000000"/>
        </w:rPr>
        <w:t xml:space="preserve">” </w:t>
      </w:r>
      <w:r>
        <w:rPr>
          <w:rFonts w:ascii="Times New Roman;sans-serif" w:hAnsi="Times New Roman;sans-serif"/>
          <w:b w:val="false"/>
          <w:color w:val="000000"/>
          <w:sz w:val="22"/>
        </w:rPr>
        <w:t>means, as to any leasehold interest of a Loan Party, a landlord waiver and consent agreement executed by the landlord of such leasehold interest, in each case in form and substance reasonably satisfactory to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Laws</w:t>
      </w:r>
      <w:r>
        <w:rPr>
          <w:color w:val="000000"/>
        </w:rPr>
        <w:t xml:space="preserve">” </w:t>
      </w:r>
      <w:r>
        <w:rPr>
          <w:rFonts w:ascii="Times New Roman;sans-serif" w:hAnsi="Times New Roman;sans-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Advance</w:t>
      </w:r>
      <w:r>
        <w:rPr>
          <w:color w:val="000000"/>
        </w:rPr>
        <w:t xml:space="preserve">” </w:t>
      </w:r>
      <w:r>
        <w:rPr>
          <w:rFonts w:ascii="Times New Roman;sans-serif" w:hAnsi="Times New Roman;sans-serif"/>
          <w:b w:val="false"/>
          <w:color w:val="000000"/>
          <w:sz w:val="22"/>
        </w:rPr>
        <w:t>means, with respect to each Lender, such Lender’s funding of its participation in any L/C Borrowing in accordance with its Applicable Percentage.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Borrowing</w:t>
      </w:r>
      <w:r>
        <w:rPr>
          <w:color w:val="000000"/>
        </w:rPr>
        <w:t xml:space="preserve">” </w:t>
      </w:r>
      <w:r>
        <w:rPr>
          <w:rFonts w:ascii="Times New Roman;sans-serif" w:hAnsi="Times New Roman;sans-serif"/>
          <w:b w:val="false"/>
          <w:color w:val="000000"/>
          <w:sz w:val="22"/>
        </w:rPr>
        <w:t>means an extension of credit resulting from a drawing under any Letter of Credit which has not been reimbursed on the date when made or refinanced as a Committed Borrowing.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Credit Extension</w:t>
      </w:r>
      <w:r>
        <w:rPr>
          <w:color w:val="000000"/>
        </w:rPr>
        <w:t xml:space="preserve">” </w:t>
      </w:r>
      <w:r>
        <w:rPr>
          <w:rFonts w:ascii="Times New Roman;sans-serif" w:hAnsi="Times New Roman;sans-serif"/>
          <w:b w:val="false"/>
          <w:color w:val="000000"/>
          <w:sz w:val="22"/>
        </w:rPr>
        <w:t>means, with respect to any Letter of Credit, the issuance thereof or extension of the expiry date thereof, or the increase of the amount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Issuer</w:t>
      </w:r>
      <w:r>
        <w:rPr>
          <w:color w:val="000000"/>
        </w:rPr>
        <w:t xml:space="preserve">” </w:t>
      </w:r>
      <w:r>
        <w:rPr>
          <w:rFonts w:ascii="Times New Roman;sans-serif" w:hAnsi="Times New Roman;sans-serif"/>
          <w:b w:val="false"/>
          <w:color w:val="000000"/>
          <w:sz w:val="22"/>
        </w:rPr>
        <w:t xml:space="preserve">means (a) Bank of America in its capacity as an issuer of Letters of Credit hereunder, or any successor to Bank of America in its capacity as an issuer of Letters of Credit hereunder and (b) not more than one additional Lender, selected by the Company and reasonably acceptable to the Administrative Agent, which consents to its appointment by the Company as an issuer of Letters of Credit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hereunder and becomes an L/C Issuer hereunder pursuant to a joinder agreement in form and substance reasonably satisfactory to the Administrative Agent and its counsel, in such Lender’s capacity as an issuer of Letters of Credit hereunder or any successor to such Lender in its capacity as an issuer of Letters of Credit hereunder. All singular references to the L/C Issuer shall mean any L/C Issuer, the L/C Issuer that has issued the applicable Letter of Credit or all L/C Issuers, as the context may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Obligations</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Letters of Credit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1.07</w:t>
      </w:r>
      <w:r>
        <w:rPr>
          <w:rFonts w:ascii="Times New Roman;sans-serif" w:hAnsi="Times New Roman;sans-serif"/>
          <w:b w:val="false"/>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has the meaning specified in the introductory paragraph hereto and, as the context requires, includes the Swing Line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Lender Party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Lender Recipient Party</w:t>
      </w:r>
      <w:r>
        <w:rPr>
          <w:color w:val="000000"/>
        </w:rPr>
        <w:t xml:space="preserve">” </w:t>
      </w:r>
      <w:r>
        <w:rPr>
          <w:rFonts w:ascii="Times New Roman;sans-serif" w:hAnsi="Times New Roman;sans-serif"/>
          <w:b w:val="false"/>
          <w:color w:val="000000"/>
          <w:sz w:val="22"/>
        </w:rPr>
        <w:t>means collectively, the Lenders, the Swing Line Lenders and the L/C Issuers.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Lending Office</w:t>
      </w:r>
      <w:r>
        <w:rPr>
          <w:color w:val="000000"/>
        </w:rPr>
        <w:t xml:space="preserve">” </w:t>
      </w:r>
      <w:r>
        <w:rPr>
          <w:rFonts w:ascii="Times New Roman;sans-serif" w:hAnsi="Times New Roman;sans-serif"/>
          <w:b w:val="false"/>
          <w:color w:val="000000"/>
          <w:sz w:val="22"/>
        </w:rPr>
        <w:t>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standby letter of credit issued hereunder providing for the payment of cash upon the honoring of a presentation thereunder and shall include the Existing Letters of Credit.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Application</w:t>
      </w:r>
      <w:r>
        <w:rPr>
          <w:color w:val="000000"/>
        </w:rPr>
        <w:t xml:space="preserve">” </w:t>
      </w:r>
      <w:r>
        <w:rPr>
          <w:rFonts w:ascii="Times New Roman;sans-serif" w:hAnsi="Times New Roman;sans-serif"/>
          <w:b w:val="false"/>
          <w:color w:val="000000"/>
          <w:sz w:val="22"/>
        </w:rPr>
        <w:t>means an application and agreement for the issuance or amendment of a Letter of Credit in the form from time to time in use by the applicable L/C Issuer.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Expiration Date</w:t>
      </w:r>
      <w:r>
        <w:rPr>
          <w:color w:val="000000"/>
        </w:rPr>
        <w:t xml:space="preserve">” </w:t>
      </w:r>
      <w:r>
        <w:rPr>
          <w:rFonts w:ascii="Times New Roman;sans-serif" w:hAnsi="Times New Roman;sans-serif"/>
          <w:b w:val="false"/>
          <w:color w:val="000000"/>
          <w:sz w:val="22"/>
        </w:rPr>
        <w:t>means the day that is fifteen days prior to the Maturity Date then in effect (or, if such day is not a Business Day, the next preceding Business Day).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Fee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2.03(h)</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Sublimit</w:t>
      </w:r>
      <w:r>
        <w:rPr>
          <w:color w:val="000000"/>
        </w:rPr>
        <w:t xml:space="preserve">” </w:t>
      </w:r>
      <w:r>
        <w:rPr>
          <w:rFonts w:ascii="Times New Roman;sans-serif" w:hAnsi="Times New Roman;sans-serif"/>
          <w:b w:val="false"/>
          <w:color w:val="000000"/>
          <w:sz w:val="22"/>
        </w:rPr>
        <w:t>means an amount equal to $50,000,000. The Letter of Credit Sublimit is part of, and not in addition to, the Aggregate Revolving Commitments.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LIBOR</w:t>
      </w:r>
      <w:r>
        <w:rPr>
          <w:color w:val="000000"/>
        </w:rPr>
        <w:t xml:space="preserve">” </w:t>
      </w:r>
      <w:r>
        <w:rPr>
          <w:rFonts w:ascii="Times New Roman;sans-serif" w:hAnsi="Times New Roman;sans-serif"/>
          <w:b w:val="false"/>
          <w:color w:val="000000"/>
          <w:sz w:val="22"/>
        </w:rPr>
        <w:t>has the meaning specified in the definition of Eurodollar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LIBOR Screen Rate</w:t>
      </w:r>
      <w:r>
        <w:rPr>
          <w:color w:val="000000"/>
        </w:rPr>
        <w:t xml:space="preserve">” </w:t>
      </w:r>
      <w:r>
        <w:rPr>
          <w:rFonts w:ascii="Times New Roman;sans-serif" w:hAnsi="Times New Roman;sans-serif"/>
          <w:b w:val="false"/>
          <w:color w:val="000000"/>
          <w:sz w:val="22"/>
        </w:rPr>
        <w:t>means the LIBOR quote on the applicable screen page the Administrative Agent designates to determine LIBOR (or such other commercially available source providing such quotations as may be designated by the Administrative Agent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Limited Condition Acquisition</w:t>
      </w:r>
      <w:r>
        <w:rPr>
          <w:color w:val="000000"/>
        </w:rPr>
        <w:t xml:space="preserve">” </w:t>
      </w:r>
      <w:r>
        <w:rPr>
          <w:rFonts w:ascii="Times New Roman;sans-serif" w:hAnsi="Times New Roman;sans-serif"/>
          <w:b w:val="false"/>
          <w:color w:val="000000"/>
          <w:sz w:val="22"/>
        </w:rPr>
        <w:t>shall mean any Acquisition that (a) is not prohibited hereunder, (b) is financed in whole or in part with a substantially concurrent incurrence of Indebtedness hereunder, and (c) is not conditioned on the availability of, or on obtaining, third-party financing.</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33</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w:t>
      </w:r>
      <w:r>
        <w:rPr>
          <w:color w:val="000000"/>
        </w:rPr>
        <w:t xml:space="preserve">” </w:t>
      </w:r>
      <w:r>
        <w:rPr>
          <w:rFonts w:ascii="Times New Roman;sans-serif" w:hAnsi="Times New Roman;sans-serif"/>
          <w:b w:val="false"/>
          <w:color w:val="000000"/>
          <w:sz w:val="22"/>
        </w:rPr>
        <w:t>means a Revolving Loan, a New Vehicle Floorplan Loan or a Used Vehicle Floorplan Loan, as the context may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 xml:space="preserve">means this Agreement, including schedules and exhibits hereto, each Note, each Issuer Document, each Security Instrument, the Guaranties, any agreement creating or perfecting rights in Cash Collateral pursuant to the provisions of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of this Agreement, the Fee Letter, the New Vehicle Floorplan Offset Agreement and any Autoborrow Agreement, and any amendments, modifications or supplements hereto or to any other Loan Document or waivers hereof or to any other Loan Document.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collectively, the Company, each Vehicle Borrower, each Guarantor, and each Person (other than the Administrative Agent, any Lender or any landlord executing a Landlord Waiver) executing a Security Instrument.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Year</w:t>
      </w:r>
      <w:r>
        <w:rPr>
          <w:color w:val="000000"/>
        </w:rPr>
        <w:t xml:space="preserve">” </w:t>
      </w:r>
      <w:r>
        <w:rPr>
          <w:rFonts w:ascii="Times New Roman;sans-serif" w:hAnsi="Times New Roman;sans-serif"/>
          <w:b w:val="false"/>
          <w:color w:val="000000"/>
          <w:sz w:val="22"/>
        </w:rPr>
        <w:t>means each 12 month period commencing on (but excluding) the Closing Date (or an Anniversary Date) and ending on (and including) the next succeeding Anniversary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London Banking Day</w:t>
      </w:r>
      <w:r>
        <w:rPr>
          <w:color w:val="000000"/>
        </w:rPr>
        <w:t xml:space="preserve">” </w:t>
      </w:r>
      <w:r>
        <w:rPr>
          <w:rFonts w:ascii="Times New Roman;sans-serif" w:hAnsi="Times New Roman;sans-serif"/>
          <w:b w:val="false"/>
          <w:color w:val="000000"/>
          <w:sz w:val="22"/>
        </w:rPr>
        <w:t>means any day on which dealings in Dollar deposits are conducted by and between banks in the London interbank eurodollar market.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Manufacturer</w:t>
      </w:r>
      <w:r>
        <w:rPr>
          <w:color w:val="000000"/>
        </w:rPr>
        <w:t xml:space="preserve">” </w:t>
      </w:r>
      <w:r>
        <w:rPr>
          <w:rFonts w:ascii="Times New Roman;sans-serif" w:hAnsi="Times New Roman;sans-serif"/>
          <w:b w:val="false"/>
          <w:color w:val="000000"/>
          <w:sz w:val="22"/>
        </w:rPr>
        <w:t xml:space="preserve">means the manufacturer of, or a manufacturer-appointed wholesale distributor of, Inventory.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Material Acquisition</w:t>
      </w:r>
      <w:r>
        <w:rPr>
          <w:color w:val="000000"/>
        </w:rPr>
        <w:t xml:space="preserve">” </w:t>
      </w:r>
      <w:r>
        <w:rPr>
          <w:rFonts w:ascii="Times New Roman;sans-serif" w:hAnsi="Times New Roman;sans-serif"/>
          <w:b w:val="false"/>
          <w:color w:val="000000"/>
          <w:sz w:val="22"/>
        </w:rPr>
        <w:t xml:space="preserve">means any Acquisition by the Company or any Subsidiary that (a) has a Cost of Acquisition greater than $100,000,000, or (b) the Company has determined (in its sole discretion) to constitute a Material Acquisition.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a material adverse change in, or a material adverse effect upon, the operations, business, properties, liabilities (actual or contingent), or financial condition of the Company and its Subsidiaries taken as a whole; (b) a material impairment of the rights and remedies of the Administrative Agent or any Lender under any Loan Document, or of ability of the Loan Parties taken as a whole to perform their respective obligations under the respective Loan Documents to which any of them is a party; or (c) a material adverse effect upon the legality, validity, binding effect or enforceability against the Loan Parties taken as a whole of the Loan Documents.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Material Disposition</w:t>
      </w:r>
      <w:r>
        <w:rPr>
          <w:color w:val="000000"/>
        </w:rPr>
        <w:t xml:space="preserve">” </w:t>
      </w:r>
      <w:r>
        <w:rPr>
          <w:rFonts w:ascii="Times New Roman;sans-serif" w:hAnsi="Times New Roman;sans-serif"/>
          <w:b w:val="false"/>
          <w:color w:val="000000"/>
          <w:sz w:val="22"/>
        </w:rPr>
        <w:t xml:space="preserve">means any Disposition by the Company or any Subsidiary that (a) has Disposition Proceeds greater than $75,000,000, (b) results in a decrease in the aggregate of the Revolving Borrowing Base or the Used Vehicle Floorplan Borrowing Base by more than ten percent (10%), or (c) the Company has determined (in its sole discretion ) to constitute a Material Disposition.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 xml:space="preserve">means the later of (a) September 25, 2024 and (b) if maturity is extended pursuant to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such extended maturity date as determined pursuant to such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“Maturity Date” with respect to any Non-Extending Lender (including with respect to the payment of Obligations owing to such Lender and the Availability Period for Loans by such Lender) shall be the latest date that such Lender has consented to as its Maturity Date pursuant to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(or, if such Lender has not consented to any such extension, the original Maturity Date as in effect on the Closing Date);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each case, if such date is not a Business Day, the respective Maturity Date shall be the next preceding Business Day. Except as otherwise set forth in the first proviso to this definition, references to the Maturity Date (including references to such term in the definitions of “Letter of Credit Expiration Date” and “Subordinated Indebtedness” and </w:t>
      </w:r>
      <w:r>
        <w:rPr>
          <w:rFonts w:ascii="Times New Roman;sans-serif" w:hAnsi="Times New Roman;sans-serif"/>
          <w:b w:val="false"/>
          <w:color w:val="000000"/>
          <w:sz w:val="22"/>
          <w:u w:val="single"/>
        </w:rPr>
        <w:t>Section 7.01(m)</w:t>
      </w:r>
      <w:r>
        <w:rPr>
          <w:rFonts w:ascii="Times New Roman;sans-serif" w:hAnsi="Times New Roman;sans-serif"/>
          <w:b w:val="false"/>
          <w:color w:val="000000"/>
          <w:sz w:val="22"/>
        </w:rPr>
        <w:t xml:space="preserve">) shall mean the latest date that any Lender has consented to as its Maturity Date pursuant to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(or, if there has been no such extension, the original Maturity Date as in effect on the Closing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Miller Acquisition</w:t>
      </w:r>
      <w:r>
        <w:rPr>
          <w:color w:val="000000"/>
        </w:rPr>
        <w:t xml:space="preserve">” </w:t>
      </w:r>
      <w:r>
        <w:rPr>
          <w:rFonts w:ascii="Times New Roman;sans-serif" w:hAnsi="Times New Roman;sans-serif"/>
          <w:b w:val="false"/>
          <w:color w:val="000000"/>
          <w:sz w:val="22"/>
        </w:rPr>
        <w:t>has the meaning specified in the Third Amendment.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Miller Acquisition Documents</w:t>
      </w:r>
      <w:r>
        <w:rPr>
          <w:color w:val="000000"/>
        </w:rPr>
        <w:t xml:space="preserve">” </w:t>
      </w:r>
      <w:r>
        <w:rPr>
          <w:rFonts w:ascii="Times New Roman;sans-serif" w:hAnsi="Times New Roman;sans-serif"/>
          <w:b w:val="false"/>
          <w:color w:val="000000"/>
          <w:sz w:val="22"/>
        </w:rPr>
        <w:t>has the meaning specified in the Third Amendment.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34</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Miller Restricted Subsidiaries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4.02(i)(i)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Miller Sellers</w:t>
      </w:r>
      <w:r>
        <w:rPr>
          <w:color w:val="000000"/>
        </w:rPr>
        <w:t xml:space="preserve">” </w:t>
      </w:r>
      <w:r>
        <w:rPr>
          <w:rFonts w:ascii="Times New Roman;sans-serif" w:hAnsi="Times New Roman;sans-serif"/>
          <w:b w:val="false"/>
          <w:color w:val="000000"/>
          <w:sz w:val="22"/>
        </w:rPr>
        <w:t>has the meaning specified in the Third Amendment.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 and any successor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any employee benefit plan of the type described in Section 4001(a)(3) of ERISA, to which the Company or any ERISA Affiliate makes or is obligated to make contributions, or during the preceding five plan years, has made or been obligated to make contributions.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Multiple Employer Plan</w:t>
      </w:r>
      <w:r>
        <w:rPr>
          <w:color w:val="000000"/>
        </w:rPr>
        <w:t xml:space="preserve">” </w:t>
      </w:r>
      <w:r>
        <w:rPr>
          <w:rFonts w:ascii="Times New Roman;sans-serif" w:hAnsi="Times New Roman;sans-serif"/>
          <w:b w:val="false"/>
          <w:color w:val="000000"/>
          <w:sz w:val="22"/>
        </w:rPr>
        <w:t>means a Plan which has two or more contributing sponsors (including the Company or any ERISA Affiliate) at least two of whom are not under common control, as such a plan is described in Section 4064 of ERISA.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Net Book Value</w:t>
      </w:r>
      <w:r>
        <w:rPr>
          <w:color w:val="000000"/>
        </w:rPr>
        <w:t xml:space="preserve">” </w:t>
      </w:r>
      <w:r>
        <w:rPr>
          <w:rFonts w:ascii="Times New Roman;sans-serif" w:hAnsi="Times New Roman;sans-serif"/>
          <w:b w:val="false"/>
          <w:color w:val="000000"/>
          <w:sz w:val="22"/>
        </w:rPr>
        <w:t xml:space="preserve">means, (i) for any Eligible Account, the gross amount of such Eligible Account less (to the extent not otherwise deducted in calculating such gross amount, and without duplication) sales, excise or similar taxes, and less returns, discounts, claims, credits, allowances, accrued rebates, offsets, deductions, bad debts, reserves, counterclaims, disputes and other defenses of any nature at any time issued, owing, granted, outstanding, available or claimed in respect of such Eligible Account, (ii) for any Eligible Parts and Accessories Inventory, the lower of cost (on a first-in, first-out basis) or market, net of reserves, (iii) for any Eligible Equipment, the then-current net book value (after deducting all accumulated depreciation and amortization of such Eligible Equipment through the date of measurement) of such Eligible Equipment, (iv) for any Eligible Contract-in-Transit, the then-current net book value of such Eligible Contract-in-Transit, (v) for any Eligible New Vehicle Inventory, the then-current net book value of such Eligible New Vehicle Inventory, and (vi) for any Eligible Used Vehicle Inventory, (A) the then-current net book value of such Eligible Used Vehicle Inventory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the then-current net book value of any associated Used Vehicle Liens payable (other than Liens created by the Loan Documents), in each case, as reflected (as of the date of determination) on the books of the Company and its Subsidiaries in accordance with GAAP.</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Net Cash Proceeds</w:t>
      </w:r>
      <w:r>
        <w:rPr>
          <w:color w:val="000000"/>
        </w:rPr>
        <w:t xml:space="preserve">” </w:t>
      </w:r>
      <w:r>
        <w:rPr>
          <w:rFonts w:ascii="Times New Roman;sans-serif" w:hAnsi="Times New Roman;sans-serif"/>
          <w:b w:val="false"/>
          <w:color w:val="000000"/>
          <w:sz w:val="22"/>
        </w:rPr>
        <w:t xml:space="preserve">means the aggregate cash or cash equivalents proceeds received by any Loan Party or any Subsidiary in respect of any Disposition, any issuance of Equity Interests, Investment, Acquisition, or the incurrence or repayment of Indebtedness, net of (a) direct costs incurred in connection therewith (including, without limitation, legal, accounting and investment banking fees, and sales commissions), (b) taxes paid or payable as a result thereof and (c) in the case of any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Loan Party or any Subsidiary in any Disposition, any issuance of Equity Interests, Investment, Acquisition, or the incurrence or repayment of Indebtedness. </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w:t>
      </w:r>
      <w:r>
        <w:rPr>
          <w:color w:val="000000"/>
        </w:rPr>
        <w:t xml:space="preserve">” </w:t>
      </w:r>
      <w:r>
        <w:rPr>
          <w:rFonts w:ascii="Times New Roman;sans-serif" w:hAnsi="Times New Roman;sans-serif"/>
          <w:b w:val="false"/>
          <w:color w:val="000000"/>
          <w:sz w:val="22"/>
        </w:rPr>
        <w:t>means a Vehicle which has (x) never been owned except by a manufacturer, distributor or dealer and (y) except in the case of a Vehicle which otherwise qualifies as a Demonstrator, Rental Vehicle or other mileaged Vehicle, has never been registered.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Automated Sweep Agreement</w:t>
      </w:r>
      <w:r>
        <w:rPr>
          <w:color w:val="000000"/>
        </w:rPr>
        <w:t xml:space="preserve">” </w:t>
      </w:r>
      <w:r>
        <w:rPr>
          <w:rFonts w:ascii="Times New Roman;sans-serif" w:hAnsi="Times New Roman;sans-serif"/>
          <w:b w:val="false"/>
          <w:color w:val="000000"/>
          <w:sz w:val="22"/>
        </w:rPr>
        <w:t>means any agreement, in form and substance reasonably satisfactory to the Administrative Agent and the New Vehicle Floorplan Swing Line Lender, providing for automatic crediting of funds to, and withdrawals of funds from, the New Vehicle Floorplan Offset Account.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Event of Default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8.03</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Borrowing</w:t>
      </w:r>
      <w:r>
        <w:rPr>
          <w:color w:val="000000"/>
        </w:rPr>
        <w:t xml:space="preserve">” </w:t>
      </w:r>
      <w:r>
        <w:rPr>
          <w:rFonts w:ascii="Times New Roman;sans-serif" w:hAnsi="Times New Roman;sans-serif"/>
          <w:b w:val="false"/>
          <w:color w:val="000000"/>
          <w:sz w:val="22"/>
        </w:rPr>
        <w:t>means a New Vehicle Floorplan Committed Borrowing or a New Vehicle Floorplan Swing Line Borrowing, as the context may require.</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35</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Commitment</w:t>
      </w:r>
      <w:r>
        <w:rPr>
          <w:color w:val="000000"/>
        </w:rPr>
        <w:t xml:space="preserve">” </w:t>
      </w:r>
      <w:r>
        <w:rPr>
          <w:rFonts w:ascii="Times New Roman;sans-serif" w:hAnsi="Times New Roman;sans-serif"/>
          <w:b w:val="false"/>
          <w:color w:val="000000"/>
          <w:sz w:val="22"/>
        </w:rPr>
        <w:t xml:space="preserve">means, as to each Lender, its obligation to (a) make New Vehicle Floorplan Committed Loans to the New Vehicle Borrowers pursuant to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and (b) purchase participations in New Vehicle Floorplan Swing Line Loans, in an aggregate principal amount at any one time outstanding not to exceed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Lender becomes a party hereto, as applicable, as such amount may be adjusted from time to time in accordance with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Committed Borrowing</w:t>
      </w:r>
      <w:r>
        <w:rPr>
          <w:color w:val="000000"/>
        </w:rPr>
        <w:t xml:space="preserve">” </w:t>
      </w:r>
      <w:r>
        <w:rPr>
          <w:rFonts w:ascii="Times New Roman;sans-serif" w:hAnsi="Times New Roman;sans-serif"/>
          <w:b w:val="false"/>
          <w:color w:val="000000"/>
          <w:sz w:val="22"/>
        </w:rPr>
        <w:t xml:space="preserve">means a borrowing consisting of simultaneous New Vehicle Floorplan Committed Loans of the same Type made by each of the New Vehicle Floorplan Lenders pursuant to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Committed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Committed Loan Notice</w:t>
      </w:r>
      <w:r>
        <w:rPr>
          <w:color w:val="000000"/>
        </w:rPr>
        <w:t xml:space="preserve">” </w:t>
      </w:r>
      <w:r>
        <w:rPr>
          <w:rFonts w:ascii="Times New Roman;sans-serif" w:hAnsi="Times New Roman;sans-serif"/>
          <w:b w:val="false"/>
          <w:color w:val="000000"/>
          <w:sz w:val="22"/>
        </w:rPr>
        <w:t xml:space="preserve">means a notice of (a) a New Vehicle Floorplan Committed Borrowing, or (b) a conversion of New Vehicle Floorplan Committed Loans from one Type to the other,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A-1</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Facility</w:t>
      </w:r>
      <w:r>
        <w:rPr>
          <w:color w:val="000000"/>
        </w:rPr>
        <w:t xml:space="preserve">” </w:t>
      </w:r>
      <w:r>
        <w:rPr>
          <w:rFonts w:ascii="Times New Roman;sans-serif" w:hAnsi="Times New Roman;sans-serif"/>
          <w:b w:val="false"/>
          <w:color w:val="000000"/>
          <w:sz w:val="22"/>
        </w:rPr>
        <w:t xml:space="preserve">means the New Vehicle floorplan facility described in </w:t>
      </w:r>
      <w:r>
        <w:rPr>
          <w:rFonts w:ascii="Times New Roman;sans-serif" w:hAnsi="Times New Roman;sans-serif"/>
          <w:b w:val="false"/>
          <w:color w:val="000000"/>
          <w:sz w:val="22"/>
          <w:u w:val="single"/>
        </w:rPr>
        <w:t>Sections 2.05</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2.09</w:t>
      </w:r>
      <w:r>
        <w:rPr>
          <w:color w:val="000000"/>
        </w:rPr>
        <w:t xml:space="preserve"> </w:t>
      </w:r>
      <w:r>
        <w:rPr>
          <w:rFonts w:ascii="Times New Roman;sans-serif" w:hAnsi="Times New Roman;sans-serif"/>
          <w:b w:val="false"/>
          <w:color w:val="000000"/>
          <w:sz w:val="22"/>
        </w:rPr>
        <w:t>providing for New Vehicle Floorplan Loans to the New Vehicle Borrowers by the New Vehicle Floorplan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Lender</w:t>
      </w:r>
      <w:r>
        <w:rPr>
          <w:color w:val="000000"/>
        </w:rPr>
        <w:t xml:space="preserve">” </w:t>
      </w:r>
      <w:r>
        <w:rPr>
          <w:rFonts w:ascii="Times New Roman;sans-serif" w:hAnsi="Times New Roman;sans-serif"/>
          <w:b w:val="false"/>
          <w:color w:val="000000"/>
          <w:sz w:val="22"/>
        </w:rPr>
        <w:t>means each Lender that has a New Vehicle Floorplan Commitment or, following termination of the New Vehicle Floorplan Commitments, has New Vehicle Floorplan Loans outstanding.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Loan</w:t>
      </w:r>
      <w:r>
        <w:rPr>
          <w:color w:val="000000"/>
        </w:rPr>
        <w:t xml:space="preserve">” </w:t>
      </w:r>
      <w:r>
        <w:rPr>
          <w:rFonts w:ascii="Times New Roman;sans-serif" w:hAnsi="Times New Roman;sans-serif"/>
          <w:b w:val="false"/>
          <w:color w:val="000000"/>
          <w:sz w:val="22"/>
        </w:rPr>
        <w:t>means an extension of credit by a New Vehicle Floorplan Lender to a New Vehicle Borrower under Article II in the form of a New Vehicle Floorplan Committed Loan or a New Vehicle Floorplan Swing Line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Note</w:t>
      </w:r>
      <w:r>
        <w:rPr>
          <w:color w:val="000000"/>
        </w:rPr>
        <w:t xml:space="preserve">” </w:t>
      </w:r>
      <w:r>
        <w:rPr>
          <w:rFonts w:ascii="Times New Roman;sans-serif" w:hAnsi="Times New Roman;sans-serif"/>
          <w:b w:val="false"/>
          <w:color w:val="000000"/>
          <w:sz w:val="22"/>
        </w:rPr>
        <w:t xml:space="preserve">means a promissory note made by the New Vehicle Borrowers in favor of a Lender evidencing New Vehicle Floorplan Loans made by such Lender, substantially in the form of </w:t>
      </w:r>
      <w:r>
        <w:rPr>
          <w:rFonts w:ascii="Times New Roman;sans-serif" w:hAnsi="Times New Roman;sans-serif"/>
          <w:b w:val="false"/>
          <w:color w:val="000000"/>
          <w:sz w:val="22"/>
          <w:u w:val="single"/>
        </w:rPr>
        <w:t>Exhibit C-2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Offset Account</w:t>
      </w:r>
      <w:r>
        <w:rPr>
          <w:color w:val="000000"/>
        </w:rPr>
        <w:t xml:space="preserve">” </w:t>
      </w:r>
      <w:r>
        <w:rPr>
          <w:rFonts w:ascii="Times New Roman;sans-serif" w:hAnsi="Times New Roman;sans-serif"/>
          <w:b w:val="false"/>
          <w:color w:val="000000"/>
          <w:sz w:val="22"/>
        </w:rPr>
        <w:t>has the meaning assigned thereto in the definition of “New Vehicle Floorplan Offset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Offset Agreement</w:t>
      </w:r>
      <w:r>
        <w:rPr>
          <w:color w:val="000000"/>
        </w:rPr>
        <w:t xml:space="preserve">” </w:t>
      </w:r>
      <w:r>
        <w:rPr>
          <w:rFonts w:ascii="Times New Roman;sans-serif" w:hAnsi="Times New Roman;sans-serif"/>
          <w:b w:val="false"/>
          <w:color w:val="000000"/>
          <w:sz w:val="22"/>
        </w:rPr>
        <w:t>means, collectively:</w:t>
      </w:r>
    </w:p>
    <w:p>
      <w:pPr>
        <w:pStyle w:val="TextBody"/>
        <w:spacing w:lineRule="auto" w:line="240" w:before="0" w:after="240"/>
        <w:ind w:left="0" w:right="0" w:firstLine="720"/>
        <w:jc w:val="both"/>
        <w:rPr/>
      </w:pPr>
      <w:r>
        <w:rPr>
          <w:rFonts w:ascii="Times New Roman;sans-serif" w:hAnsi="Times New Roman;sans-serif"/>
          <w:b w:val="false"/>
          <w:color w:val="000000"/>
          <w:sz w:val="22"/>
        </w:rPr>
        <w:t>(a)an offset agreement in form and substance reasonably satisfactory to the Administrative Agent and the New Vehicle Floorplan Swing Line Lender, (i) providing for the crediting of monies of the Company or any of its Subsidiaries to a general ledger account maintained with Bank of America (a “</w:t>
      </w:r>
      <w:r>
        <w:rPr>
          <w:rFonts w:ascii="Times New Roman;sans-serif" w:hAnsi="Times New Roman;sans-serif"/>
          <w:b w:val="false"/>
          <w:color w:val="000000"/>
          <w:sz w:val="22"/>
          <w:u w:val="single"/>
        </w:rPr>
        <w:t>New Vehicle Floorplan Offset Account</w:t>
      </w:r>
      <w:r>
        <w:rPr>
          <w:color w:val="000000"/>
        </w:rPr>
        <w:t>”</w:t>
      </w:r>
      <w:r>
        <w:rPr>
          <w:rFonts w:ascii="Times New Roman;sans-serif" w:hAnsi="Times New Roman;sans-serif"/>
          <w:b w:val="false"/>
          <w:color w:val="000000"/>
          <w:sz w:val="22"/>
        </w:rPr>
        <w:t>), and the withdrawal of monies from such account, (ii) providing that interest accrued on New Vehicle Floorplan Committed Loans will be offset by an amount equal to (A) the amount that is credited to the New Vehicle Floorplan Offset Account from time to time (a “</w:t>
      </w:r>
      <w:r>
        <w:rPr>
          <w:rFonts w:ascii="Times New Roman;sans-serif" w:hAnsi="Times New Roman;sans-serif"/>
          <w:b w:val="false"/>
          <w:color w:val="000000"/>
          <w:sz w:val="22"/>
          <w:u w:val="single"/>
        </w:rPr>
        <w:t>Floorplan Offset Amount</w:t>
      </w:r>
      <w:r>
        <w:rPr>
          <w:color w:val="000000"/>
        </w:rPr>
        <w:t>”</w:t>
      </w:r>
      <w:r>
        <w:rPr>
          <w:rFonts w:ascii="Times New Roman;sans-serif" w:hAnsi="Times New Roman;sans-serif"/>
          <w:b w:val="false"/>
          <w:color w:val="000000"/>
          <w:sz w:val="22"/>
        </w:rPr>
        <w:t xml:space="preserve">), multiplied by (B) the interest rate applicable to New Vehicle Floorplan Committed Loans from time to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Floorplan Offset Amount shall not exceed 20% of the aggregate Outstanding Amount of all New Vehicle Floorplan Loans at any time; and</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if applicable, any New Vehicle Automated Sweep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Operations Group</w:t>
      </w:r>
      <w:r>
        <w:rPr>
          <w:color w:val="000000"/>
        </w:rPr>
        <w:t xml:space="preserve">” </w:t>
      </w:r>
      <w:r>
        <w:rPr>
          <w:rFonts w:ascii="Times New Roman;sans-serif" w:hAnsi="Times New Roman;sans-serif"/>
          <w:b w:val="false"/>
          <w:color w:val="000000"/>
          <w:sz w:val="22"/>
        </w:rPr>
        <w:t xml:space="preserve">means the group at Bank of America that operates and administers the New Vehicle Floorplan Facility.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Overdraft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36</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w:t>
      </w:r>
      <w:r>
        <w:rPr>
          <w:color w:val="000000"/>
        </w:rPr>
        <w:t xml:space="preserve">” </w:t>
      </w:r>
      <w:r>
        <w:rPr>
          <w:rFonts w:ascii="Times New Roman;sans-serif" w:hAnsi="Times New Roman;sans-serif"/>
          <w:b w:val="false"/>
          <w:color w:val="000000"/>
          <w:sz w:val="22"/>
        </w:rPr>
        <w:t xml:space="preserve">means the revolving credit facility made available by the New Vehicle Floorplan Swing Line Lender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Borrowing</w:t>
      </w:r>
      <w:r>
        <w:rPr>
          <w:color w:val="000000"/>
        </w:rPr>
        <w:t xml:space="preserve">” </w:t>
      </w:r>
      <w:r>
        <w:rPr>
          <w:rFonts w:ascii="Times New Roman;sans-serif" w:hAnsi="Times New Roman;sans-serif"/>
          <w:b w:val="false"/>
          <w:color w:val="000000"/>
          <w:sz w:val="22"/>
        </w:rPr>
        <w:t xml:space="preserve">means a borrowing of a New Vehicle Floorplan Swing Line Loan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Lender</w:t>
      </w:r>
      <w:r>
        <w:rPr>
          <w:color w:val="000000"/>
        </w:rPr>
        <w:t xml:space="preserve">” </w:t>
      </w:r>
      <w:r>
        <w:rPr>
          <w:rFonts w:ascii="Times New Roman;sans-serif" w:hAnsi="Times New Roman;sans-serif"/>
          <w:b w:val="false"/>
          <w:color w:val="000000"/>
          <w:sz w:val="22"/>
        </w:rPr>
        <w:t>means Bank of America in its capacity as provider of New Vehicle Floorplan Swing Line Loans, or any successor New Vehicle Floorplan Swing Line Lender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2.07(a)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Loan Notice</w:t>
      </w:r>
      <w:r>
        <w:rPr>
          <w:color w:val="000000"/>
        </w:rPr>
        <w:t xml:space="preserve">” </w:t>
      </w:r>
      <w:r>
        <w:rPr>
          <w:rFonts w:ascii="Times New Roman;sans-serif" w:hAnsi="Times New Roman;sans-serif"/>
          <w:b w:val="false"/>
          <w:color w:val="000000"/>
          <w:sz w:val="22"/>
        </w:rPr>
        <w:t xml:space="preserve">means a notice of conversion of a New Vehicle Floorplan Swing Line Loan from one Type to the other pursuant to </w:t>
      </w:r>
      <w:r>
        <w:rPr>
          <w:rFonts w:ascii="Times New Roman;sans-serif" w:hAnsi="Times New Roman;sans-serif"/>
          <w:b w:val="false"/>
          <w:color w:val="000000"/>
          <w:sz w:val="22"/>
          <w:u w:val="single"/>
        </w:rPr>
        <w:t>Section 2.07(b)</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B-1</w:t>
      </w:r>
      <w:r>
        <w:rPr>
          <w:color w:val="000000"/>
        </w:rPr>
        <w:t xml:space="preserve"> </w:t>
      </w:r>
      <w:r>
        <w:rPr>
          <w:rFonts w:ascii="Times New Roman;sans-serif" w:hAnsi="Times New Roman;sans-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Sublimit</w:t>
      </w:r>
      <w:r>
        <w:rPr>
          <w:color w:val="000000"/>
        </w:rPr>
        <w:t xml:space="preserve">” </w:t>
      </w:r>
      <w:r>
        <w:rPr>
          <w:rFonts w:ascii="Times New Roman;sans-serif" w:hAnsi="Times New Roman;sans-serif"/>
          <w:b w:val="false"/>
          <w:color w:val="000000"/>
          <w:sz w:val="22"/>
        </w:rPr>
        <w:t>means, at any time, an amount equal to the lesser of (a) $85,000,000 or (b) the Aggregate New Vehicle Floorplan Commitments. The New Vehicle Floorplan Swing Line Sublimit is part of, and not in addition to, the Aggregate New Vehicle Floorplan Commitments.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means any Lender that does not approve any consent, waiver or amendment that (i) requires the approval of all Lenders or all affected Lenders in accordance with the terms of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and (ii) has been approved by the Required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each Lender that is not a Defaulting Lender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Non-Extending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2.23(b)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 xml:space="preserve">means a Revolving Note, a New Vehicle Floorplan Note or a Used Vehicle Floorplan Note, as applicable. </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Notice of Loan Prepayment</w:t>
      </w:r>
      <w:r>
        <w:rPr>
          <w:color w:val="000000"/>
        </w:rPr>
        <w:t xml:space="preserve">” </w:t>
      </w:r>
      <w:r>
        <w:rPr>
          <w:rFonts w:ascii="Times New Roman;sans-serif" w:hAnsi="Times New Roman;sans-serif"/>
          <w:b w:val="false"/>
          <w:color w:val="000000"/>
          <w:sz w:val="22"/>
        </w:rPr>
        <w:t xml:space="preserve">means a notice of prepayment with respect to a Loan, which shall be substantially in the form of </w:t>
      </w:r>
      <w:r>
        <w:rPr>
          <w:rFonts w:ascii="Times New Roman;sans-serif" w:hAnsi="Times New Roman;sans-serif"/>
          <w:b w:val="false"/>
          <w:color w:val="000000"/>
          <w:sz w:val="22"/>
          <w:u w:val="single"/>
        </w:rPr>
        <w:t>Exhibit R</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w: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 xml:space="preserve">means all advances to, and debts, liabilities, obligations, covenants and duties of, any Loan Party arising under any Loan Document or otherwise with respect to any Loan, Letter of Credit, Secured Cash Management Agreement or Secured Hedge Agreement,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Obligations of a Loan Party shall exclude any Excluded Swap Obligation with respect to such Loan Party.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United States Department of the Treasury.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Organization Documents</w:t>
      </w:r>
      <w:r>
        <w:rPr>
          <w:color w:val="000000"/>
        </w:rPr>
        <w:t xml:space="preserve">” </w:t>
      </w:r>
      <w:r>
        <w:rPr>
          <w:rFonts w:ascii="Times New Roman;sans-serif" w:hAnsi="Times New Roman;sans-serif"/>
          <w:b w:val="false"/>
          <w:color w:val="000000"/>
          <w:sz w:val="22"/>
        </w:rPr>
        <w:t xml:space="preserve">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and (c) with respect to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Out of Balance</w:t>
      </w:r>
      <w:r>
        <w:rPr>
          <w:color w:val="000000"/>
        </w:rPr>
        <w:t xml:space="preserve">” </w:t>
      </w:r>
      <w:r>
        <w:rPr>
          <w:rFonts w:ascii="Times New Roman;sans-serif" w:hAnsi="Times New Roman;sans-serif"/>
          <w:b w:val="false"/>
          <w:color w:val="000000"/>
          <w:sz w:val="22"/>
        </w:rPr>
        <w:t xml:space="preserve">means, with respect to a New Vehicle Floorplan Loan, the outstanding balance thereof has not been paid in accordance with </w:t>
      </w:r>
      <w:r>
        <w:rPr>
          <w:rFonts w:ascii="Times New Roman;sans-serif" w:hAnsi="Times New Roman;sans-serif"/>
          <w:b w:val="false"/>
          <w:color w:val="000000"/>
          <w:sz w:val="22"/>
          <w:u w:val="single"/>
        </w:rPr>
        <w:t>Section 2.15(b)(iii)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means (i) with respect to Revolving Committed Loans and Revolving Swing Line Loans on any date, the aggregate outstanding principal amount thereof after giving effect to any borrowings and prepayments or repayments of Revolving Committed Loans and Revolving Swing Line Loans, as the case may be, occurring on such date;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(iii) with respect to New Vehicle Floorplan Committed Loans and New Vehicle Floorplan Swing Line Loans on any date, the aggregate outstanding principal amount thereof after giving effect to any borrowings and prepayments or repayments of New Vehicle Floorplan Commitment Loans and New Vehicle Floorplan Swing Line Loans, as the case may be, occurring on such date and (iv) with respect to Used Vehicle Floorplan Committed Loans and Used Vehicle Floorplan Swing Line Loans on any date, the aggregate outstanding principal amount thereof after giving effect to any borrowings and prepayments of repayments of Used Vehicle Floorplan Committed Loans and Used Vehicle Floorplan Swing Line Loans, as the case may be, occurring on such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10.06(d)</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10.06(d)</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Payment Commitment</w:t>
      </w:r>
      <w:r>
        <w:rPr>
          <w:color w:val="000000"/>
        </w:rPr>
        <w:t xml:space="preserve">” </w:t>
      </w:r>
      <w:r>
        <w:rPr>
          <w:rFonts w:ascii="Times New Roman;sans-serif" w:hAnsi="Times New Roman;sans-serif"/>
          <w:b w:val="false"/>
          <w:color w:val="000000"/>
          <w:sz w:val="22"/>
        </w:rPr>
        <w:t>means a written agreement entered into between the New Vehicle Floorplan Swing Line Lender and a vehicle manufacturer or distributor (and if required pursuant to the terms of the Payment Commitment, the applicable Borrower or the Company), providing for advances of the proceeds of New Vehicle Floorplan Swing Line Loans directly by the New Vehicle Floorplan Swing Line Lender to such manufacturer or distributor in payment for the purchase by the applicable New Vehicle Borrower of New Vehicles specified by vehicle identification number.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Payoff Letter Commitment</w:t>
      </w:r>
      <w:r>
        <w:rPr>
          <w:color w:val="000000"/>
        </w:rPr>
        <w:t xml:space="preserve">” </w:t>
      </w:r>
      <w:r>
        <w:rPr>
          <w:rFonts w:ascii="Times New Roman;sans-serif" w:hAnsi="Times New Roman;sans-serif"/>
          <w:b w:val="false"/>
          <w:color w:val="000000"/>
          <w:sz w:val="22"/>
        </w:rPr>
        <w:t>means a written agreement entered into between the New Vehicle Floorplan Swing Line Lender and a financial institution (and if required pursuant to the terms of the Payoff Letter Commitment, the applicable Borrower or the Company), which agreement is delivered in connection with the payoff of floorplan financing provided by such financial institution and provides for advances of the proceeds of New Vehicle Floorplan Swing Line Loans directly by the New Vehicle Floorplan Swing Line Lender to such financial institution in order to pay for or refinance the purchase by the applicable New Vehicle Borrower of New Vehicles specified by vehicle identification number.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38</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Pension Act</w:t>
      </w:r>
      <w:r>
        <w:rPr>
          <w:color w:val="000000"/>
        </w:rPr>
        <w:t xml:space="preserve">” </w:t>
      </w:r>
      <w:r>
        <w:rPr>
          <w:rFonts w:ascii="Times New Roman;sans-serif" w:hAnsi="Times New Roman;sans-serif"/>
          <w:b w:val="false"/>
          <w:color w:val="000000"/>
          <w:sz w:val="22"/>
        </w:rPr>
        <w:t>means the Pension Protection Act of 2006.</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Pension Funding Rules</w:t>
      </w:r>
      <w:r>
        <w:rPr>
          <w:color w:val="000000"/>
        </w:rPr>
        <w:t xml:space="preserve">” </w:t>
      </w:r>
      <w:r>
        <w:rPr>
          <w:rFonts w:ascii="Times New Roman;sans-serif" w:hAnsi="Times New Roman;sans-serif"/>
          <w:b w:val="false"/>
          <w:color w:val="000000"/>
          <w:sz w:val="22"/>
        </w:rPr>
        <w:t>means the rules of the Code and ERISA regarding minimum funding standards with respect to Pension Plans and set forth in Sections 412, 430, 431, 432 and 436 of the Code and Sections 302, 303, 304 and 305 of ERISA.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Pension Plan</w:t>
      </w:r>
      <w:r>
        <w:rPr>
          <w:color w:val="000000"/>
        </w:rPr>
        <w:t xml:space="preserve">” </w:t>
      </w:r>
      <w:r>
        <w:rPr>
          <w:rFonts w:ascii="Times New Roman;sans-serif" w:hAnsi="Times New Roman;sans-serif"/>
          <w:b w:val="false"/>
          <w:color w:val="000000"/>
          <w:sz w:val="22"/>
        </w:rPr>
        <w:t>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 xml:space="preserve">means any Acquisition permitted by </w:t>
      </w:r>
      <w:r>
        <w:rPr>
          <w:rFonts w:ascii="Times New Roman;sans-serif" w:hAnsi="Times New Roman;sans-serif"/>
          <w:b w:val="false"/>
          <w:color w:val="000000"/>
          <w:sz w:val="22"/>
          <w:u w:val="single"/>
        </w:rPr>
        <w:t>Section 7.19</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Disposition</w:t>
      </w:r>
      <w:r>
        <w:rPr>
          <w:color w:val="000000"/>
        </w:rPr>
        <w:t xml:space="preserve">” </w:t>
      </w:r>
      <w:r>
        <w:rPr>
          <w:rFonts w:ascii="Times New Roman;sans-serif" w:hAnsi="Times New Roman;sans-serif"/>
          <w:b w:val="false"/>
          <w:color w:val="000000"/>
          <w:sz w:val="22"/>
        </w:rPr>
        <w:t xml:space="preserve">means any Disposition permitted by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Floorplan Indebtedness</w:t>
      </w:r>
      <w:r>
        <w:rPr>
          <w:color w:val="000000"/>
        </w:rPr>
        <w:t xml:space="preserve">” </w:t>
      </w:r>
      <w:r>
        <w:rPr>
          <w:rFonts w:ascii="Times New Roman;sans-serif" w:hAnsi="Times New Roman;sans-serif"/>
          <w:b w:val="false"/>
          <w:color w:val="000000"/>
          <w:sz w:val="22"/>
        </w:rPr>
        <w:t xml:space="preserve">means (i) Indebtedness under the New Vehicle Floorplan Facility or the Used Vehicle Floorplan Facility, and (ii) any other floorplan Indebtedness incurred by the Company or any Subsidiary to the extent such Indebtedness is permitted by this Agreement.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FMCC Floorplan Indebtedness</w:t>
      </w:r>
      <w:r>
        <w:rPr>
          <w:color w:val="000000"/>
        </w:rPr>
        <w:t xml:space="preserve">” </w:t>
      </w:r>
      <w:r>
        <w:rPr>
          <w:rFonts w:ascii="Times New Roman;sans-serif" w:hAnsi="Times New Roman;sans-serif"/>
          <w:b w:val="false"/>
          <w:color w:val="000000"/>
          <w:sz w:val="22"/>
        </w:rPr>
        <w:t xml:space="preserve">means New Vehicle floorplan Indebtedness that (a) is owed to FMCC by any Subsidiary that operates a Ford or Lincoln dealership, (b) finances only the acquisition of new Ford or Lincoln Vehicles by such Ford or Lincoln dealership, (c) is not guaranteed or owed by any Person other than (i) any Subsidiary that operates such a Ford or Lincoln dealership or (ii) the Company, (d) is not secured by any assets other than the FMCC Collateral (unless otherwise agreed to by the Administrative Agent) and (e) is subject to an FMCC Intercreditor Agreement.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Real Estate Debt</w:t>
      </w:r>
      <w:r>
        <w:rPr>
          <w:color w:val="000000"/>
        </w:rPr>
        <w:t xml:space="preserve">” </w:t>
      </w:r>
      <w:r>
        <w:rPr>
          <w:rFonts w:ascii="Times New Roman;sans-serif" w:hAnsi="Times New Roman;sans-serif"/>
          <w:b w:val="false"/>
          <w:color w:val="000000"/>
          <w:sz w:val="22"/>
        </w:rPr>
        <w:t xml:space="preserve">means that certain Indebtedness described on </w:t>
      </w:r>
      <w:r>
        <w:rPr>
          <w:rFonts w:ascii="Times New Roman;sans-serif" w:hAnsi="Times New Roman;sans-serif"/>
          <w:b w:val="false"/>
          <w:color w:val="000000"/>
          <w:sz w:val="22"/>
          <w:u w:val="single"/>
        </w:rPr>
        <w:t>Schedule 1.02(P)</w:t>
      </w:r>
      <w:r>
        <w:rPr>
          <w:rFonts w:ascii="Times New Roman;sans-serif" w:hAnsi="Times New Roman;sans-serif"/>
          <w:b w:val="false"/>
          <w:color w:val="000000"/>
          <w:sz w:val="22"/>
        </w:rPr>
        <w:t>, and any other Indebtedness (other than Swap Contracts) of a Loan Party (i) secured solely by real property, fixtures, related real property rights, related contracts and proceeds of the foregoing, owned by such Loan Party, and (ii) for which no Person other than the obligor of such Indebtedness, the Company or any Subsidiary which is a Loan Party has any liability with respect to such Indebtedness, in each case of clauses (i) and (ii), so long as (x) the aggregate amount of all Permitted Real Estate Debt outstanding at any time shall not exceed eighty-five percent (85%) of the value of the real property securing such Indebtedness, as evidenced by the respective appraisals of the real property ordered in connection with obtaining such Indebtedness, (y) the amount of any Permitted Real Estate Debt relating to a particular parcel of real property shall not exceed one hundred percent (100%) of the value of such parcel securing such Indebtedness, as evidenced by the respective appraisal of such parcel ordered in connection with obtaining such Indebtedness, and (z) upon the request of the Administrative Agent, the Company shall promptly deliver to the Administrative Agent a copy of any appraisal described in clause (x) or (y) above.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Service Loaner Indebtedness</w:t>
      </w:r>
      <w:r>
        <w:rPr>
          <w:color w:val="000000"/>
        </w:rPr>
        <w:t xml:space="preserve">” </w:t>
      </w:r>
      <w:r>
        <w:rPr>
          <w:rFonts w:ascii="Times New Roman;sans-serif" w:hAnsi="Times New Roman;sans-serif"/>
          <w:b w:val="false"/>
          <w:color w:val="000000"/>
          <w:sz w:val="22"/>
        </w:rPr>
        <w:t xml:space="preserve">means any Indebtedness that satisfies the requirements of </w:t>
      </w:r>
      <w:r>
        <w:rPr>
          <w:rFonts w:ascii="Times New Roman;sans-serif" w:hAnsi="Times New Roman;sans-serif"/>
          <w:b w:val="false"/>
          <w:color w:val="000000"/>
          <w:sz w:val="22"/>
          <w:u w:val="single"/>
        </w:rPr>
        <w:t>Section 7.01(q)</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Platform</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Pledge Agreement</w:t>
      </w:r>
      <w:r>
        <w:rPr>
          <w:color w:val="000000"/>
        </w:rPr>
        <w:t xml:space="preserve">” </w:t>
      </w:r>
      <w:r>
        <w:rPr>
          <w:rFonts w:ascii="Times New Roman;sans-serif" w:hAnsi="Times New Roman;sans-serif"/>
          <w:b w:val="false"/>
          <w:color w:val="000000"/>
          <w:sz w:val="22"/>
        </w:rPr>
        <w:t xml:space="preserve">means that certain Third Amended and Restated Securities Pledge Agreement dated as of the Closing Date made by the Company and certain Loan Parties in favor of the Administrative Agent for the benefit of the Secured Parties, substantially in the form of </w:t>
      </w:r>
      <w:r>
        <w:rPr>
          <w:rFonts w:ascii="Times New Roman;sans-serif" w:hAnsi="Times New Roman;sans-serif"/>
          <w:b w:val="false"/>
          <w:color w:val="000000"/>
          <w:sz w:val="22"/>
          <w:u w:val="single"/>
        </w:rPr>
        <w:t>Exhibit N</w:t>
      </w:r>
      <w:r>
        <w:rPr>
          <w:color w:val="000000"/>
        </w:rPr>
        <w:t xml:space="preserve"> </w:t>
      </w:r>
      <w:r>
        <w:rPr>
          <w:rFonts w:ascii="Times New Roman;sans-serif" w:hAnsi="Times New Roman;sans-serif"/>
          <w:b w:val="false"/>
          <w:color w:val="000000"/>
          <w:sz w:val="22"/>
        </w:rPr>
        <w:t xml:space="preserve">attached hereto, as supplemented from time to time by the execution and delivery of Joinder Agreements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 xml:space="preserve">and as otherwise supplemented, amended or modified from time to time.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39</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Prepayment Test Amount</w:t>
      </w:r>
      <w:r>
        <w:rPr>
          <w:color w:val="000000"/>
        </w:rPr>
        <w:t xml:space="preserve">” </w:t>
      </w:r>
      <w:r>
        <w:rPr>
          <w:rFonts w:ascii="Times New Roman;sans-serif" w:hAnsi="Times New Roman;sans-serif"/>
          <w:b w:val="false"/>
          <w:color w:val="000000"/>
          <w:sz w:val="22"/>
        </w:rPr>
        <w:t xml:space="preserve">means, as of any date of measurement thereof: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(a)the sum of (without duplication) (i) cash, cash equivalents and short-term marketable securities reflected on the books of the Company and its Subsidiaries, in each case not subject to any Lien (other than Liens created under the Loan Documents), (ii) the Net Book Value of Contracts-in-Transit, in each case not subject to any Lien (other than Liens created under the Loan Documents), (iii) the Net Book Value of New Vehicles, (iv) 85% of the Net Book Value of Used Vehicles (net of Lien payoffs);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Rental Vehicles shall be excluded from the calculation of the items in this clause (a), </w:t>
      </w:r>
      <w:r>
        <w:rPr>
          <w:rFonts w:ascii="Times New Roman;sans-serif" w:hAnsi="Times New Roman;sans-serif"/>
          <w:b w:val="false"/>
          <w:color w:val="000000"/>
          <w:sz w:val="22"/>
          <w:u w:val="single"/>
        </w:rPr>
        <w:t>plus</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Available Unused Revolving Commitments, </w:t>
      </w:r>
      <w:r>
        <w:rPr>
          <w:rFonts w:ascii="Times New Roman;sans-serif" w:hAnsi="Times New Roman;sans-serif"/>
          <w:b w:val="false"/>
          <w:color w:val="000000"/>
          <w:sz w:val="22"/>
          <w:u w:val="single"/>
        </w:rPr>
        <w:t>minus</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sum of (i) the Total New Vehicle Floorplan Outstandings, and (ii) the Total Used Vehicle Floorplan Outstandings, other than (in each case of clause (i) and (ii)) the portion of any such Total New Vehicle Floorplan Outstandings or Total Used Vehicle Floorplan Outstandings arising from Loans that finance Rental Vehicles.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Prepayment Test Amount Certificate</w:t>
      </w:r>
      <w:r>
        <w:rPr>
          <w:color w:val="000000"/>
        </w:rPr>
        <w:t xml:space="preserve">” </w:t>
      </w:r>
      <w:r>
        <w:rPr>
          <w:rFonts w:ascii="Times New Roman;sans-serif" w:hAnsi="Times New Roman;sans-serif"/>
          <w:b w:val="false"/>
          <w:color w:val="000000"/>
          <w:sz w:val="22"/>
        </w:rPr>
        <w:t xml:space="preserve">means a certificate of a Responsible Officer of the Company substantially in the form of </w:t>
      </w:r>
      <w:r>
        <w:rPr>
          <w:rFonts w:ascii="Times New Roman;sans-serif" w:hAnsi="Times New Roman;sans-serif"/>
          <w:b w:val="false"/>
          <w:color w:val="000000"/>
          <w:sz w:val="22"/>
          <w:u w:val="single"/>
        </w:rPr>
        <w:t>Exhibit M</w:t>
      </w:r>
      <w:r>
        <w:rPr>
          <w:color w:val="000000"/>
        </w:rPr>
        <w:t xml:space="preserve"> </w:t>
      </w:r>
      <w:r>
        <w:rPr>
          <w:rFonts w:ascii="Times New Roman;sans-serif" w:hAnsi="Times New Roman;sans-serif"/>
          <w:b w:val="false"/>
          <w:color w:val="000000"/>
          <w:sz w:val="22"/>
        </w:rPr>
        <w:t>setting forth a calculation of the Prepayment Test Amount.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Prior Indenture</w:t>
      </w:r>
      <w:r>
        <w:rPr>
          <w:color w:val="000000"/>
        </w:rPr>
        <w:t xml:space="preserve">” </w:t>
      </w:r>
      <w:r>
        <w:rPr>
          <w:rFonts w:ascii="Times New Roman;sans-serif" w:hAnsi="Times New Roman;sans-serif"/>
          <w:b w:val="false"/>
          <w:color w:val="000000"/>
          <w:sz w:val="22"/>
        </w:rPr>
        <w:t>means that certain Indenture, dated as of December 4, 2014 (as amended, supplemented and otherwise modified prior to the date hereof, and as further amended, supplemented or otherwise modified from time to time to the extent permitted hereunder), governing the $600,000,000 aggregate principal amount of outstanding 6.0% Senior Subordinated Notes due 2024 of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Pro Forma Compliance</w:t>
      </w:r>
      <w:r>
        <w:rPr>
          <w:color w:val="000000"/>
        </w:rPr>
        <w:t xml:space="preserve">” </w:t>
      </w:r>
      <w:r>
        <w:rPr>
          <w:rFonts w:ascii="Times New Roman;sans-serif" w:hAnsi="Times New Roman;sans-serif"/>
          <w:b w:val="false"/>
          <w:color w:val="000000"/>
          <w:sz w:val="22"/>
        </w:rPr>
        <w:t xml:space="preserve">means, </w:t>
      </w:r>
    </w:p>
    <w:p>
      <w:pPr>
        <w:pStyle w:val="TextBody"/>
        <w:spacing w:lineRule="auto" w:line="240" w:before="0" w:after="240"/>
        <w:ind w:left="0" w:right="0" w:firstLine="720"/>
        <w:jc w:val="both"/>
        <w:rPr/>
      </w:pPr>
      <w:r>
        <w:rPr>
          <w:rFonts w:ascii="Times New Roman;sans-serif" w:hAnsi="Times New Roman;sans-serif"/>
          <w:b w:val="false"/>
          <w:color w:val="000000"/>
          <w:sz w:val="22"/>
        </w:rPr>
        <w:t>(i)with respect to any event that requires Pro Forma Compliance under this Agreement (each, a “</w:t>
      </w:r>
      <w:r>
        <w:rPr>
          <w:rFonts w:ascii="Times New Roman;sans-serif" w:hAnsi="Times New Roman;sans-serif"/>
          <w:b w:val="false"/>
          <w:color w:val="000000"/>
          <w:sz w:val="22"/>
          <w:u w:val="single"/>
        </w:rPr>
        <w:t>Pro Forma Determination Event</w:t>
      </w:r>
      <w:r>
        <w:rPr>
          <w:color w:val="000000"/>
        </w:rPr>
        <w:t>”</w:t>
      </w:r>
      <w:r>
        <w:rPr>
          <w:rFonts w:ascii="Times New Roman;sans-serif" w:hAnsi="Times New Roman;sans-serif"/>
          <w:b w:val="false"/>
          <w:color w:val="000000"/>
          <w:sz w:val="22"/>
        </w:rPr>
        <w:t xml:space="preserve">) other than as set forth in clause (ii) or (iii) below, that: (A) the Company and its Subsidiaries are in pro forma compliance with the financial covenants set forth in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 xml:space="preserve">(calculated as if such Pro Forma Determination Event had occurred on the first day of the four fiscal quarter period ending on the last day of the most recent fiscal quarter in respect of which financial statements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(B) the Total Revolving Outstandings will not exceed the lesser of the Aggregate Revolving Commitments and the Revolving Borrowing Base (such Total Revolving Outstandings and Revolving Borrowing Base being calculated on a pro forma basis as if such Pro Forma Determination Event had occurred on the date the most recent Revolving Borrowing Base Certificate has been delivered pursuant to </w:t>
      </w:r>
      <w:r>
        <w:rPr>
          <w:rFonts w:ascii="Times New Roman;sans-serif" w:hAnsi="Times New Roman;sans-serif"/>
          <w:b w:val="false"/>
          <w:color w:val="000000"/>
          <w:sz w:val="22"/>
          <w:u w:val="single"/>
        </w:rPr>
        <w:t>Section 6.02(a)(i)</w:t>
      </w:r>
      <w:r>
        <w:rPr>
          <w:rFonts w:ascii="Times New Roman;sans-serif" w:hAnsi="Times New Roman;sans-serif"/>
          <w:b w:val="false"/>
          <w:color w:val="000000"/>
          <w:sz w:val="22"/>
        </w:rPr>
        <w:t xml:space="preserve">), and (C) the Total Used Vehicle Floorplan Outstandings will not exceed the lesser of the Aggregate Used Vehicle Floorplan Commitments and the Used Vehicle Floorplan Borrowing Base (such Total Used Vehicle Floorplan Outstandings and Used Vehicle Floorplan Borrowing Base being calculated on a pro forma basis as if such Pro Forma Determination Event had occurred on the date the most recent Used Vehicle Floorplan Borrowing Base Certificate has been delivered pursuant to </w:t>
      </w:r>
      <w:r>
        <w:rPr>
          <w:rFonts w:ascii="Times New Roman;sans-serif" w:hAnsi="Times New Roman;sans-serif"/>
          <w:b w:val="false"/>
          <w:color w:val="000000"/>
          <w:sz w:val="22"/>
          <w:u w:val="single"/>
        </w:rPr>
        <w:t>Section 6.02(b)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(ii)with respect to any Restricted Payment to be made on any date (any such date, an “</w:t>
      </w:r>
      <w:r>
        <w:rPr>
          <w:rFonts w:ascii="Times New Roman;sans-serif" w:hAnsi="Times New Roman;sans-serif"/>
          <w:b w:val="false"/>
          <w:color w:val="000000"/>
          <w:sz w:val="22"/>
          <w:u w:val="single"/>
        </w:rPr>
        <w:t>Applicable Restricted Payment Date</w:t>
      </w:r>
      <w:r>
        <w:rPr>
          <w:color w:val="000000"/>
        </w:rPr>
        <w:t>”</w:t>
      </w:r>
      <w:r>
        <w:rPr>
          <w:rFonts w:ascii="Times New Roman;sans-serif" w:hAnsi="Times New Roman;sans-serif"/>
          <w:b w:val="false"/>
          <w:color w:val="000000"/>
          <w:sz w:val="22"/>
        </w:rPr>
        <w:t xml:space="preserve">) as contemplated by </w:t>
      </w:r>
      <w:r>
        <w:rPr>
          <w:rFonts w:ascii="Times New Roman;sans-serif" w:hAnsi="Times New Roman;sans-serif"/>
          <w:b w:val="false"/>
          <w:color w:val="000000"/>
          <w:sz w:val="22"/>
          <w:u w:val="single"/>
        </w:rPr>
        <w:t>Section 7.10</w:t>
      </w:r>
      <w:r>
        <w:rPr>
          <w:rFonts w:ascii="Times New Roman;sans-serif" w:hAnsi="Times New Roman;sans-serif"/>
          <w:b w:val="false"/>
          <w:color w:val="000000"/>
          <w:sz w:val="22"/>
        </w:rPr>
        <w:t xml:space="preserve">, that the Company and its Subsidiaries will be in pro forma compliance with the financial covenants set forth in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 xml:space="preserve">as of the last day of the most recent fiscal quarter in respect of which financial statements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such financial covenants being calculated on a pro forma basis as if such Restricted Payment (and any other Restricted Payment made on the Applicable Restricted Payment Date or at any time since the last day of such fiscal quarter) had been made on the last day of such fiscal quarter, and</w:t>
      </w:r>
    </w:p>
    <w:p>
      <w:pPr>
        <w:pStyle w:val="TextBody"/>
        <w:spacing w:lineRule="auto" w:line="240" w:before="0" w:after="240"/>
        <w:ind w:left="0" w:right="0" w:firstLine="720"/>
        <w:jc w:val="both"/>
        <w:rPr/>
      </w:pPr>
      <w:r>
        <w:rPr>
          <w:rFonts w:ascii="Times New Roman;sans-serif" w:hAnsi="Times New Roman;sans-serif"/>
          <w:b w:val="false"/>
          <w:color w:val="000000"/>
          <w:sz w:val="22"/>
        </w:rPr>
        <w:t>(iii)with respect to any prepayment of Indebtedness to be made on any date (any such date, an “</w:t>
      </w:r>
      <w:r>
        <w:rPr>
          <w:rFonts w:ascii="Times New Roman;sans-serif" w:hAnsi="Times New Roman;sans-serif"/>
          <w:b w:val="false"/>
          <w:color w:val="000000"/>
          <w:sz w:val="22"/>
          <w:u w:val="single"/>
        </w:rPr>
        <w:t>Applicable Prepayment Date</w:t>
      </w:r>
      <w:r>
        <w:rPr>
          <w:color w:val="000000"/>
        </w:rPr>
        <w:t>”</w:t>
      </w:r>
      <w:r>
        <w:rPr>
          <w:rFonts w:ascii="Times New Roman;sans-serif" w:hAnsi="Times New Roman;sans-serif"/>
          <w:b w:val="false"/>
          <w:color w:val="000000"/>
          <w:sz w:val="22"/>
        </w:rPr>
        <w:t xml:space="preserve">) as contemplated by </w:t>
      </w:r>
      <w:r>
        <w:rPr>
          <w:rFonts w:ascii="Times New Roman;sans-serif" w:hAnsi="Times New Roman;sans-serif"/>
          <w:b w:val="false"/>
          <w:color w:val="000000"/>
          <w:sz w:val="22"/>
          <w:u w:val="single"/>
        </w:rPr>
        <w:t>Section 7.16</w:t>
      </w:r>
      <w:r>
        <w:rPr>
          <w:rFonts w:ascii="Times New Roman;sans-serif" w:hAnsi="Times New Roman;sans-serif"/>
          <w:b w:val="false"/>
          <w:color w:val="000000"/>
          <w:sz w:val="22"/>
        </w:rPr>
        <w:t xml:space="preserve">, that the Company and its Subsidiaries will be in pro forma compliance with the financial covenants set forth in </w:t>
      </w:r>
      <w:r>
        <w:rPr>
          <w:rFonts w:ascii="Times New Roman;sans-serif" w:hAnsi="Times New Roman;sans-serif"/>
          <w:b w:val="false"/>
          <w:color w:val="000000"/>
          <w:sz w:val="22"/>
          <w:u w:val="single"/>
        </w:rPr>
        <w:t xml:space="preserve">Section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u w:val="single"/>
        </w:rPr>
        <w:t>7.11</w:t>
      </w:r>
      <w:r>
        <w:rPr>
          <w:color w:val="000000"/>
        </w:rPr>
        <w:t xml:space="preserve"> </w:t>
      </w:r>
      <w:r>
        <w:rPr>
          <w:rFonts w:ascii="Times New Roman;sans-serif" w:hAnsi="Times New Roman;sans-serif"/>
          <w:b w:val="false"/>
          <w:color w:val="000000"/>
          <w:sz w:val="22"/>
        </w:rPr>
        <w:t xml:space="preserve">as of the last day of the fiscal quarter which includes the Applicable Prepayment Date as well as the last day of each of the three fiscal quarters succeeding the fiscal quarter containing the Applicable Prepayment Date, in each case (x) calculated as if such prepayment had occurred on the first day of the fiscal quarter which includes the Applicable Prepayment Date and (y) based on projected financial statements delivered to the Administrative Agent which do not reflect material and adverse changes in growth or turnover assumptions of trading assets or accounts payable as compared to the most recent financial statements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Pro forma calculations made pursuant to this definition that require calculations of Consolidated EBITDAR on a pro forma basis will be made in accordance with </w:t>
      </w:r>
      <w:r>
        <w:rPr>
          <w:rFonts w:ascii="Times New Roman;sans-serif" w:hAnsi="Times New Roman;sans-serif"/>
          <w:b w:val="false"/>
          <w:color w:val="000000"/>
          <w:sz w:val="22"/>
          <w:u w:val="single"/>
        </w:rPr>
        <w:t>Section 1.04(d)</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Pro Forma Compliance Certificate</w:t>
      </w:r>
      <w:r>
        <w:rPr>
          <w:color w:val="000000"/>
        </w:rPr>
        <w:t xml:space="preserve">” </w:t>
      </w:r>
      <w:r>
        <w:rPr>
          <w:rFonts w:ascii="Times New Roman;sans-serif" w:hAnsi="Times New Roman;sans-serif"/>
          <w:b w:val="false"/>
          <w:color w:val="000000"/>
          <w:sz w:val="22"/>
        </w:rPr>
        <w:t>means, with respect to any event, a duly completed Compliance Certificate demonstrating the pro forma calculations of the items set forth in the Compliance Certificate on a pro forma basis in accordance with the definition of “Pro Forma Compliance.”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Pro Forma Prepayment Test Amount</w:t>
      </w:r>
      <w:r>
        <w:rPr>
          <w:color w:val="000000"/>
        </w:rPr>
        <w:t xml:space="preserve">” </w:t>
      </w:r>
      <w:r>
        <w:rPr>
          <w:rFonts w:ascii="Times New Roman;sans-serif" w:hAnsi="Times New Roman;sans-serif"/>
          <w:b w:val="false"/>
          <w:color w:val="000000"/>
          <w:sz w:val="22"/>
        </w:rPr>
        <w:t xml:space="preserve">means the Prepayment Test Amount calculated on a pro forma basis as of the last day of the fiscal quarter which includes the Applicable Prepayment Date as well as the last day of each of the three fiscal quarters succeeding the fiscal quarter containing the Applicable Prepayment Date, (a) calculated as if such prepayment had occurred on the first day of the fiscal quarter which includes the Applicable Prepayment Date and (b) based on projected financial statements delivered to the Administrative Agent which do not reflect material and adverse changes in growth or turnover assumptions of trading assets or accounts payable as compared to the most recent financial statements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Pro Forma Revolving Borrowing Base Certificate</w:t>
      </w:r>
      <w:r>
        <w:rPr>
          <w:color w:val="000000"/>
        </w:rPr>
        <w:t xml:space="preserve">” </w:t>
      </w:r>
      <w:r>
        <w:rPr>
          <w:rFonts w:ascii="Times New Roman;sans-serif" w:hAnsi="Times New Roman;sans-serif"/>
          <w:b w:val="false"/>
          <w:color w:val="000000"/>
          <w:sz w:val="22"/>
        </w:rPr>
        <w:t>means, with respect to any event, a duly completed Revolving Borrowing Base Certificate demonstrating the calculations of the Revolving Borrowing Base on a pro forma basis in accordance with the definition of “Pro Forma Compliance.”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Pro Forma Used Vehicle Floorplan Borrowing Base Certificate</w:t>
      </w:r>
      <w:r>
        <w:rPr>
          <w:color w:val="000000"/>
        </w:rPr>
        <w:t xml:space="preserve">” </w:t>
      </w:r>
      <w:r>
        <w:rPr>
          <w:rFonts w:ascii="Times New Roman;sans-serif" w:hAnsi="Times New Roman;sans-serif"/>
          <w:b w:val="false"/>
          <w:color w:val="000000"/>
          <w:sz w:val="22"/>
        </w:rPr>
        <w:t>means, with respect to any event, a duly completed Used Vehicle Floorplan Borrowing Base Certificate demonstrating pro forma calculations of the Used Vehicle Floorplan Borrowing Base on a pro forma basis in accordance with the definition of “Pro Forma Compliance.”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Public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Qualified Cash</w:t>
      </w:r>
      <w:r>
        <w:rPr>
          <w:color w:val="000000"/>
        </w:rPr>
        <w:t xml:space="preserve">” </w:t>
      </w:r>
      <w:r>
        <w:rPr>
          <w:rFonts w:ascii="Times New Roman;sans-serif" w:hAnsi="Times New Roman;sans-serif"/>
          <w:b w:val="false"/>
          <w:color w:val="000000"/>
          <w:sz w:val="22"/>
        </w:rPr>
        <w:t xml:space="preserve">means, as of any date of determination, means the sum of (i) the amount of unrestricted (as defined below) cash and Cash Equivalents of the Company and its Restricted Subsidiaries at such time, to the extent held in deposit accounts or securities accounts (agreed to between the Company or such Restricted Subsidiary, as applicable, and the Administrative Agent) in each case which is a segregated account subject to a Blocked Account Agreement which ensures that the Administrative Agent has a first priority, perfected Lien in such account;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applicable account bank (if not the Administrative Agent) shall provide daily reports to the Administrative Agent setting forth the balances in such accounts and such information as the Administrative Agent may reasonably request, and (b) Qualified Cash shall not include any funds or accounts that constitute the Floorplan Offset Amount. For purposes of this definition “unrestricted” means, with respect to any cash or Cash Equivalent, that the use thereof for application to payment of Indebtedness is not prohibited by law or any contract to which the Company or its Restricted Subsidiaries is a party.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Qualified ECP Guarantor</w:t>
      </w:r>
      <w:r>
        <w:rPr>
          <w:color w:val="000000"/>
        </w:rPr>
        <w:t xml:space="preserve">” </w:t>
      </w:r>
      <w:r>
        <w:rPr>
          <w:rFonts w:ascii="Times New Roman;sans-serif" w:hAnsi="Times New Roman;sans-serif"/>
          <w:b w:val="false"/>
          <w:color w:val="000000"/>
          <w:sz w:val="22"/>
        </w:rPr>
        <w:t xml:space="preserve">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Qualified Sale/Leaseback Transaction</w:t>
      </w:r>
      <w:r>
        <w:rPr>
          <w:color w:val="000000"/>
        </w:rPr>
        <w:t xml:space="preserve">” </w:t>
      </w:r>
      <w:r>
        <w:rPr>
          <w:rFonts w:ascii="Times New Roman;sans-serif" w:hAnsi="Times New Roman;sans-serif"/>
          <w:b w:val="false"/>
          <w:color w:val="000000"/>
          <w:sz w:val="22"/>
        </w:rPr>
        <w:t xml:space="preserve">means a sale by any of the Loan Parties or any of their Subsidiaries of personal property or real property and related fixtures and accessories used in the ordinary course of business, which property does not include any Collateral and which property is, in a concurrent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transaction, leased by such Person from the purchaser thereof under a lease agreement, the terms of which, as of the date of such transaction, based upon the immediately preceding four fiscal quarters of the Company, would not cause the Company to be in Default under any of the provisions 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Qualified Service Loaner Program</w:t>
      </w:r>
      <w:r>
        <w:rPr>
          <w:color w:val="000000"/>
        </w:rPr>
        <w:t xml:space="preserve">” </w:t>
      </w:r>
      <w:r>
        <w:rPr>
          <w:rFonts w:ascii="Times New Roman;sans-serif" w:hAnsi="Times New Roman;sans-serif"/>
          <w:b w:val="false"/>
          <w:color w:val="000000"/>
          <w:sz w:val="22"/>
        </w:rPr>
        <w:t>means any program with any Manufacturer, or the financial affiliate of such a Manufacturer, pursuant to which the Company or any Subsidiary (i) finances New Vehicles under such program, which New Vehicles are used by the Company or such Subsidiary as Rental Vehicles and (ii) is subject to an intercreditor agreement (in form and substance satisfactory to the Administrative Agent) between the creditor under such Indebtedness and the Administrative Agent (a “</w:t>
      </w:r>
      <w:r>
        <w:rPr>
          <w:rFonts w:ascii="Times New Roman;sans-serif" w:hAnsi="Times New Roman;sans-serif"/>
          <w:b w:val="false"/>
          <w:color w:val="000000"/>
          <w:sz w:val="22"/>
          <w:u w:val="single"/>
        </w:rPr>
        <w:t>Service Loaner Intercreditor Agreement</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Real Estate Credit Facility</w:t>
      </w:r>
      <w:r>
        <w:rPr>
          <w:color w:val="000000"/>
        </w:rPr>
        <w:t xml:space="preserve">” </w:t>
      </w:r>
      <w:r>
        <w:rPr>
          <w:rFonts w:ascii="Times New Roman;sans-serif" w:hAnsi="Times New Roman;sans-serif"/>
          <w:b w:val="false"/>
          <w:color w:val="000000"/>
          <w:sz w:val="22"/>
        </w:rPr>
        <w:t>has the meaning specified in the Third Amendment.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 xml:space="preserve">means the Administrative Agent, any Lender, any L/C Issuer or any other recipient of any payment to be made by or on account of any obligation of any Loan Party hereunder.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Regulation U</w:t>
      </w:r>
      <w:r>
        <w:rPr>
          <w:color w:val="000000"/>
        </w:rPr>
        <w:t xml:space="preserve">” </w:t>
      </w:r>
      <w:r>
        <w:rPr>
          <w:rFonts w:ascii="Times New Roman;sans-serif" w:hAnsi="Times New Roman;sans-serif"/>
          <w:b w:val="false"/>
          <w:color w:val="000000"/>
          <w:sz w:val="22"/>
        </w:rPr>
        <w:t>means Regulation U of the FRB, as in effect from time to time and all official rulings and interpretations thereunder or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Rental Vehicle</w:t>
      </w:r>
      <w:r>
        <w:rPr>
          <w:color w:val="000000"/>
        </w:rPr>
        <w:t xml:space="preserve">” </w:t>
      </w:r>
      <w:r>
        <w:rPr>
          <w:rFonts w:ascii="Times New Roman;sans-serif" w:hAnsi="Times New Roman;sans-serif"/>
          <w:b w:val="false"/>
          <w:color w:val="000000"/>
          <w:sz w:val="22"/>
        </w:rPr>
        <w:t>means a New Vehicle less than two years old owned by a New Vehicle Borrower and purchased directly from a manufacturer as a New Vehicle and that is used as a service or daily loaner vehicle or is periodically subject to a rental contract with customers of the New Vehicle Borrower for loaner or rental periods of up to sixty (60) consecutive days or is used by dealership personnel in connection with parts and service operations. Rental Vehicles may be registered with applicable Governmental Authorities in the ordinary course of business.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Reportable Event</w:t>
      </w:r>
      <w:r>
        <w:rPr>
          <w:color w:val="000000"/>
        </w:rPr>
        <w:t xml:space="preserve">” </w:t>
      </w:r>
      <w:r>
        <w:rPr>
          <w:rFonts w:ascii="Times New Roman;sans-serif" w:hAnsi="Times New Roman;sans-serif"/>
          <w:b w:val="false"/>
          <w:color w:val="000000"/>
          <w:sz w:val="22"/>
        </w:rPr>
        <w:t>means any of the events set forth in Section 4043(c) of ERISA, other than events for which the 30 day notice period has been waived.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Request for Credit Extension</w:t>
      </w:r>
      <w:r>
        <w:rPr>
          <w:color w:val="000000"/>
        </w:rPr>
        <w:t xml:space="preserve">” </w:t>
      </w:r>
      <w:r>
        <w:rPr>
          <w:rFonts w:ascii="Times New Roman;sans-serif" w:hAnsi="Times New Roman;sans-serif"/>
          <w:b w:val="false"/>
          <w:color w:val="000000"/>
          <w:sz w:val="22"/>
        </w:rPr>
        <w:t>means (a) with respect to a Revolving Committed Borrowing or conversion of Revolving Committed Loans, a Revolving Committed Loan Notice, (b) with respect to an L/C Credit Extension, a Letter of Credit Application, (c) with respect to a Revolving Swing Line Loan, or conversion of Revolving Swing Line Loans, a Revolving Swing Line Loan Notice, (d) with respect to a New Vehicle Floorplan Committed Borrowing, or conversion of New Vehicle Floorplan Committed Loan, a New Vehicle Floorplan Committed Loan Notice, (e) with respect to a conversion of New Vehicle Floorplan Swing Line Loans, a New Vehicle Floorplan Swing Line Loan Notice, (f) with respect to a Used Vehicle Floorplan Committed Borrowing, or conversion of Used Vehicle Floorplan Committed Loans, a Used Vehicle Floorplan Committed Loan Notice, and (g) with respect to a Used Vehicle Floorplan Swing Line Loan, or conversion of Used Vehicle Floorplan Swing Line Loans, a Used Vehicle Floorplan Swing Line Loan Notice.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as of any date of determination, Lenders whose Commitments aggregate more than 50% of the Aggregate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Commitment of each Lender under an Applicable Facility to make Loans or the obligation of each L/C Issuer to make L/C Credit Extensions have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rFonts w:ascii="Times New Roman;sans-serif" w:hAnsi="Times New Roman;sans-serif"/>
          <w:b w:val="false"/>
          <w:color w:val="000000"/>
          <w:sz w:val="22"/>
        </w:rPr>
        <w:t xml:space="preserve">, the Commitments under such Facility shall be calculated based on the Total Revolving Outstandings, Total New Vehicle Floorplan Outstandings, or Total Used Vehicle Floorplan Outstandings (as the case may be) with respect to such Facility (with the aggregate amount of each Lender’s risk participation and funded participation in L/C Obligations, Revolving Swing Line Loans, New Vehicle Floorplan Swing Line Loans and Used Vehicle Floorplan Swing Line Loans, as applicable, being deemed “held” by such Lender for purposes of this definition);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Commitment of, and the portion of the Total Outstandings held or deemed held by, any Defaulting Lender shall be excluded for purposes of making a determination of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Required Lenders and (ii) in the event that at the time of such determination any New Vehicle Floorplan Overdraft is outstanding, each of (x) the Aggregate Commitments and the Total New Vehicle Floorplan Outstandings, and (y) the Commitment of or Total New Vehicle Floorplan Outstandings held by the New Vehicle Floorplan Swing Line Lender (as the case may be), shall be deemed for purposes of this determination to be increased in the amount of such outstanding New Vehicle Floorplan Overdraft.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Rescindable Amount</w:t>
      </w:r>
      <w:r>
        <w:rPr>
          <w:color w:val="000000"/>
        </w:rPr>
        <w:t xml:space="preserve">” </w:t>
      </w:r>
      <w:r>
        <w:rPr>
          <w:rFonts w:ascii="Times New Roman;sans-serif" w:hAnsi="Times New Roman;sans-serif"/>
          <w:b w:val="false"/>
          <w:color w:val="000000"/>
          <w:sz w:val="22"/>
        </w:rPr>
        <w:t xml:space="preserve">has the meaning as defined in </w:t>
      </w:r>
      <w:r>
        <w:rPr>
          <w:rFonts w:ascii="Times New Roman;sans-serif" w:hAnsi="Times New Roman;sans-serif"/>
          <w:b w:val="false"/>
          <w:color w:val="000000"/>
          <w:sz w:val="22"/>
          <w:u w:val="single"/>
        </w:rPr>
        <w:t>Section 2.20(b)(ii)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 xml:space="preserve">means the chief executive officer, president, chief financial officer, treasurer, assistant treasurer or controller of a Loan Party and solely for purposes of the delivery of incumbency certificates pursuant to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the secretary or any assistant secretary of a Loan Party and, solely for purposes of notices given pursuant to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any dividend or other distribution (whether in cash, securities or other property) with respect to any capital stock or other Equity Interest of the Company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or any Subsidiary’s stockholders, partners or members (or the equivalent Person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Restricted Subsidiary</w:t>
      </w:r>
      <w:r>
        <w:rPr>
          <w:color w:val="000000"/>
        </w:rPr>
        <w:t xml:space="preserve">” </w:t>
      </w:r>
      <w:r>
        <w:rPr>
          <w:rFonts w:ascii="Times New Roman;sans-serif" w:hAnsi="Times New Roman;sans-serif"/>
          <w:b w:val="false"/>
          <w:color w:val="000000"/>
          <w:sz w:val="22"/>
        </w:rPr>
        <w:t>means each direct or indirect Subsidiary of the Company that (i) is not an Immaterial Subsidiary, is not a Captive Insurance Company, is not a Specified Insurance Subsidiary and is not a Designated Escrow Subsidiary, (ii) owns or operates a dealership or (iii) owns any real estate used in the operation of a dealership.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Autoborrow Advance</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Autoborrow Agreement</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Borrowing</w:t>
      </w:r>
      <w:r>
        <w:rPr>
          <w:color w:val="000000"/>
        </w:rPr>
        <w:t xml:space="preserve">” </w:t>
      </w:r>
      <w:r>
        <w:rPr>
          <w:rFonts w:ascii="Times New Roman;sans-serif" w:hAnsi="Times New Roman;sans-serif"/>
          <w:b w:val="false"/>
          <w:color w:val="000000"/>
          <w:sz w:val="22"/>
        </w:rPr>
        <w:t>means a Revolving Committed Borrowing or a Revolving Swing Line Borrowing, as the context may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Borrowing Base</w:t>
      </w:r>
      <w:r>
        <w:rPr>
          <w:color w:val="000000"/>
        </w:rPr>
        <w:t xml:space="preserve">” </w:t>
      </w:r>
      <w:r>
        <w:rPr>
          <w:rFonts w:ascii="Times New Roman;sans-serif" w:hAnsi="Times New Roman;sans-serif"/>
          <w:b w:val="false"/>
          <w:color w:val="000000"/>
          <w:sz w:val="22"/>
        </w:rPr>
        <w:t>means as of any date of calculation, the lesser of (1) Aggregate Revolving Commitments or (2) the sum of:</w:t>
      </w:r>
    </w:p>
    <w:p>
      <w:pPr>
        <w:pStyle w:val="TextBody"/>
        <w:spacing w:lineRule="auto" w:line="240" w:before="0" w:after="240"/>
        <w:jc w:val="both"/>
        <w:rPr/>
      </w:pPr>
      <w:r>
        <w:rPr>
          <w:rFonts w:ascii="Times New Roman;sans-serif" w:hAnsi="Times New Roman;sans-serif"/>
          <w:b w:val="false"/>
          <w:color w:val="000000"/>
          <w:sz w:val="22"/>
        </w:rPr>
        <w:t xml:space="preserve">(A) the sum of (i) the Net Book Value of Eligible Contracts-in-Transit, (ii) 80% of the Net Book Value of Eligible Accounts, including Eligible Accounts that are factory receivables, (iii) the Net Book Value of Eligible New Vehicle Inventory, (iv) 85% of the Net Book Value of Eligible Used Vehicle Inventory, (v) 65% of the Net Book Value of Eligible Parts and Accessories Inventory, (vi) 50% of Qualified Cash, and (vii) 40% of the Net Book Value of Eligible Equipment;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Rental Vehicles will be excluded from the calculation of the items in this clause (A); </w:t>
      </w:r>
    </w:p>
    <w:p>
      <w:pPr>
        <w:pStyle w:val="TextBody"/>
        <w:spacing w:lineRule="auto" w:line="240" w:before="0" w:after="24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75% of the appraised value of the Eligible Borrowing Base Real Estate (as reflected in the most recent FIRREA-conforming appraisal that the Administrative Agent has received with respect to such property);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amounts added to the Revolving Borrowing Base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this clause (B) shall not at any time exceed 25% of the Aggregate Revolving Commitments; and</w:t>
      </w:r>
    </w:p>
    <w:p>
      <w:pPr>
        <w:pStyle w:val="TextBody"/>
        <w:spacing w:lineRule="auto" w:line="240" w:before="0" w:after="240"/>
        <w:jc w:val="both"/>
        <w:rPr/>
      </w:pP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(C) the sum of (i) the Total New Vehicle Floorplan Outstandings plus (ii) the Total Used Vehicle Floorplan Outstandings, minus (iii) the Floorplan Offset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subtracted pursuant to this clause (iii) shall not at any time exceed $50,000,000), other than (in the case of each of clauses (i) and (ii)) the portion of such Total New Vehicle Floorplan Outstandings or Total Used Vehicle Floorplan Outstandings arising from Loans that financed Rental Vehicles.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Borrowing Base Certificate</w:t>
      </w:r>
      <w:r>
        <w:rPr>
          <w:color w:val="000000"/>
        </w:rPr>
        <w:t xml:space="preserve">” </w:t>
      </w:r>
      <w:r>
        <w:rPr>
          <w:rFonts w:ascii="Times New Roman;sans-serif" w:hAnsi="Times New Roman;sans-serif"/>
          <w:b w:val="false"/>
          <w:color w:val="000000"/>
          <w:sz w:val="22"/>
        </w:rPr>
        <w:t xml:space="preserve">means a certificate by a Responsible Officer of the Company, substantially in the form of </w:t>
      </w:r>
      <w:r>
        <w:rPr>
          <w:rFonts w:ascii="Times New Roman;sans-serif" w:hAnsi="Times New Roman;sans-serif"/>
          <w:b w:val="false"/>
          <w:color w:val="000000"/>
          <w:sz w:val="22"/>
          <w:u w:val="single"/>
        </w:rPr>
        <w:t>Exhibit J-1</w:t>
      </w:r>
      <w:r>
        <w:rPr>
          <w:color w:val="000000"/>
        </w:rPr>
        <w:t xml:space="preserve"> </w:t>
      </w:r>
      <w:r>
        <w:rPr>
          <w:rFonts w:ascii="Times New Roman;sans-serif" w:hAnsi="Times New Roman;sans-serif"/>
          <w:b w:val="false"/>
          <w:color w:val="000000"/>
          <w:sz w:val="22"/>
        </w:rPr>
        <w:t>(or another form acceptable to the Administrative Agent) setting forth the calculation of the Revolving Borrowing Base, including a calculation of each component thereof, all in such detail as shall be reasonably satisfactory to the Administrative Agent (and which will include a designation of those assets and liabilities of Subsidiaries which operate Ford or Lincoln Franchises and other classifications which do not qualify for inclusion in the Revolving Borrowing Base because such assets are not subject to the first priority perfected Lien of the Administrative Agent or any other reason for disqualification thereof). All calculations of the Revolving Borrowing Base in connection with the preparation of any Revolving Borrowing Base Certificate shall originally be made by the Company and certified to the Administrative Agent. Notwithstanding the foregoing, if the Administrative Agent has reasonable grounds to believe that the calculation of the Revolving Borrowing Base set forth in any Revolving Borrowing Base Certificate is not in accordance with this Agreement, the Administrative Agent shall inform the Company of the grounds for such belief and shall request confirmation by the Company of the calculation. Prior to confirmation, the Revolving Borrowing Base may be adjusted by the Administrative Agent so the calculation thereof is in accordance with this Agreement (in the Administrative Agent’s reasonable determination).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Commitment</w:t>
      </w:r>
      <w:r>
        <w:rPr>
          <w:color w:val="000000"/>
        </w:rPr>
        <w:t xml:space="preserve">” </w:t>
      </w:r>
      <w:r>
        <w:rPr>
          <w:rFonts w:ascii="Times New Roman;sans-serif" w:hAnsi="Times New Roman;sans-serif"/>
          <w:b w:val="false"/>
          <w:color w:val="000000"/>
          <w:sz w:val="22"/>
        </w:rPr>
        <w:t xml:space="preserve">means, as to each Lender, its obligation to (a) make Revolving Committed Loans to the Company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(b) purchase participations in L/C Obligations, and (c) purchase participations in Revolving Swing Line Loans, in an aggregate principal amount at any one time outstanding not to exceed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Lender becomes a party hereto, as applicable, as such amount may be adjusted from time to time in accordance with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Committed Borrowing</w:t>
      </w:r>
      <w:r>
        <w:rPr>
          <w:color w:val="000000"/>
        </w:rPr>
        <w:t xml:space="preserve">” </w:t>
      </w:r>
      <w:r>
        <w:rPr>
          <w:rFonts w:ascii="Times New Roman;sans-serif" w:hAnsi="Times New Roman;sans-serif"/>
          <w:b w:val="false"/>
          <w:color w:val="000000"/>
          <w:sz w:val="22"/>
        </w:rPr>
        <w:t xml:space="preserve">means a borrowing consisting of simultaneous Revolving Committed Loans of the same Type made by each of the Revolving Lenders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Committed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Committed Loan Notice</w:t>
      </w:r>
      <w:r>
        <w:rPr>
          <w:color w:val="000000"/>
        </w:rPr>
        <w:t xml:space="preserve">” </w:t>
      </w:r>
      <w:r>
        <w:rPr>
          <w:rFonts w:ascii="Times New Roman;sans-serif" w:hAnsi="Times New Roman;sans-serif"/>
          <w:b w:val="false"/>
          <w:color w:val="000000"/>
          <w:sz w:val="22"/>
        </w:rPr>
        <w:t xml:space="preserve">means a notice of (a) a Revolving Borrowing or (b) a conversion of Revolving Committed Loans from one Type to the other, pursuant to </w:t>
      </w:r>
      <w:r>
        <w:rPr>
          <w:rFonts w:ascii="Times New Roman;sans-serif" w:hAnsi="Times New Roman;sans-serif"/>
          <w:b w:val="false"/>
          <w:color w:val="000000"/>
          <w:sz w:val="22"/>
          <w:u w:val="single"/>
        </w:rPr>
        <w:t>Section 2.02(a)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A-2</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Credit Facility</w:t>
      </w:r>
      <w:r>
        <w:rPr>
          <w:color w:val="000000"/>
        </w:rPr>
        <w:t xml:space="preserve">” </w:t>
      </w:r>
      <w:r>
        <w:rPr>
          <w:rFonts w:ascii="Times New Roman;sans-serif" w:hAnsi="Times New Roman;sans-serif"/>
          <w:b w:val="false"/>
          <w:color w:val="000000"/>
          <w:sz w:val="22"/>
        </w:rPr>
        <w:t xml:space="preserve">means the revolving credit facility described in </w:t>
      </w:r>
      <w:r>
        <w:rPr>
          <w:rFonts w:ascii="Times New Roman;sans-serif" w:hAnsi="Times New Roman;sans-serif"/>
          <w:b w:val="false"/>
          <w:color w:val="000000"/>
          <w:sz w:val="22"/>
          <w:u w:val="single"/>
        </w:rPr>
        <w:t>Sections 2.01</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2.05</w:t>
      </w:r>
      <w:r>
        <w:rPr>
          <w:color w:val="000000"/>
        </w:rPr>
        <w:t xml:space="preserve"> </w:t>
      </w:r>
      <w:r>
        <w:rPr>
          <w:rFonts w:ascii="Times New Roman;sans-serif" w:hAnsi="Times New Roman;sans-serif"/>
          <w:b w:val="false"/>
          <w:color w:val="000000"/>
          <w:sz w:val="22"/>
        </w:rPr>
        <w:t>providing for Revolving Loans to the Company by the Revolving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Lender</w:t>
      </w:r>
      <w:r>
        <w:rPr>
          <w:color w:val="000000"/>
        </w:rPr>
        <w:t xml:space="preserve">” </w:t>
      </w:r>
      <w:r>
        <w:rPr>
          <w:rFonts w:ascii="Times New Roman;sans-serif" w:hAnsi="Times New Roman;sans-serif"/>
          <w:b w:val="false"/>
          <w:color w:val="000000"/>
          <w:sz w:val="22"/>
        </w:rPr>
        <w:t>means each Lender that has a Revolving Commitment or, following termination of the Revolving Commitments, has Revolving Loans outstanding.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 xml:space="preserve">means an extension of credit by a Revolving Lender to the Company under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in the form of a Revolving Committed Loan or a Revolving Swing Line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Note</w:t>
      </w:r>
      <w:r>
        <w:rPr>
          <w:color w:val="000000"/>
        </w:rPr>
        <w:t xml:space="preserve">” </w:t>
      </w:r>
      <w:r>
        <w:rPr>
          <w:rFonts w:ascii="Times New Roman;sans-serif" w:hAnsi="Times New Roman;sans-serif"/>
          <w:b w:val="false"/>
          <w:color w:val="000000"/>
          <w:sz w:val="22"/>
        </w:rPr>
        <w:t xml:space="preserve">means a promissory note made by the Company in favor of a Lender evidencing Revolving Loans made by such Lender, substantially in the form of </w:t>
      </w:r>
      <w:r>
        <w:rPr>
          <w:rFonts w:ascii="Times New Roman;sans-serif" w:hAnsi="Times New Roman;sans-serif"/>
          <w:b w:val="false"/>
          <w:color w:val="000000"/>
          <w:sz w:val="22"/>
          <w:u w:val="single"/>
        </w:rPr>
        <w:t>Exhibit C-1</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44</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Swing Line</w:t>
      </w:r>
      <w:r>
        <w:rPr>
          <w:color w:val="000000"/>
        </w:rPr>
        <w:t xml:space="preserve">” </w:t>
      </w:r>
      <w:r>
        <w:rPr>
          <w:rFonts w:ascii="Times New Roman;sans-serif" w:hAnsi="Times New Roman;sans-serif"/>
          <w:b w:val="false"/>
          <w:color w:val="000000"/>
          <w:sz w:val="22"/>
        </w:rPr>
        <w:t xml:space="preserve">means the revolving credit facility made available by the Revolving Swing Line Lender pursuant to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Swing Line Borrowing</w:t>
      </w:r>
      <w:r>
        <w:rPr>
          <w:color w:val="000000"/>
        </w:rPr>
        <w:t xml:space="preserve">” </w:t>
      </w:r>
      <w:r>
        <w:rPr>
          <w:rFonts w:ascii="Times New Roman;sans-serif" w:hAnsi="Times New Roman;sans-serif"/>
          <w:b w:val="false"/>
          <w:color w:val="000000"/>
          <w:sz w:val="22"/>
        </w:rPr>
        <w:t xml:space="preserve">means a borrowing of a Revolving Swing Line Loan pursuant to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Swing Line Lender</w:t>
      </w:r>
      <w:r>
        <w:rPr>
          <w:color w:val="000000"/>
        </w:rPr>
        <w:t xml:space="preserve">” </w:t>
      </w:r>
      <w:r>
        <w:rPr>
          <w:rFonts w:ascii="Times New Roman;sans-serif" w:hAnsi="Times New Roman;sans-serif"/>
          <w:b w:val="false"/>
          <w:color w:val="000000"/>
          <w:sz w:val="22"/>
        </w:rPr>
        <w:t>means Bank of America in its capacity as provider of Revolving Swing Line Loans, or any successor revolving swing line lender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Swing Line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Swing Line Loan Notice</w:t>
      </w:r>
      <w:r>
        <w:rPr>
          <w:color w:val="000000"/>
        </w:rPr>
        <w:t xml:space="preserve">” </w:t>
      </w:r>
      <w:r>
        <w:rPr>
          <w:rFonts w:ascii="Times New Roman;sans-serif" w:hAnsi="Times New Roman;sans-serif"/>
          <w:b w:val="false"/>
          <w:color w:val="000000"/>
          <w:sz w:val="22"/>
        </w:rPr>
        <w:t xml:space="preserve">means a notice of a Revolving Swing Line Borrowing pursuant to </w:t>
      </w:r>
      <w:r>
        <w:rPr>
          <w:rFonts w:ascii="Times New Roman;sans-serif" w:hAnsi="Times New Roman;sans-serif"/>
          <w:b w:val="false"/>
          <w:color w:val="000000"/>
          <w:sz w:val="22"/>
          <w:u w:val="single"/>
        </w:rPr>
        <w:t>Section 2.04(b)</w:t>
      </w:r>
      <w:r>
        <w:rPr>
          <w:color w:val="000000"/>
        </w:rPr>
        <w:t xml:space="preserve"> </w:t>
      </w:r>
      <w:r>
        <w:rPr>
          <w:rFonts w:ascii="Times New Roman;sans-serif" w:hAnsi="Times New Roman;sans-serif"/>
          <w:b w:val="false"/>
          <w:color w:val="000000"/>
          <w:sz w:val="22"/>
        </w:rPr>
        <w:t xml:space="preserve">which shall be substantially in the form of </w:t>
      </w:r>
      <w:r>
        <w:rPr>
          <w:rFonts w:ascii="Times New Roman;sans-serif" w:hAnsi="Times New Roman;sans-serif"/>
          <w:b w:val="false"/>
          <w:color w:val="000000"/>
          <w:sz w:val="22"/>
          <w:u w:val="single"/>
        </w:rPr>
        <w:t>Exhibit B-2</w:t>
      </w:r>
      <w:r>
        <w:rPr>
          <w:color w:val="000000"/>
        </w:rPr>
        <w:t xml:space="preserve"> </w:t>
      </w:r>
      <w:r>
        <w:rPr>
          <w:rFonts w:ascii="Times New Roman;sans-serif" w:hAnsi="Times New Roman;sans-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Swing Line Sublimit</w:t>
      </w:r>
      <w:r>
        <w:rPr>
          <w:color w:val="000000"/>
        </w:rPr>
        <w:t xml:space="preserve">” </w:t>
      </w:r>
      <w:r>
        <w:rPr>
          <w:rFonts w:ascii="Times New Roman;sans-serif" w:hAnsi="Times New Roman;sans-serif"/>
          <w:b w:val="false"/>
          <w:color w:val="000000"/>
          <w:sz w:val="22"/>
        </w:rPr>
        <w:t>means an amount equal to the lesser of (a) $15,000,000 or (b) the Aggregate Revolving Commitments. The Revolving Swing Line Sublimit is part of, and not in addition to, the Aggregate Revolving Commitments.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Revolving/Used Vehicle Event of Default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any international economic sanction administered or enforced by the United States Government (including without limitation, OFAC), the United Nations Security Council, the European Union, Her Majesty’s Treasury or other relevant sanctions authority.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 xml:space="preserve">means Standard &amp; Poor’s Financial Services LLC, a subsidiary of The McGraw-Hill Companies, Inc. and any successor thereto.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Securities and Exchange Commission, or any Governmental Authority succeeding to any of its principal functions.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Secured Cash Management Agreement</w:t>
      </w:r>
      <w:r>
        <w:rPr>
          <w:color w:val="000000"/>
        </w:rPr>
        <w:t xml:space="preserve">” </w:t>
      </w:r>
      <w:r>
        <w:rPr>
          <w:rFonts w:ascii="Times New Roman;sans-serif" w:hAnsi="Times New Roman;sans-serif"/>
          <w:b w:val="false"/>
          <w:color w:val="000000"/>
          <w:sz w:val="22"/>
        </w:rPr>
        <w:t>means any Cash Management Agreement that is entered into by and between any Loan Party and any Cash Management Bank.</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Secured Hedge Agreement</w:t>
      </w:r>
      <w:r>
        <w:rPr>
          <w:color w:val="000000"/>
        </w:rPr>
        <w:t xml:space="preserve">” </w:t>
      </w:r>
      <w:r>
        <w:rPr>
          <w:rFonts w:ascii="Times New Roman;sans-serif" w:hAnsi="Times New Roman;sans-serif"/>
          <w:b w:val="false"/>
          <w:color w:val="000000"/>
          <w:sz w:val="22"/>
        </w:rPr>
        <w:t xml:space="preserve">means any Swap Contract permitted under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that is entered into by and between any Loan Party and any Hedge Bank.</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 xml:space="preserve">means, collectively, the Administrative Agent, the Lenders, the L/C Issuers, the Hedge Banks, the Cash Management Banks, each co-agent or sub-agent appointed by the Administrative Agent from time to time pursuant to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and the other Persons the Obligations owing to which are or are purported to be secured by the Collateral under the terms of the Security Instruments.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Security Agreement</w:t>
      </w:r>
      <w:r>
        <w:rPr>
          <w:color w:val="000000"/>
        </w:rPr>
        <w:t xml:space="preserve">” </w:t>
      </w:r>
      <w:r>
        <w:rPr>
          <w:rFonts w:ascii="Times New Roman;sans-serif" w:hAnsi="Times New Roman;sans-serif"/>
          <w:b w:val="false"/>
          <w:color w:val="000000"/>
          <w:sz w:val="22"/>
        </w:rPr>
        <w:t xml:space="preserve">means that certain Third Amended and Restated Security Agreement dated as of the Closing Date made by the Company and each other Loan Party in favor of the Administrative Agent for the benefit of the Secured Parties, substantially in the form of </w:t>
      </w:r>
      <w:r>
        <w:rPr>
          <w:rFonts w:ascii="Times New Roman;sans-serif" w:hAnsi="Times New Roman;sans-serif"/>
          <w:b w:val="false"/>
          <w:color w:val="000000"/>
          <w:sz w:val="22"/>
          <w:u w:val="single"/>
        </w:rPr>
        <w:t>Exhibit K</w:t>
      </w:r>
      <w:r>
        <w:rPr>
          <w:color w:val="000000"/>
        </w:rPr>
        <w:t xml:space="preserve"> </w:t>
      </w:r>
      <w:r>
        <w:rPr>
          <w:rFonts w:ascii="Times New Roman;sans-serif" w:hAnsi="Times New Roman;sans-serif"/>
          <w:b w:val="false"/>
          <w:color w:val="000000"/>
          <w:sz w:val="22"/>
        </w:rPr>
        <w:t xml:space="preserve">attached hereto, as supplemented from time to time by the execution and delivery of Joinder Agreements pursuant to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and as otherwise supplemented, amended, or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Security Instruments</w:t>
      </w:r>
      <w:r>
        <w:rPr>
          <w:color w:val="000000"/>
        </w:rPr>
        <w:t xml:space="preserve">” </w:t>
      </w:r>
      <w:r>
        <w:rPr>
          <w:rFonts w:ascii="Times New Roman;sans-serif" w:hAnsi="Times New Roman;sans-serif"/>
          <w:b w:val="false"/>
          <w:color w:val="000000"/>
          <w:sz w:val="22"/>
        </w:rPr>
        <w:t>means, collectively or individually as the context may indicate, the Security Agreement, the Pledge Agreement, the Escrow and Security Agreement, any Joinder Agreement, and all other agreements, instruments and other documents, whether now existing or hereafter in effect, pursuant to which any Borrower, any other Loan Party, or any other Person shall grant or convey to the Administrative Agent, for the benefit of the Secured Parties a Lien in, or any other Person shall acknowledge any such Lien in, property as security for all or any portion of the Obligations and any other obligation under any Loan Document.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45</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Senior Notes</w:t>
      </w:r>
      <w:r>
        <w:rPr>
          <w:color w:val="000000"/>
        </w:rPr>
        <w:t xml:space="preserve">” </w:t>
      </w:r>
      <w:r>
        <w:rPr>
          <w:rFonts w:ascii="Times New Roman;sans-serif" w:hAnsi="Times New Roman;sans-serif"/>
          <w:b w:val="false"/>
          <w:color w:val="000000"/>
          <w:sz w:val="22"/>
        </w:rPr>
        <w:t>has the meaning specified in the Third Amendment.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Service Loaner Intercreditor Agreement</w:t>
      </w:r>
      <w:r>
        <w:rPr>
          <w:color w:val="000000"/>
        </w:rPr>
        <w:t xml:space="preserve">” </w:t>
      </w:r>
      <w:r>
        <w:rPr>
          <w:rFonts w:ascii="Times New Roman;sans-serif" w:hAnsi="Times New Roman;sans-serif"/>
          <w:b w:val="false"/>
          <w:color w:val="000000"/>
          <w:sz w:val="22"/>
        </w:rPr>
        <w:t>has the meaning specified in the definition of “Qualified Service Loaner Program.”</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Acquisition Agreement Representations</w:t>
      </w:r>
      <w:r>
        <w:rPr>
          <w:color w:val="000000"/>
        </w:rPr>
        <w:t xml:space="preserve">” </w:t>
      </w:r>
      <w:r>
        <w:rPr>
          <w:rFonts w:ascii="Times New Roman;sans-serif" w:hAnsi="Times New Roman;sans-serif"/>
          <w:b w:val="false"/>
          <w:color w:val="000000"/>
          <w:sz w:val="22"/>
        </w:rPr>
        <w:t>means, with respect to the date of any Credit Extension, the representations made by the Miller Sellers or their subsidiaries in the Miller Acquisition Documents that are material to the interests of the Administrative Agent or the Lenders, but only to the extent that the Company or any of the Company’s affiliates have the right to terminate the Company’s or such affiliate’s obligations under the Miller Acquisition Documents or to decline to consummate the acquisition of the business to be financed by a Credit Extension on such date as a result of a breach of such representations in the Miller Acquisition Documents without liability to the Company or such affiliate.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Event of Default</w:t>
      </w:r>
      <w:r>
        <w:rPr>
          <w:color w:val="000000"/>
        </w:rPr>
        <w:t xml:space="preserve">” </w:t>
      </w:r>
      <w:r>
        <w:rPr>
          <w:rFonts w:ascii="Times New Roman;sans-serif" w:hAnsi="Times New Roman;sans-serif"/>
          <w:b w:val="false"/>
          <w:color w:val="000000"/>
          <w:sz w:val="22"/>
        </w:rPr>
        <w:t xml:space="preserve">means an Event of Default arising under any or all of </w:t>
      </w:r>
      <w:r>
        <w:rPr>
          <w:rFonts w:ascii="Times New Roman;sans-serif" w:hAnsi="Times New Roman;sans-serif"/>
          <w:b w:val="false"/>
          <w:color w:val="000000"/>
          <w:sz w:val="22"/>
          <w:u w:val="single"/>
        </w:rPr>
        <w:t>Sections 8.01(a)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8.01(f)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8.01(g)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8.03(g)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8.03(h)</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Insurance Subsidiary</w:t>
      </w:r>
      <w:r>
        <w:rPr>
          <w:color w:val="000000"/>
        </w:rPr>
        <w:t xml:space="preserve">” </w:t>
      </w:r>
      <w:r>
        <w:rPr>
          <w:rFonts w:ascii="Times New Roman;sans-serif" w:hAnsi="Times New Roman;sans-serif"/>
          <w:b w:val="false"/>
          <w:color w:val="000000"/>
          <w:sz w:val="22"/>
        </w:rPr>
        <w:t>means (a) each of Landcar Casualty Company, Landcar Agency, Inc., and Landcar Administration Company, or (b) any insurance company organized under the laws of a state of the United States which company is either (i) formed by the Company or any of its Subsidiaries or i) acquired by the Company or any of its Subsidiaries or Affiliates in connection with any Permitted Acquisition, in each case of clauses (a), (b)(i) and (b)(ii) so long such entity is and remains a regulated entity and the sole purpose of such entity is providing extended service contracts and other consumer protection products to customers of the Vehicle Borrowers.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Loan Party</w:t>
      </w:r>
      <w:r>
        <w:rPr>
          <w:color w:val="000000"/>
        </w:rPr>
        <w:t xml:space="preserve">” </w:t>
      </w:r>
      <w:r>
        <w:rPr>
          <w:rFonts w:ascii="Times New Roman;sans-serif" w:hAnsi="Times New Roman;sans-serif"/>
          <w:b w:val="false"/>
          <w:color w:val="000000"/>
          <w:sz w:val="22"/>
        </w:rPr>
        <w:t xml:space="preserve">means any Loan Party that is not then an “eligible contract participant” under the Commodity Exchange Act (determined prior to giving effect to </w:t>
      </w:r>
      <w:r>
        <w:rPr>
          <w:rFonts w:ascii="Times New Roman;sans-serif" w:hAnsi="Times New Roman;sans-serif"/>
          <w:b w:val="false"/>
          <w:color w:val="000000"/>
          <w:sz w:val="22"/>
          <w:u w:val="single"/>
        </w:rPr>
        <w:t>Section 10.20</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Representations</w:t>
      </w:r>
      <w:r>
        <w:rPr>
          <w:color w:val="000000"/>
        </w:rPr>
        <w:t xml:space="preserve">” </w:t>
      </w:r>
      <w:r>
        <w:rPr>
          <w:rFonts w:ascii="Times New Roman;sans-serif" w:hAnsi="Times New Roman;sans-serif"/>
          <w:b w:val="false"/>
          <w:color w:val="000000"/>
          <w:sz w:val="22"/>
        </w:rPr>
        <w:t xml:space="preserve">means the representations and warranties (including to the extent incorporated by reference in other Loan Documents) set forth in </w:t>
      </w:r>
      <w:r>
        <w:rPr>
          <w:rFonts w:ascii="Times New Roman;sans-serif" w:hAnsi="Times New Roman;sans-serif"/>
          <w:b w:val="false"/>
          <w:color w:val="000000"/>
          <w:sz w:val="22"/>
          <w:u w:val="single"/>
        </w:rPr>
        <w:t>Section 5.01(a)</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Section 5.01(b)(ii)</w:t>
      </w:r>
      <w:r>
        <w:rPr>
          <w:color w:val="000000"/>
        </w:rPr>
        <w:t xml:space="preserve"> </w:t>
      </w:r>
      <w:r>
        <w:rPr>
          <w:rFonts w:ascii="Times New Roman;sans-serif" w:hAnsi="Times New Roman;sans-serif"/>
          <w:b w:val="false"/>
          <w:color w:val="000000"/>
          <w:sz w:val="22"/>
        </w:rPr>
        <w:t xml:space="preserve">(solely with respect to corporate, limited liability company or partnership power and authority),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(solely with respect to authorization of execution, delivery and performance of the Loan Documents by corporate or other organizational action), </w:t>
      </w:r>
      <w:r>
        <w:rPr>
          <w:rFonts w:ascii="Times New Roman;sans-serif" w:hAnsi="Times New Roman;sans-serif"/>
          <w:b w:val="false"/>
          <w:color w:val="000000"/>
          <w:sz w:val="22"/>
          <w:u w:val="single"/>
        </w:rPr>
        <w:t>Section 5.02(a)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5.02(b)(i)</w:t>
      </w:r>
      <w:r>
        <w:rPr>
          <w:color w:val="000000"/>
        </w:rPr>
        <w:t xml:space="preserve"> </w:t>
      </w:r>
      <w:r>
        <w:rPr>
          <w:rFonts w:ascii="Times New Roman;sans-serif" w:hAnsi="Times New Roman;sans-serif"/>
          <w:b w:val="false"/>
          <w:color w:val="000000"/>
          <w:sz w:val="22"/>
        </w:rPr>
        <w:t xml:space="preserve">(solely with respect to material Franchise Agreements or Framework Agreements, material lease agreements and other material agreements with manufacturers or distributors of Vehicles), </w:t>
      </w:r>
      <w:r>
        <w:rPr>
          <w:rFonts w:ascii="Times New Roman;sans-serif" w:hAnsi="Times New Roman;sans-serif"/>
          <w:b w:val="false"/>
          <w:color w:val="000000"/>
          <w:sz w:val="22"/>
          <w:u w:val="single"/>
        </w:rPr>
        <w:t>Section 5.02(c)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5.26</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Section 5.27</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Subsidiary</w:t>
      </w:r>
      <w:r>
        <w:rPr>
          <w:color w:val="000000"/>
        </w:rPr>
        <w:t xml:space="preserve">” </w:t>
      </w:r>
      <w:r>
        <w:rPr>
          <w:rFonts w:ascii="Times New Roman;sans-serif" w:hAnsi="Times New Roman;sans-serif"/>
          <w:b w:val="false"/>
          <w:color w:val="000000"/>
          <w:sz w:val="22"/>
        </w:rPr>
        <w:t xml:space="preserve">means (a) any Restricted Subsidiary of the Company that does not own or operate a Ford or Lincoln dealership, or (b) at any time after the FMCC Indebtedness Termination has occurred, any Restricted Subsidiary.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Subordinated Indebtedness</w:t>
      </w:r>
      <w:r>
        <w:rPr>
          <w:color w:val="000000"/>
        </w:rPr>
        <w:t xml:space="preserve">” </w:t>
      </w:r>
      <w:r>
        <w:rPr>
          <w:rFonts w:ascii="Times New Roman;sans-serif" w:hAnsi="Times New Roman;sans-serif"/>
          <w:b w:val="false"/>
          <w:color w:val="000000"/>
          <w:sz w:val="22"/>
        </w:rPr>
        <w:t xml:space="preserve">means all Indebtedness of the Company or its Subsidiaries which (a) is subordinated to the Obligations contained herein in a manner reasonably acceptable to the Administrative Agent or has subordination terms substantially similar to those in the Prior Indenture, (b) without limitation of any other provision herein (including </w:t>
      </w:r>
      <w:r>
        <w:rPr>
          <w:rFonts w:ascii="Times New Roman;sans-serif" w:hAnsi="Times New Roman;sans-serif"/>
          <w:b w:val="false"/>
          <w:color w:val="000000"/>
          <w:sz w:val="22"/>
          <w:u w:val="single"/>
        </w:rPr>
        <w:t>Section 7.16</w:t>
      </w:r>
      <w:r>
        <w:rPr>
          <w:rFonts w:ascii="Times New Roman;sans-serif" w:hAnsi="Times New Roman;sans-serif"/>
          <w:b w:val="false"/>
          <w:color w:val="000000"/>
          <w:sz w:val="22"/>
        </w:rPr>
        <w:t xml:space="preserve">), does not require any payment of principal (or give the holder thereof any rights to require repurchase of such Indebtedness through put rights or otherwise) prior to the date that is 30 days after the Maturity Date (other than reasonable and customary prepayment, redemption, repurchase or defeasance obligations in connection with (i) sales of assets (so long as the terms relating thereto are not materially less favorable to the Loan Parties than the comparable terms set forth in the Prior Indenture), (ii) a change in control and (iii) the exercise of remedies in connection with the occurrence of an event of default), (c) such other Indebtedness has interest rates and fees that are not in excess of the rates and fees standard in the market at the time such Indebtedness is incurred as determined by the Company in good faith, (d) has, or the Administrative Agent (in its reasonable discretion after Reasonable Review (defined below)) has determined that such Indebtedness has, standstill and blockage provisions with regard to payments and enforcement actions that are no more adverse to the Lenders than those in the Prior Indenture (as such standstill and blockage provisions relate to the Existing Credit Agreement lenders and lenders that provide Vehicle floorplan financing to the Company or any of its Subsidiaries), and (e) the terms relating to amortization, maturity,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collateral (if any), and other material terms of such Indebtedness and of any agreement entered into and of any instrument issued in connection therewith, taken as a whole, are not materially less favorable to the Loan Parties than the terms of the Prior Indenture, in each case as determined by the Company in good faith. For the purposes of clause (d) above, “</w:t>
      </w:r>
      <w:r>
        <w:rPr>
          <w:rFonts w:ascii="Times New Roman;sans-serif" w:hAnsi="Times New Roman;sans-serif"/>
          <w:b w:val="false"/>
          <w:color w:val="000000"/>
          <w:sz w:val="22"/>
          <w:u w:val="single"/>
        </w:rPr>
        <w:t>Reasonable Review</w:t>
      </w:r>
      <w:r>
        <w:rPr>
          <w:color w:val="000000"/>
        </w:rPr>
        <w:t xml:space="preserve">” </w:t>
      </w:r>
      <w:r>
        <w:rPr>
          <w:rFonts w:ascii="Times New Roman;sans-serif" w:hAnsi="Times New Roman;sans-serif"/>
          <w:b w:val="false"/>
          <w:color w:val="000000"/>
          <w:sz w:val="22"/>
        </w:rPr>
        <w:t xml:space="preserve">means that the Administrative Agent has had the opportunity and reasonable time to review copies of the definitive documentation for such Indebtedness, which copies have been provided to the Administrative Agent by the Company or its Subsidiaries.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and shall include, without limitation, the Unrestricted Subsidiaries.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Subsidiary Guarantors</w:t>
      </w:r>
      <w:r>
        <w:rPr>
          <w:color w:val="000000"/>
        </w:rPr>
        <w:t xml:space="preserve">” </w:t>
      </w:r>
      <w:r>
        <w:rPr>
          <w:rFonts w:ascii="Times New Roman;sans-serif" w:hAnsi="Times New Roman;sans-serif"/>
          <w:b w:val="false"/>
          <w:color w:val="000000"/>
          <w:sz w:val="22"/>
        </w:rPr>
        <w:t>means, collectively, all Subsidiaries executing a Subsidiary Guaranty on the Closing Date and all other Subsidiaries that enter into a Joinder Agreement; provided, for the avoidance of doubt, that no Foreign Subsidiary shall be a Subsidiary Guarantor.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Subsidiary Guaranty</w:t>
      </w:r>
      <w:r>
        <w:rPr>
          <w:color w:val="000000"/>
        </w:rPr>
        <w:t xml:space="preserve">” </w:t>
      </w:r>
      <w:r>
        <w:rPr>
          <w:rFonts w:ascii="Times New Roman;sans-serif" w:hAnsi="Times New Roman;sans-serif"/>
          <w:b w:val="false"/>
          <w:color w:val="000000"/>
          <w:sz w:val="22"/>
        </w:rPr>
        <w:t xml:space="preserve">means the Third Amended and Restated Subsidiary Guaranty Agreement made by the Subsidiary Guarantors in favor of the Administrative Agent and the Lenders, substantially in the form of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as supplemented from time to time by execution and delivery of Joinder Agreements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and as otherwise supplemented, amended, or modified from time to time.</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Swap Contract</w:t>
      </w:r>
      <w:r>
        <w:rPr>
          <w:color w:val="000000"/>
        </w:rPr>
        <w:t xml:space="preserve">” </w:t>
      </w:r>
      <w:r>
        <w:rPr>
          <w:rFonts w:ascii="Times New Roman;sans-serif" w:hAnsi="Times New Roman;sans-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Swap Obligations</w:t>
      </w:r>
      <w:r>
        <w:rPr>
          <w:color w:val="000000"/>
        </w:rPr>
        <w:t xml:space="preserve">” </w:t>
      </w:r>
      <w:r>
        <w:rPr>
          <w:rFonts w:ascii="Times New Roman;sans-serif" w:hAnsi="Times New Roman;sans-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Swap Termination Value</w:t>
      </w:r>
      <w:r>
        <w:rPr>
          <w:color w:val="000000"/>
        </w:rPr>
        <w:t xml:space="preserve">” </w:t>
      </w:r>
      <w:r>
        <w:rPr>
          <w:rFonts w:ascii="Times New Roman;sans-serif" w:hAnsi="Times New Roman;sans-serif"/>
          <w:b w:val="false"/>
          <w:color w:val="000000"/>
          <w:sz w:val="22"/>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Borrowings</w:t>
      </w:r>
      <w:r>
        <w:rPr>
          <w:color w:val="000000"/>
        </w:rPr>
        <w:t xml:space="preserve">” </w:t>
      </w:r>
      <w:r>
        <w:rPr>
          <w:rFonts w:ascii="Times New Roman;sans-serif" w:hAnsi="Times New Roman;sans-serif"/>
          <w:b w:val="false"/>
          <w:color w:val="000000"/>
          <w:sz w:val="22"/>
        </w:rPr>
        <w:t>means, collectively, Revolving Swing Line Borrowings, New Vehicle Floorplan Swing Line Borrowings and Used Vehicle Floorplan Swing Line Borrowings.</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47</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Lenders</w:t>
      </w:r>
      <w:r>
        <w:rPr>
          <w:color w:val="000000"/>
        </w:rPr>
        <w:t xml:space="preserve">” </w:t>
      </w:r>
      <w:r>
        <w:rPr>
          <w:rFonts w:ascii="Times New Roman;sans-serif" w:hAnsi="Times New Roman;sans-serif"/>
          <w:b w:val="false"/>
          <w:color w:val="000000"/>
          <w:sz w:val="22"/>
        </w:rPr>
        <w:t xml:space="preserve">means, collectively, the Revolving Swing Line Lender, the New Vehicle Floorplan Swing Line Lender and the Used Vehicle Floorplan Swing Line Lender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Loans</w:t>
      </w:r>
      <w:r>
        <w:rPr>
          <w:color w:val="000000"/>
        </w:rPr>
        <w:t xml:space="preserve">” </w:t>
      </w:r>
      <w:r>
        <w:rPr>
          <w:rFonts w:ascii="Times New Roman;sans-serif" w:hAnsi="Times New Roman;sans-serif"/>
          <w:b w:val="false"/>
          <w:color w:val="000000"/>
          <w:sz w:val="22"/>
        </w:rPr>
        <w:t>means, collectively, Revolving Swing Line Loans, New Vehicle Floorplan Swing Line Loans and Used Vehicle Floorplan Swing Line Loans.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Synthetic Lease Obligation</w:t>
      </w:r>
      <w:r>
        <w:rPr>
          <w:color w:val="000000"/>
        </w:rPr>
        <w:t xml:space="preserve">” </w:t>
      </w:r>
      <w:r>
        <w:rPr>
          <w:rFonts w:ascii="Times New Roman;sans-serif" w:hAnsi="Times New Roman;sans-serif"/>
          <w:b w:val="false"/>
          <w:color w:val="000000"/>
          <w:sz w:val="22"/>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Threshold Amount</w:t>
      </w:r>
      <w:r>
        <w:rPr>
          <w:color w:val="000000"/>
        </w:rPr>
        <w:t xml:space="preserve">” </w:t>
      </w:r>
      <w:r>
        <w:rPr>
          <w:rFonts w:ascii="Times New Roman;sans-serif" w:hAnsi="Times New Roman;sans-serif"/>
          <w:b w:val="false"/>
          <w:color w:val="000000"/>
          <w:sz w:val="22"/>
        </w:rPr>
        <w:t>means $50,000,000.</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Third Amendment</w:t>
      </w:r>
      <w:r>
        <w:rPr>
          <w:color w:val="000000"/>
        </w:rPr>
        <w:t xml:space="preserve">” </w:t>
      </w:r>
      <w:r>
        <w:rPr>
          <w:rFonts w:ascii="Times New Roman;sans-serif" w:hAnsi="Times New Roman;sans-serif"/>
          <w:b w:val="false"/>
          <w:color w:val="000000"/>
          <w:sz w:val="22"/>
        </w:rPr>
        <w:t>means that certain Third Amendment to Third Amended and Restated Credit Agreement dated as of October 29, 2021 by and among the Company, the New Vehicle Borrowers, the Used Vehicle Borrowers, the Guarantors, the Lenders and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Credit Exposure</w:t>
      </w:r>
      <w:r>
        <w:rPr>
          <w:color w:val="000000"/>
        </w:rPr>
        <w:t xml:space="preserve">” </w:t>
      </w:r>
      <w:r>
        <w:rPr>
          <w:rFonts w:ascii="Times New Roman;sans-serif" w:hAnsi="Times New Roman;sans-serif"/>
          <w:b w:val="false"/>
          <w:color w:val="000000"/>
          <w:sz w:val="22"/>
        </w:rPr>
        <w:t xml:space="preserve">means, as to any Lender at any time, the sum of the unused Commitments of such Lender at such time, plus the aggregate principal amount at such time of such Lender’s outstanding Loans and such Lender’s participation in L/C Obligations at such time.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New Vehicle Floorplan Outstandings</w:t>
      </w:r>
      <w:r>
        <w:rPr>
          <w:color w:val="000000"/>
        </w:rPr>
        <w:t xml:space="preserve">” </w:t>
      </w:r>
      <w:r>
        <w:rPr>
          <w:rFonts w:ascii="Times New Roman;sans-serif" w:hAnsi="Times New Roman;sans-serif"/>
          <w:b w:val="false"/>
          <w:color w:val="000000"/>
          <w:sz w:val="22"/>
        </w:rPr>
        <w:t>means the aggregate Outstanding Amount of all New Vehicle Floorplan Loans.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Outstandings</w:t>
      </w:r>
      <w:r>
        <w:rPr>
          <w:color w:val="000000"/>
        </w:rPr>
        <w:t xml:space="preserve">” </w:t>
      </w:r>
      <w:r>
        <w:rPr>
          <w:rFonts w:ascii="Times New Roman;sans-serif" w:hAnsi="Times New Roman;sans-serif"/>
          <w:b w:val="false"/>
          <w:color w:val="000000"/>
          <w:sz w:val="22"/>
        </w:rPr>
        <w:t>means the aggregate of the Total Revolving Outstandings, Total New Vehicle Floorplan Outstandings and Total Used Vehicle Floorplan Outstandings.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Revolving Outstandings</w:t>
      </w:r>
      <w:r>
        <w:rPr>
          <w:color w:val="000000"/>
        </w:rPr>
        <w:t xml:space="preserve">” </w:t>
      </w:r>
      <w:r>
        <w:rPr>
          <w:rFonts w:ascii="Times New Roman;sans-serif" w:hAnsi="Times New Roman;sans-serif"/>
          <w:b w:val="false"/>
          <w:color w:val="000000"/>
          <w:sz w:val="22"/>
        </w:rPr>
        <w:t>means the aggregate Outstanding Amount of all Revolving Loans and all L/C Obligations.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Used Vehicle Floorplan Outstandings</w:t>
      </w:r>
      <w:r>
        <w:rPr>
          <w:color w:val="000000"/>
        </w:rPr>
        <w:t xml:space="preserve">” </w:t>
      </w:r>
      <w:r>
        <w:rPr>
          <w:rFonts w:ascii="Times New Roman;sans-serif" w:hAnsi="Times New Roman;sans-serif"/>
          <w:b w:val="false"/>
          <w:color w:val="000000"/>
          <w:sz w:val="22"/>
        </w:rPr>
        <w:t>means the aggregate Outstanding Amount of all Used Vehicle Floorplan Loans.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means with respect to a Committed Loan, its character as a Base Rate Loan or a Eurodollar Rate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 xml:space="preserve">means the Uniform Commercial Code as in effect in the State of New York;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UCP</w:t>
      </w:r>
      <w:r>
        <w:rPr>
          <w:color w:val="000000"/>
        </w:rPr>
        <w:t xml:space="preserve">” </w:t>
      </w:r>
      <w:r>
        <w:rPr>
          <w:rFonts w:ascii="Times New Roman;sans-serif" w:hAnsi="Times New Roman;sans-serif"/>
          <w:b w:val="false"/>
          <w:color w:val="000000"/>
          <w:sz w:val="22"/>
        </w:rPr>
        <w:t xml:space="preserve">means the Uniform Customs and Practice for Documentary Credits, International Chamber of Commerce Publication No. 600 (or such later version thereof as may be in effect at the applicable time).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48</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U.S.</w:t>
      </w:r>
      <w:r>
        <w:rPr>
          <w:color w:val="000000"/>
        </w:rPr>
        <w:t xml:space="preserve">” </w:t>
      </w:r>
      <w:r>
        <w:rPr>
          <w:rFonts w:ascii="Times New Roman;sans-serif" w:hAnsi="Times New Roman;sans-serif"/>
          <w:b w:val="false"/>
          <w:color w:val="000000"/>
          <w:sz w:val="22"/>
        </w:rPr>
        <w:t>mean the United States of America.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Unreimbursed Amount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2.03(c)(i)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Unrestricted Subsidiaries</w:t>
      </w:r>
      <w:r>
        <w:rPr>
          <w:color w:val="000000"/>
        </w:rPr>
        <w:t xml:space="preserve">” </w:t>
      </w:r>
      <w:r>
        <w:rPr>
          <w:rFonts w:ascii="Times New Roman;sans-serif" w:hAnsi="Times New Roman;sans-serif"/>
          <w:b w:val="false"/>
          <w:color w:val="000000"/>
          <w:sz w:val="22"/>
        </w:rPr>
        <w:t>means all Subsidiaries of the Company other than the Restricted Subsidiaries.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Tax Compliance Certificate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3.01(e)(ii)(B)(III)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w:t>
      </w:r>
      <w:r>
        <w:rPr>
          <w:color w:val="000000"/>
        </w:rPr>
        <w:t xml:space="preserve">” </w:t>
      </w:r>
      <w:r>
        <w:rPr>
          <w:rFonts w:ascii="Times New Roman;sans-serif" w:hAnsi="Times New Roman;sans-serif"/>
          <w:b w:val="false"/>
          <w:color w:val="000000"/>
          <w:sz w:val="22"/>
        </w:rPr>
        <w:t>means a Vehicle other than a New Vehicle.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Autoborrow Advance</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2.12(b)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Autoborrow Agreement</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2.12(b)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Borrowing</w:t>
      </w:r>
      <w:r>
        <w:rPr>
          <w:color w:val="000000"/>
        </w:rPr>
        <w:t xml:space="preserve">” </w:t>
      </w:r>
      <w:r>
        <w:rPr>
          <w:rFonts w:ascii="Times New Roman;sans-serif" w:hAnsi="Times New Roman;sans-serif"/>
          <w:b w:val="false"/>
          <w:color w:val="000000"/>
          <w:sz w:val="22"/>
        </w:rPr>
        <w:t>means a Used Vehicle Floorplan Committed Borrowing or a Used Vehicle Floorplan Swing Line Borrowing, as the context may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Borrowing Base</w:t>
      </w:r>
      <w:r>
        <w:rPr>
          <w:color w:val="000000"/>
        </w:rPr>
        <w:t xml:space="preserve">” </w:t>
      </w:r>
      <w:r>
        <w:rPr>
          <w:rFonts w:ascii="Times New Roman;sans-serif" w:hAnsi="Times New Roman;sans-serif"/>
          <w:b w:val="false"/>
          <w:color w:val="000000"/>
          <w:sz w:val="22"/>
        </w:rPr>
        <w:t>means, as of any date of calculation, 85% of the Net Book Value of Eligible Used Vehicle Inventory.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Borrowing Base Certificate</w:t>
      </w:r>
      <w:r>
        <w:rPr>
          <w:color w:val="000000"/>
        </w:rPr>
        <w:t xml:space="preserve">” </w:t>
      </w:r>
      <w:r>
        <w:rPr>
          <w:rFonts w:ascii="Times New Roman;sans-serif" w:hAnsi="Times New Roman;sans-serif"/>
          <w:b w:val="false"/>
          <w:color w:val="000000"/>
          <w:sz w:val="22"/>
        </w:rPr>
        <w:t xml:space="preserve">means a certificate by a Responsible Officer of the Company, substantially in the form of </w:t>
      </w:r>
      <w:r>
        <w:rPr>
          <w:rFonts w:ascii="Times New Roman;sans-serif" w:hAnsi="Times New Roman;sans-serif"/>
          <w:b w:val="false"/>
          <w:color w:val="000000"/>
          <w:sz w:val="22"/>
          <w:u w:val="single"/>
        </w:rPr>
        <w:t>Exhibit J-2</w:t>
      </w:r>
      <w:r>
        <w:rPr>
          <w:color w:val="000000"/>
        </w:rPr>
        <w:t xml:space="preserve"> </w:t>
      </w:r>
      <w:r>
        <w:rPr>
          <w:rFonts w:ascii="Times New Roman;sans-serif" w:hAnsi="Times New Roman;sans-serif"/>
          <w:b w:val="false"/>
          <w:color w:val="000000"/>
          <w:sz w:val="22"/>
        </w:rPr>
        <w:t>(or another form acceptable to the Administrative Agent) setting forth the calculation of the Used Vehicle Floorplan Borrowing Base, including a calculation of each component thereof, all in such detail as shall be reasonably satisfactory to the Administrative Agent (and which will include a designation of those assets of Subsidiaries which operate Ford or Lincoln Franchises and other classifications which do not qualify for inclusion in the Used Vehicle Floorplan Borrowing Base because such assets are not subject to the first priority perfected Lien of the Administrative Agent or any other reason for disqualification thereof). All calculations of the Used Vehicle Floorplan Borrowing Base in connection with the preparation of any Used Vehicle Floorplan Borrowing Base Certificate shall originally be made by the Company and certified to the Administrative Agent. Notwithstanding the foregoing, if the Administrative Agent has reasonable grounds to believe that the calculation of the Used Vehicle Floorplan Borrowing Base set forth in any Used Vehicle Floorplan Borrowing Base Certificate is not in accordance with this Agreement, the Administrative Agent shall inform the Company of the grounds for such belief and shall request confirmation by the Company of the calculation. Prior to confirmation, the Used Vehicle Floorplan Borrowing Base may be adjusted by the Administrative Agent so the calculation thereof is in accordance with this Agreement (in the Administrative Agent’s reasonable determination).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Commitment</w:t>
      </w:r>
      <w:r>
        <w:rPr>
          <w:color w:val="000000"/>
        </w:rPr>
        <w:t xml:space="preserve">” </w:t>
      </w:r>
      <w:r>
        <w:rPr>
          <w:rFonts w:ascii="Times New Roman;sans-serif" w:hAnsi="Times New Roman;sans-serif"/>
          <w:b w:val="false"/>
          <w:color w:val="000000"/>
          <w:sz w:val="22"/>
        </w:rPr>
        <w:t xml:space="preserve">means, as to each Lender, its obligation to (a) make Used Vehicle Floorplan Committed Loans to the Used Vehicle Borrowers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and (b) purchase participations in Used Vehicle Floorplan Swing Line Loans, in an aggregate principal amount at any one time outstanding not to exceed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Lender becomes a party hereto, as applicable, as such amount may be adjusted from time to time in accordance with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Committed Borrowing</w:t>
      </w:r>
      <w:r>
        <w:rPr>
          <w:color w:val="000000"/>
        </w:rPr>
        <w:t xml:space="preserve">” </w:t>
      </w:r>
      <w:r>
        <w:rPr>
          <w:rFonts w:ascii="Times New Roman;sans-serif" w:hAnsi="Times New Roman;sans-serif"/>
          <w:b w:val="false"/>
          <w:color w:val="000000"/>
          <w:sz w:val="22"/>
        </w:rPr>
        <w:t xml:space="preserve">means a borrowing consisting of simultaneous Used Vehicle Floorplan Committed Loans of the same Type made by each of the Used Vehicle Floorplan Lenders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49</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Committed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Committed Loan Notice</w:t>
      </w:r>
      <w:r>
        <w:rPr>
          <w:color w:val="000000"/>
        </w:rPr>
        <w:t xml:space="preserve">” </w:t>
      </w:r>
      <w:r>
        <w:rPr>
          <w:rFonts w:ascii="Times New Roman;sans-serif" w:hAnsi="Times New Roman;sans-serif"/>
          <w:b w:val="false"/>
          <w:color w:val="000000"/>
          <w:sz w:val="22"/>
        </w:rPr>
        <w:t xml:space="preserve">means a notice of (a) a Used Vehicle Floorplan Committed Borrowing, or (b) a conversion of Used Vehicle Floorplan Committed Loans from one Type to the other, pursuant to </w:t>
      </w:r>
      <w:r>
        <w:rPr>
          <w:rFonts w:ascii="Times New Roman;sans-serif" w:hAnsi="Times New Roman;sans-serif"/>
          <w:b w:val="false"/>
          <w:color w:val="000000"/>
          <w:sz w:val="22"/>
          <w:u w:val="single"/>
        </w:rPr>
        <w:t>Section 2.11(a)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A-3</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Company</w:t>
      </w:r>
      <w:r>
        <w:rPr>
          <w:rFonts w:ascii="Times New Roman;sans-serif" w:hAnsi="Times New Roman;sans-serif"/>
          <w:b w:val="false"/>
          <w:color w:val="000000"/>
          <w:sz w:val="22"/>
          <w:u w:val="single"/>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Facility</w:t>
      </w:r>
      <w:r>
        <w:rPr>
          <w:color w:val="000000"/>
        </w:rPr>
        <w:t xml:space="preserve">” </w:t>
      </w:r>
      <w:r>
        <w:rPr>
          <w:rFonts w:ascii="Times New Roman;sans-serif" w:hAnsi="Times New Roman;sans-serif"/>
          <w:b w:val="false"/>
          <w:color w:val="000000"/>
          <w:sz w:val="22"/>
        </w:rPr>
        <w:t xml:space="preserve">means the Used Vehicle floorplan facility described in </w:t>
      </w:r>
      <w:r>
        <w:rPr>
          <w:rFonts w:ascii="Times New Roman;sans-serif" w:hAnsi="Times New Roman;sans-serif"/>
          <w:b w:val="false"/>
          <w:color w:val="000000"/>
          <w:sz w:val="22"/>
          <w:u w:val="single"/>
        </w:rPr>
        <w:t>Sections 2.10</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2.12</w:t>
      </w:r>
      <w:r>
        <w:rPr>
          <w:color w:val="000000"/>
        </w:rPr>
        <w:t xml:space="preserve"> </w:t>
      </w:r>
      <w:r>
        <w:rPr>
          <w:rFonts w:ascii="Times New Roman;sans-serif" w:hAnsi="Times New Roman;sans-serif"/>
          <w:b w:val="false"/>
          <w:color w:val="000000"/>
          <w:sz w:val="22"/>
        </w:rPr>
        <w:t>providing for Used Vehicle Floorplan Loans to the Used Vehicle Borrowers by the Used Vehicle Floorplan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Lender</w:t>
      </w:r>
      <w:r>
        <w:rPr>
          <w:color w:val="000000"/>
        </w:rPr>
        <w:t xml:space="preserve">” </w:t>
      </w:r>
      <w:r>
        <w:rPr>
          <w:rFonts w:ascii="Times New Roman;sans-serif" w:hAnsi="Times New Roman;sans-serif"/>
          <w:b w:val="false"/>
          <w:color w:val="000000"/>
          <w:sz w:val="22"/>
        </w:rPr>
        <w:t>means each Lender that has a Used Vehicle Floorplan Commitment or, following termination of the Used Vehicle Floorplan Commitments, has Used Vehicle Floorplan Loans outstanding.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Loan</w:t>
      </w:r>
      <w:r>
        <w:rPr>
          <w:color w:val="000000"/>
        </w:rPr>
        <w:t xml:space="preserve">” </w:t>
      </w:r>
      <w:r>
        <w:rPr>
          <w:rFonts w:ascii="Times New Roman;sans-serif" w:hAnsi="Times New Roman;sans-serif"/>
          <w:b w:val="false"/>
          <w:color w:val="000000"/>
          <w:sz w:val="22"/>
        </w:rPr>
        <w:t xml:space="preserve">means an extension of credit by a Used Vehicle Floorplan Lender to a Used Vehicle Borrower under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in the form of a Used Vehicle Floorplan Committed Loan or, in the case of the Company only, a Used Vehicle Floorplan Swing Line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Note</w:t>
      </w:r>
      <w:r>
        <w:rPr>
          <w:color w:val="000000"/>
        </w:rPr>
        <w:t xml:space="preserve">” </w:t>
      </w:r>
      <w:r>
        <w:rPr>
          <w:rFonts w:ascii="Times New Roman;sans-serif" w:hAnsi="Times New Roman;sans-serif"/>
          <w:b w:val="false"/>
          <w:color w:val="000000"/>
          <w:sz w:val="22"/>
        </w:rPr>
        <w:t xml:space="preserve">means a promissory note made by the Used Vehicle Borrowers in favor of a Lender evidencing Used Vehicle Floorplan Loans made by such Lender, substantially in the form of </w:t>
      </w:r>
      <w:r>
        <w:rPr>
          <w:rFonts w:ascii="Times New Roman;sans-serif" w:hAnsi="Times New Roman;sans-serif"/>
          <w:b w:val="false"/>
          <w:color w:val="000000"/>
          <w:sz w:val="22"/>
          <w:u w:val="single"/>
        </w:rPr>
        <w:t>Exhibit C-3</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w:t>
      </w:r>
      <w:r>
        <w:rPr>
          <w:color w:val="000000"/>
        </w:rPr>
        <w:t xml:space="preserve">” </w:t>
      </w:r>
      <w:r>
        <w:rPr>
          <w:rFonts w:ascii="Times New Roman;sans-serif" w:hAnsi="Times New Roman;sans-serif"/>
          <w:b w:val="false"/>
          <w:color w:val="000000"/>
          <w:sz w:val="22"/>
        </w:rPr>
        <w:t xml:space="preserve">means the revolving credit facility made available by the Used Vehicle Floorplan Swing Line Lender pursuant to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Borrowing</w:t>
      </w:r>
      <w:r>
        <w:rPr>
          <w:color w:val="000000"/>
        </w:rPr>
        <w:t xml:space="preserve">” </w:t>
      </w:r>
      <w:r>
        <w:rPr>
          <w:rFonts w:ascii="Times New Roman;sans-serif" w:hAnsi="Times New Roman;sans-serif"/>
          <w:b w:val="false"/>
          <w:color w:val="000000"/>
          <w:sz w:val="22"/>
        </w:rPr>
        <w:t xml:space="preserve">means a borrowing of a Used Vehicle Floorplan Swing Line Loan pursuant to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Lender</w:t>
      </w:r>
      <w:r>
        <w:rPr>
          <w:color w:val="000000"/>
        </w:rPr>
        <w:t xml:space="preserve">” </w:t>
      </w:r>
      <w:r>
        <w:rPr>
          <w:rFonts w:ascii="Times New Roman;sans-serif" w:hAnsi="Times New Roman;sans-serif"/>
          <w:b w:val="false"/>
          <w:color w:val="000000"/>
          <w:sz w:val="22"/>
        </w:rPr>
        <w:t>means Bank of America in its capacity as provider of Used Vehicle Floorplan Swing Line Loans, or any successor Used Vehicle Floorplan Swing Line Lender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Loan Notice</w:t>
      </w:r>
      <w:r>
        <w:rPr>
          <w:color w:val="000000"/>
        </w:rPr>
        <w:t xml:space="preserve">” </w:t>
      </w:r>
      <w:r>
        <w:rPr>
          <w:rFonts w:ascii="Times New Roman;sans-serif" w:hAnsi="Times New Roman;sans-serif"/>
          <w:b w:val="false"/>
          <w:color w:val="000000"/>
          <w:sz w:val="22"/>
        </w:rPr>
        <w:t xml:space="preserve">means a notice of a Used Vehicle Floorplan Swing Line Borrowing pursuant to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 xml:space="preserve">which shall be substantially in the form of </w:t>
      </w:r>
      <w:r>
        <w:rPr>
          <w:rFonts w:ascii="Times New Roman;sans-serif" w:hAnsi="Times New Roman;sans-serif"/>
          <w:b w:val="false"/>
          <w:color w:val="000000"/>
          <w:sz w:val="22"/>
          <w:u w:val="single"/>
        </w:rPr>
        <w:t>Exhibit B-3</w:t>
      </w:r>
      <w:r>
        <w:rPr>
          <w:color w:val="000000"/>
        </w:rPr>
        <w:t xml:space="preserve"> </w:t>
      </w:r>
      <w:r>
        <w:rPr>
          <w:rFonts w:ascii="Times New Roman;sans-serif" w:hAnsi="Times New Roman;sans-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Sublimit</w:t>
      </w:r>
      <w:r>
        <w:rPr>
          <w:color w:val="000000"/>
        </w:rPr>
        <w:t xml:space="preserve">” </w:t>
      </w:r>
      <w:r>
        <w:rPr>
          <w:rFonts w:ascii="Times New Roman;sans-serif" w:hAnsi="Times New Roman;sans-serif"/>
          <w:b w:val="false"/>
          <w:color w:val="000000"/>
          <w:sz w:val="22"/>
        </w:rPr>
        <w:t>means an amount equal to the lesser of (a) $20,000,000 or (b) the Aggregate Used Vehicle Floorplan Commitments. The Used Vehicle Floorplan Swing Line Sublimit is part of, and not in addition to, the Aggregate Used Vehicle Floorplan Commitments.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Vehicle</w:t>
      </w:r>
      <w:r>
        <w:rPr>
          <w:color w:val="000000"/>
        </w:rPr>
        <w:t xml:space="preserve">” </w:t>
      </w:r>
      <w:r>
        <w:rPr>
          <w:rFonts w:ascii="Times New Roman;sans-serif" w:hAnsi="Times New Roman;sans-serif"/>
          <w:b w:val="false"/>
          <w:color w:val="000000"/>
          <w:sz w:val="22"/>
        </w:rPr>
        <w:t>means any automobile or truck approved for highway use by any State of the United States.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Vehicle 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Vehicle Title Documentation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6.05</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Within Line Limitation</w:t>
      </w:r>
      <w:r>
        <w:rPr>
          <w:color w:val="000000"/>
        </w:rPr>
        <w:t xml:space="preserve">” </w:t>
      </w:r>
      <w:r>
        <w:rPr>
          <w:rFonts w:ascii="Times New Roman;sans-serif" w:hAnsi="Times New Roman;sans-serif"/>
          <w:b w:val="false"/>
          <w:color w:val="000000"/>
          <w:sz w:val="22"/>
        </w:rPr>
        <w:t>means,</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50</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(a)with respect to any New Vehicle Borrower, any dealer location and any specific vehicle manufacturer, distributor, or (in the case of a dealer trade) other dealer involved in such trade, as applicable, limitations on the amount of New Vehicle Floorplan Loans that may be advanced to such manufacturer, distributor or other dealer with respect to New Vehicles purchased or to be purchased by such New Vehicle Borrower for such dealer location, or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with respect to any New Vehicle Borrower, any dealer location and any specific vehicle manufacturer, distributor, or (in the case of a dealer trade) other dealer involved in such trade, as applicable, and Demonstrators, Rental Vehicles and Fleet Vehicles, limitations on the amount of New Vehicle Floorplan Loans that may be advanced to such manufacturer, distributor or other dealer with respect to Demonstrators, Rental Vehicles and Fleet Vehicles purchased or to be purchased by such New Vehicle Borrower for such dealer location, which limitations (in each case) are agreed to from time to time by the New Vehicle Floorplan Swing Line Lender and such distributor or manufacturer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rPr>
        <w:t>Other Interpretive Provisions</w:t>
      </w:r>
      <w:r>
        <w:rPr>
          <w:rFonts w:ascii="Times New Roman;sans-serif" w:hAnsi="Times New Roman;sans-serif"/>
          <w:b w:val="false"/>
          <w:color w:val="000000"/>
          <w:sz w:val="22"/>
        </w:rPr>
        <w:t>. With reference to this Agreement and each other Loan Document, unless otherwise specified herein or in such other Loan Document: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definitions of terms herein shall apply equally to the singular and plural forms of the terms defined. Any capitalized terms used herein but not defined herein that are defined in the UCC shall have the respective meanings assigned to such terms in the UCC. Whenever the context may require, any pronoun shall include the corresponding masculine, feminine and neuter forms. The words “</w:t>
      </w:r>
      <w:r>
        <w:rPr>
          <w:rFonts w:ascii="Times New Roman;sans-serif" w:hAnsi="Times New Roman;sans-serif"/>
          <w:b w:val="false"/>
          <w:color w:val="000000"/>
          <w:sz w:val="22"/>
          <w:u w:val="single"/>
        </w:rPr>
        <w:t>include</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includes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including</w:t>
      </w:r>
      <w:r>
        <w:rPr>
          <w:color w:val="000000"/>
        </w:rPr>
        <w:t xml:space="preserve">” </w:t>
      </w:r>
      <w:r>
        <w:rPr>
          <w:rFonts w:ascii="Times New Roman;sans-serif" w:hAnsi="Times New Roman;sans-serif"/>
          <w:b w:val="false"/>
          <w:color w:val="000000"/>
          <w:sz w:val="22"/>
        </w:rPr>
        <w:t>shall be deemed to be followed by the phrase “without limitation.” The word “</w:t>
      </w:r>
      <w:r>
        <w:rPr>
          <w:rFonts w:ascii="Times New Roman;sans-serif" w:hAnsi="Times New Roman;sans-serif"/>
          <w:b w:val="false"/>
          <w:color w:val="000000"/>
          <w:sz w:val="22"/>
          <w:u w:val="single"/>
        </w:rPr>
        <w:t>will</w:t>
      </w:r>
      <w:r>
        <w:rPr>
          <w:color w:val="000000"/>
        </w:rPr>
        <w:t xml:space="preserve">” </w:t>
      </w:r>
      <w:r>
        <w:rPr>
          <w:rFonts w:ascii="Times New Roman;sans-serif" w:hAnsi="Times New Roman;sans-serif"/>
          <w:b w:val="false"/>
          <w:color w:val="000000"/>
          <w:sz w:val="22"/>
        </w:rPr>
        <w:t>shall be construed to have the same meaning and effect as the word “</w:t>
      </w:r>
      <w:r>
        <w:rPr>
          <w:rFonts w:ascii="Times New Roman;sans-serif" w:hAnsi="Times New Roman;sans-serif"/>
          <w:b w:val="false"/>
          <w:color w:val="000000"/>
          <w:sz w:val="22"/>
          <w:u w:val="single"/>
        </w:rPr>
        <w:t>shall</w:t>
      </w:r>
      <w:r>
        <w:rPr>
          <w:rFonts w:ascii="Times New Roman;sans-serif" w:hAnsi="Times New Roman;sans-serif"/>
          <w:b w:val="false"/>
          <w:color w:val="000000"/>
          <w:sz w:val="22"/>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sans-serif" w:hAnsi="Times New Roman;sans-serif"/>
          <w:b w:val="false"/>
          <w:color w:val="000000"/>
          <w:sz w:val="22"/>
          <w:u w:val="single"/>
        </w:rPr>
        <w:t>hereto</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herein</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hereof</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hereunder</w:t>
      </w:r>
      <w:r>
        <w:rPr>
          <w:rFonts w:ascii="Times New Roman;sans-serif" w:hAnsi="Times New Roman;sans-serif"/>
          <w:b w:val="false"/>
          <w:color w:val="000000"/>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sans-serif" w:hAnsi="Times New Roman;sans-serif"/>
          <w:b w:val="false"/>
          <w:color w:val="000000"/>
          <w:sz w:val="22"/>
          <w:u w:val="single"/>
        </w:rPr>
        <w:t>asset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property</w:t>
      </w:r>
      <w:r>
        <w:rPr>
          <w:color w:val="000000"/>
        </w:rPr>
        <w:t xml:space="preserve">” </w:t>
      </w:r>
      <w:r>
        <w:rPr>
          <w:rFonts w:ascii="Times New Roman;sans-serif" w:hAnsi="Times New Roman;sans-serif"/>
          <w:b w:val="false"/>
          <w:color w:val="000000"/>
          <w:sz w:val="22"/>
        </w:rPr>
        <w:t>shall be construed to have the same meaning and effect and to refer to any and all tangible and intangible assets and properties, including cash, securities, accounts and contract rights.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the computation of periods of time from a specified date to a later specified date, the word “</w:t>
      </w:r>
      <w:r>
        <w:rPr>
          <w:rFonts w:ascii="Times New Roman;sans-serif" w:hAnsi="Times New Roman;sans-serif"/>
          <w:b w:val="false"/>
          <w:color w:val="000000"/>
          <w:sz w:val="22"/>
          <w:u w:val="single"/>
        </w:rPr>
        <w:t>from</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from and including</w:t>
      </w:r>
      <w:r>
        <w:rPr>
          <w:rFonts w:ascii="Times New Roman;sans-serif" w:hAnsi="Times New Roman;sans-serif"/>
          <w:b w:val="false"/>
          <w:color w:val="000000"/>
          <w:sz w:val="22"/>
        </w:rPr>
        <w:t>;” the words “to” and “until” each mean “</w:t>
      </w:r>
      <w:r>
        <w:rPr>
          <w:rFonts w:ascii="Times New Roman;sans-serif" w:hAnsi="Times New Roman;sans-serif"/>
          <w:b w:val="false"/>
          <w:color w:val="000000"/>
          <w:sz w:val="22"/>
          <w:u w:val="single"/>
        </w:rPr>
        <w:t>to but excluding</w:t>
      </w:r>
      <w:r>
        <w:rPr>
          <w:rFonts w:ascii="Times New Roman;sans-serif" w:hAnsi="Times New Roman;sans-serif"/>
          <w:b w:val="false"/>
          <w:color w:val="000000"/>
          <w:sz w:val="22"/>
        </w:rPr>
        <w:t>;” and the word “</w:t>
      </w:r>
      <w:r>
        <w:rPr>
          <w:rFonts w:ascii="Times New Roman;sans-serif" w:hAnsi="Times New Roman;sans-serif"/>
          <w:b w:val="false"/>
          <w:color w:val="000000"/>
          <w:sz w:val="22"/>
          <w:u w:val="single"/>
        </w:rPr>
        <w:t>through</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to and including</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Section headings herein and in the other Loan Documents are included for convenience of reference only and shall not affect the interpretation of this Agreement or any other Loan Document.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rPr>
        <w:t>Accounting Terms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 Any additions to or exclusions from the computation of any financial item based upon FASB ASC 825 or FASB ASC 470-20 shall be detailed on the Compliance Certificate delivered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Changes in GAAP</w:t>
      </w:r>
      <w:r>
        <w:rPr>
          <w:rFonts w:ascii="Times New Roman;sans-serif" w:hAnsi="Times New Roman;sans-serif"/>
          <w:b w:val="false"/>
          <w:color w:val="000000"/>
          <w:sz w:val="22"/>
        </w:rPr>
        <w:t xml:space="preserve">. If at any time any change in GAAP would affect the computation of any financial ratio or requirement set forth in any Loan Document, and either the Company or the Required Lenders shall so request, the Administrative Agent, the Required Lenders and the Company shall negotiate in good faith to amend such ratio or requirement to preserve the original intent thereof in light of such change in GAAP (subject to the approval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else set forth herein, (i) any lease that was or would have been treated as an operating lease under GAAP as in effect on the Closing Date that would become or be treated as a capital lease solely as a result of a change in GAAP after the Closing Date shall always be treated as an operating lease for all purposes and at all times under this Agreement and (ii) the determination of whether a lease is to be treated as an operating lease or capital lease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upon the request of the Administrative Agent, the Company shall nonetheless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Consolidation of Variable Interest Entities</w:t>
      </w:r>
      <w:r>
        <w:rPr>
          <w:rFonts w:ascii="Times New Roman;sans-serif" w:hAnsi="Times New Roman;sans-serif"/>
          <w:b w:val="false"/>
          <w:color w:val="000000"/>
          <w:sz w:val="22"/>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Pro Forma Treatment of Acquisitions and Dispositions</w:t>
      </w:r>
      <w:r>
        <w:rPr>
          <w:rFonts w:ascii="Times New Roman;sans-serif" w:hAnsi="Times New Roman;sans-serif"/>
          <w:b w:val="false"/>
          <w:color w:val="000000"/>
          <w:sz w:val="22"/>
        </w:rPr>
        <w:t xml:space="preserve">. Consolidated EBITDAR will be calculated after giving pro forma effect to any Material Dispositions or Material Acquisitions occurring during the relevant period, or after the relevant period and on or prior to the date of determination, as if such dispositions or acquisitions occurred on the first day of such period, and which may include such adjustments as are permitted under Regulation S-X of the SEC;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pro forma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adjustment of Consolidated EBITDAR shall not result in an increase of more than 10% of Consolidated EBITDAR prior to such adjustment (the “</w:t>
      </w:r>
      <w:r>
        <w:rPr>
          <w:rFonts w:ascii="Times New Roman;sans-serif" w:hAnsi="Times New Roman;sans-serif"/>
          <w:b w:val="false"/>
          <w:color w:val="000000"/>
          <w:sz w:val="22"/>
          <w:u w:val="single"/>
        </w:rPr>
        <w:t>10% EBITDAR Cap</w:t>
      </w:r>
      <w:r>
        <w:rPr>
          <w:color w:val="000000"/>
        </w:rPr>
        <w:t>”</w:t>
      </w:r>
      <w:r>
        <w:rPr>
          <w:rFonts w:ascii="Times New Roman;sans-serif" w:hAnsi="Times New Roman;sans-serif"/>
          <w:b w:val="false"/>
          <w:color w:val="000000"/>
          <w:sz w:val="22"/>
        </w:rPr>
        <w:t>), unless (a) the Company provides to the Administrative Agent (i) the supporting calculations for such adjustment and (ii) such other information as the Administrative Agent may reasonably request to determine the accuracy of such calculations, or (b) the Administrative Agent (in its sole discretion) otherwise consents to such increase in excess of the 10% EBITDAR Cap.</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If the calculation of Consolidated EBITDAR for any period gives pro forma effect to any disposition or acquisition, the other elements of the Consolidated Fixed Charge Coverage Ratio and Consolidated Total Lease Adjusted Leverage Ratio will also be calculated after giving pro forma effect to such acquisition or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pro forma adjustment of Consolidated EBITDAR resulting from such disposition or acquisition is limited as a result of the 10% EBITDAR Cap, then the pro forma adjustment to any other element of the Consolidated Fixed Charge Coverage Ratio or the Consolidated Total Lease Adjusted Leverage Ratio, as applicable, will likewise be limited on a proportional basis so that the amount of any other adjustment will be reduced by the same percentage as the reduction in the amount of adjustment to Consolidated EBITDAR, and </w:t>
      </w:r>
      <w:r>
        <w:rPr>
          <w:rFonts w:ascii="Times New Roman;sans-serif" w:hAnsi="Times New Roman;sans-serif"/>
          <w:b w:val="false"/>
          <w:color w:val="000000"/>
          <w:sz w:val="22"/>
          <w:u w:val="single"/>
        </w:rPr>
        <w:t>provided further, in any event</w:t>
      </w:r>
      <w:r>
        <w:rPr>
          <w:rFonts w:ascii="Times New Roman;sans-serif" w:hAnsi="Times New Roman;sans-serif"/>
          <w:b w:val="false"/>
          <w:color w:val="000000"/>
          <w:sz w:val="22"/>
        </w:rPr>
        <w:t>, that any such pro forma adjustment of the numerator of the Consolidated Total Lease Adjusted Leverage Ratio (or the denominator of the Consolidated Fixed Charge Coverage Ratio) will not result in a decrease of more than 10% to the amount of such numerator (or denominator) prior to such adjustment (the “</w:t>
      </w:r>
      <w:r>
        <w:rPr>
          <w:rFonts w:ascii="Times New Roman;sans-serif" w:hAnsi="Times New Roman;sans-serif"/>
          <w:b w:val="false"/>
          <w:color w:val="000000"/>
          <w:sz w:val="22"/>
          <w:u w:val="single"/>
        </w:rPr>
        <w:t>Applicable 10% Cap</w:t>
      </w:r>
      <w:r>
        <w:rPr>
          <w:color w:val="000000"/>
        </w:rPr>
        <w:t>”</w:t>
      </w:r>
      <w:r>
        <w:rPr>
          <w:rFonts w:ascii="Times New Roman;sans-serif" w:hAnsi="Times New Roman;sans-serif"/>
          <w:b w:val="false"/>
          <w:color w:val="000000"/>
          <w:sz w:val="22"/>
        </w:rPr>
        <w:t>) unless (A) the Company provides to the Administrative Agent (1) the supporting calculations for such adjustment and (2) such other information as the Administrative Agent may reasonably request to determine the accuracy of such calculations, or (B) the Administrative Agent (in its sole discretion) otherwise consents to such decrease in excess of the Applicable 10% Cap. If in connection with any Material Acquisition, the Company or any Subsidiary acquires associated real estate, eliminating any leases on the real estate being acquired or any leases of a Subsidiary being acquired, then the rent associated with those leases will not be included in the numerator of the Consolidated Total Lease Adjusted Leverage Ratio.</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Rounding</w:t>
      </w:r>
      <w:r>
        <w:rPr>
          <w:rFonts w:ascii="Times New Roman;sans-serif" w:hAnsi="Times New Roman;sans-serif"/>
          <w:b w:val="false"/>
          <w:color w:val="000000"/>
          <w:sz w:val="22"/>
        </w:rPr>
        <w:t>.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rPr>
        <w:t>Times of Day</w:t>
      </w:r>
      <w:r>
        <w:rPr>
          <w:rFonts w:ascii="Times New Roman;sans-serif" w:hAnsi="Times New Roman;sans-serif"/>
          <w:b w:val="false"/>
          <w:color w:val="000000"/>
          <w:sz w:val="22"/>
        </w:rPr>
        <w:t>. Unless otherwise specified, all references herein to times of day shall be references to Eastern time (daylight or standard, as applicable).</w:t>
      </w:r>
    </w:p>
    <w:p>
      <w:pPr>
        <w:pStyle w:val="TextBody"/>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rPr>
        <w:t>Interest Rates</w:t>
      </w:r>
      <w:r>
        <w:rPr>
          <w:rFonts w:ascii="Times New Roman;sans-serif" w:hAnsi="Times New Roman;sans-serif"/>
          <w:b w:val="false"/>
          <w:color w:val="000000"/>
          <w:sz w:val="22"/>
        </w:rPr>
        <w:t xml:space="preserve">. The Administrative Agent and the Lenders do not warrant, nor accept responsibility, nor shall the Administrative Agent or any of the Lenders have any liability with respect to the administration, submission or any other matter related to the rates in the definition of “Eurodollar Rate” or with respect to any rate that is an alternative or replacement for or successor to any of such rate (including, without limitation, any Benchmark Replacement) or the effect of any of the foregoing, or of any Benchmark Replacement Conforming Changes. The Administrative Agent and its affiliates or other related entities may engage in transactions or other activities that affect any reference rate referred to herein, or any alternative, successor or replacement rate (including, without limitation, any Benchmark Replacement)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Benchmark Replacement) </w:t>
      </w:r>
      <w:r>
        <w:rPr>
          <w:rFonts w:ascii="Times New Roman;sans-serif" w:hAnsi="Times New Roman;sans-serif"/>
          <w:b/>
          <w:color w:val="000000"/>
          <w:sz w:val="22"/>
        </w:rPr>
        <w:t>(</w:t>
      </w:r>
      <w:r>
        <w:rPr>
          <w:rFonts w:ascii="Times New Roman;sans-serif" w:hAnsi="Times New Roman;sans-serif"/>
          <w:b w:val="false"/>
          <w:color w:val="000000"/>
          <w:sz w:val="22"/>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rPr>
        <w:t>Letter of Credit Amounts</w:t>
      </w:r>
      <w:r>
        <w:rPr>
          <w:rFonts w:ascii="Times New Roman;sans-serif" w:hAnsi="Times New Roman;sans-serif"/>
          <w:b w:val="false"/>
          <w:color w:val="000000"/>
          <w:sz w:val="22"/>
        </w:rPr>
        <w:t xml:space="preserve">. Unless otherwise specified herein, the amount of a Letter of Credit at any time shall be deemed to be the stated amount of such Letter of Credit in effect at such time;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rPr>
        <w:t>Limited Condition Acquisition</w:t>
      </w:r>
      <w:r>
        <w:rPr>
          <w:rFonts w:ascii="Times New Roman;sans-serif" w:hAnsi="Times New Roman;sans-serif"/>
          <w:b w:val="false"/>
          <w:color w:val="000000"/>
          <w:sz w:val="22"/>
        </w:rPr>
        <w:t xml:space="preserve">. In the event that the Company notifies the Administrative Agent in writing that any proposed Acquisition is a Limited Condition Acquisition and that the Company wishes to test the conditions to such Limited Condition Acquisition and the availability of the Indebtedness incurred in connection with such Limited Condition Acquisition in accordance with this Section, then, notwithstanding anything to the contrary herein or in any other Loan Document, the following provisions </w:t>
      </w:r>
      <w:r>
        <w:rPr>
          <w:rFonts w:ascii="Times New Roman;sans-serif" w:hAnsi="Times New Roman;sans-serif"/>
          <w:b w:val="false"/>
          <w:color w:val="000000"/>
          <w:sz w:val="22"/>
          <w:u w:val="single"/>
        </w:rPr>
        <w:t>shall</w:t>
      </w:r>
      <w:r>
        <w:rPr>
          <w:color w:val="000000"/>
        </w:rPr>
        <w:t xml:space="preserve"> </w:t>
      </w:r>
      <w:r>
        <w:rPr>
          <w:rFonts w:ascii="Times New Roman;sans-serif" w:hAnsi="Times New Roman;sans-serif"/>
          <w:b w:val="false"/>
          <w:color w:val="000000"/>
          <w:sz w:val="22"/>
        </w:rPr>
        <w:t>apply:</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any condition to such Limited Condition Acquisition or such Indebtedness that requires that no Default or Event of Default shall have occurred and be continuing at the time of such Acquisition or the incurrence of such Indebtedness, shall be satisfied if (i) no Default or Event of Default shall have occurred and be continuing at the time of the execution of the definitive purchase agreement, merger agreement or other acquisition agreement governing such Limited Condition Acquisition and (ii) no Specified Event of Default shall have occurred and be continuing both immediately before and immediately after giving effect to such Limited Condition Acquisition and the incurrence of such Indebtedness;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condition to such Limited Condition Acquisition or such Indebtedness that the representations and warranties in this Agreement and the other Loan Documents shall be true and correct at the time of such Acquisition or the incurrence of such Indebtedness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Indebtedness shall be true and correct, but only to the extent that the Company or its applicable Subsidiary has the right to terminate its obligations under such agreement as a result of a breach of such representations and warranties or the failure of those representations and warranties to be true and correct), so long as (i) all representations and warranties in this Agreement and the other Loan Documents are true and correct in all material respects (or in all respects in the case of any representation and warranty qualified by materiality or Material Adverse Effect) at the time of execution of the definitive purchase agreement, merger agreement or other acquisition agreement governing such Acquisition and (ii) all Specified Representations are true and correct both immediately before and immediately after giving effect to such Limited Condition Acquisition and the incurrence of such Indebtedness;</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any financial ratio test or condition to such Limited Condition Acquisition or the incurrence of such Indebtedness, may upon the written election of the Company delivered to the Administrative Agent prior to the execution of the definitive agreement for such Limited Condition Acquisition, be tested either (i) upon the execution of the definitive agreement with respect to such Limited Condition Acquisition or (ii) upon the consummation of the Limited Condition Acquisition and related incurrence of Indebtedness, in each case, after giving effect to the relevant Limited Condition Acquisition and related incurrence of Indebtedness, on a pro forma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to deliver a notice under this </w:t>
      </w:r>
      <w:r>
        <w:rPr>
          <w:rFonts w:ascii="Times New Roman;sans-serif" w:hAnsi="Times New Roman;sans-serif"/>
          <w:b w:val="false"/>
          <w:color w:val="000000"/>
          <w:sz w:val="22"/>
          <w:u w:val="single"/>
        </w:rPr>
        <w:t>Section 1.08(c)</w:t>
      </w:r>
      <w:r>
        <w:rPr>
          <w:color w:val="000000"/>
        </w:rPr>
        <w:t xml:space="preserve"> </w:t>
      </w:r>
      <w:r>
        <w:rPr>
          <w:rFonts w:ascii="Times New Roman;sans-serif" w:hAnsi="Times New Roman;sans-serif"/>
          <w:b w:val="false"/>
          <w:color w:val="000000"/>
          <w:sz w:val="22"/>
        </w:rPr>
        <w:t xml:space="preserve">prior to the date of execution of the definitive agreement for such Limited Condition Acquisition shall be deemed an election to test the applicable financial ratio under subclause (ii) of this </w:t>
      </w:r>
      <w:r>
        <w:rPr>
          <w:rFonts w:ascii="Times New Roman;sans-serif" w:hAnsi="Times New Roman;sans-serif"/>
          <w:b w:val="false"/>
          <w:color w:val="000000"/>
          <w:sz w:val="22"/>
          <w:u w:val="single"/>
        </w:rPr>
        <w:t>Section 1.08(c)</w:t>
      </w:r>
      <w:r>
        <w:rPr>
          <w:rFonts w:ascii="Times New Roman;sans-serif" w:hAnsi="Times New Roman;sans-serif"/>
          <w:b w:val="false"/>
          <w:color w:val="000000"/>
          <w:sz w:val="22"/>
        </w:rPr>
        <w:t>; and</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if the Company has made an election with respect to any Limited Condition Acquisition to test a financial ratio test or condition at the time specified in clause (c)(i) of this Section, then in connection with any subsequent calculation of any ratio or basket during the period commencing on the relevant date of execution of the definitive agreement with respect to such Limited Condition Acquisition until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required to be satisfied assuming such Limited Condition Acquisition and other transactions in connection therewith (including the incurrence or assumption of Indebtedness) have not been consummated.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54</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The foregoing provisions shall apply with similar effect during the pendency of multiple Limited Condition Acquisitions such that each of the possible scenarios is separately tested. For the avoidance of doubt, any election (or any portion thereof) made pursuant to this Section may be rescinded by the Company prior to the consummation of such Limited Condition Acquisition or incurrence of such Indebtedness and in such case the conditions applicable to such Acquisition or incurrence of Indebtedness shall be tested without giving effect to this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w:t>
      </w:r>
    </w:p>
    <w:p>
      <w:pPr>
        <w:pStyle w:val="TextBody"/>
        <w:spacing w:lineRule="auto" w:line="240" w:before="0" w:after="240"/>
        <w:jc w:val="center"/>
        <w:rPr/>
      </w:pPr>
      <w:r>
        <w:rPr>
          <w:rFonts w:ascii="Times New Roman;sans-serif" w:hAnsi="Times New Roman;sans-serif"/>
          <w:b/>
          <w:color w:val="000000"/>
          <w:sz w:val="22"/>
        </w:rPr>
        <w:t>ARTICLE II.</w:t>
      </w:r>
      <w:r>
        <w:rPr>
          <w:color w:val="000000"/>
        </w:rPr>
        <w:t xml:space="preserve"> </w:t>
      </w:r>
      <w:r>
        <w:rPr>
          <w:rFonts w:ascii="Times New Roman;sans-serif" w:hAnsi="Times New Roman;sans-serif"/>
          <w:b/>
          <w:color w:val="000000"/>
          <w:sz w:val="22"/>
        </w:rPr>
        <w:t>THE COMMITMENTS AND CREDIT EXTENSIONS</w:t>
      </w:r>
    </w:p>
    <w:p>
      <w:pPr>
        <w:pStyle w:val="TextBody"/>
        <w:spacing w:lineRule="auto" w:line="240" w:before="0" w:after="240"/>
        <w:ind w:left="0" w:right="0" w:firstLine="720"/>
        <w:jc w:val="both"/>
        <w:rPr/>
      </w:pPr>
      <w:r>
        <w:rPr>
          <w:rFonts w:ascii="Times New Roman;sans-serif" w:hAnsi="Times New Roman;sans-serif"/>
          <w:b/>
          <w:color w:val="000000"/>
          <w:sz w:val="22"/>
        </w:rPr>
        <w:t>2.01</w:t>
      </w:r>
      <w:r>
        <w:rPr>
          <w:rFonts w:ascii="Times New Roman;sans-serif" w:hAnsi="Times New Roman;sans-serif"/>
          <w:b/>
          <w:color w:val="000000"/>
          <w:sz w:val="22"/>
        </w:rPr>
        <w:t>Revolving Committed Loans</w:t>
      </w:r>
      <w:r>
        <w:rPr>
          <w:rFonts w:ascii="Times New Roman;sans-serif" w:hAnsi="Times New Roman;sans-serif"/>
          <w:b w:val="false"/>
          <w:color w:val="000000"/>
          <w:sz w:val="22"/>
        </w:rPr>
        <w:t>. Subject to the terms and conditions set forth herein, each Revolving Lender severally agrees to make loans (each such loan, a “</w:t>
      </w:r>
      <w:r>
        <w:rPr>
          <w:rFonts w:ascii="Times New Roman;sans-serif" w:hAnsi="Times New Roman;sans-serif"/>
          <w:b w:val="false"/>
          <w:color w:val="000000"/>
          <w:sz w:val="22"/>
          <w:u w:val="single"/>
        </w:rPr>
        <w:t>Revolving Committed Loan</w:t>
      </w:r>
      <w:r>
        <w:rPr>
          <w:color w:val="000000"/>
        </w:rPr>
        <w:t>”</w:t>
      </w:r>
      <w:r>
        <w:rPr>
          <w:rFonts w:ascii="Times New Roman;sans-serif" w:hAnsi="Times New Roman;sans-serif"/>
          <w:b w:val="false"/>
          <w:color w:val="000000"/>
          <w:sz w:val="22"/>
        </w:rPr>
        <w:t xml:space="preserve">) to the Company from time to time, on any Business Day during the Availability Period, in an aggregate amount not to exceed at any time outstanding the amount of such Revolving Lender’s Revolving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after giving effect to any Revolving Committed Borrowing, (a) the Total Revolving Outstandings shall not exceed the lesser of the Aggregate Revolving Commitments or the Revolving Borrowing Base, and (b) the aggregate Outstanding Amount of the Revolving Committed Loans of any Revolving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L/C Obligations,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Revolving Swing Line Loans shall not exceed such Lender’s Revolving Commitment. Within the limits of each Lender’s Revolving Commitment, and subject to the other terms and conditions hereof, the Company may borrow under this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Revolving Committed Loans may be Base Rate Loans or Eurodollar Rate Loans, as further provided herein.</w:t>
      </w:r>
    </w:p>
    <w:p>
      <w:pPr>
        <w:pStyle w:val="TextBody"/>
        <w:spacing w:lineRule="auto" w:line="240" w:before="0" w:after="240"/>
        <w:ind w:left="0" w:right="0" w:firstLine="720"/>
        <w:jc w:val="both"/>
        <w:rPr/>
      </w:pPr>
      <w:r>
        <w:rPr>
          <w:rFonts w:ascii="Times New Roman;sans-serif" w:hAnsi="Times New Roman;sans-serif"/>
          <w:b/>
          <w:color w:val="000000"/>
          <w:sz w:val="22"/>
        </w:rPr>
        <w:t>2.02</w:t>
      </w:r>
      <w:r>
        <w:rPr>
          <w:rFonts w:ascii="Times New Roman;sans-serif" w:hAnsi="Times New Roman;sans-serif"/>
          <w:b/>
          <w:color w:val="000000"/>
          <w:sz w:val="22"/>
        </w:rPr>
        <w:t>Borrowings, Conversions and Continuations of Revolving Committed Loans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Revolving Committed Borrowing and each conversion of Revolving Committed Loans from one Type to the other, shall be made upon the Company’s irrevocable notice to the Administrative Agent, which may be given by (A) telephone, or (B) a Revolving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promptly by delivery to the Administrative Agent of a Revolving Committed Loan Notice. Each such Revolving Committed Loan Notice must be received by the Administrative Agent not later than 1:00 p.m. (i) one Business Day prior to the requested date of any Revolving Borrowing of Eurodollar Rate Committed Loans or of any conversion of Eurodollar Rate Committed Loans to Base Rate Committed Loans, and (ii) one Business Day prior to the requested date of any Borrowing of Base Rate Committed Loans. Each Borrowing of, conversion to or continuation of Eurodollar Rate Committed Loans shall be in a principal amount of $5,000,000 or a whole multiple of $1,000,000 in excess thereof. Except as provided in </w:t>
      </w:r>
      <w:r>
        <w:rPr>
          <w:rFonts w:ascii="Times New Roman;sans-serif" w:hAnsi="Times New Roman;sans-serif"/>
          <w:b w:val="false"/>
          <w:color w:val="000000"/>
          <w:sz w:val="22"/>
          <w:u w:val="single"/>
        </w:rPr>
        <w:t>Sections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2.04(c)</w:t>
      </w:r>
      <w:r>
        <w:rPr>
          <w:rFonts w:ascii="Times New Roman;sans-serif" w:hAnsi="Times New Roman;sans-serif"/>
          <w:b w:val="false"/>
          <w:color w:val="000000"/>
          <w:sz w:val="22"/>
        </w:rPr>
        <w:t xml:space="preserve">, each Borrowing of or conversion to Base Rate Committed Loans shall be in a principal amount of $500,000 or a whole multiple of $100,000 in excess thereof. Each Revolving Committed Loan Notice shall specify (i) whether the Company is requesting a Revolving Committed Borrowing or a conversion of Revolving Committed Loans from one Type to the other, (ii) the requested date of the Borrowing or conversion, as the case may be (which shall be a Business Day), (iii) the principal amount of Revolving Committed Loans to be borrowed, converted or continued, and (iv) the Type of Revolving Committed Loans to be borrowed or to which existing Revolving Committed Loans are to be converted. If the Company fails to provide a timely Revolving Committed Loan Notice requesting a conversion of Eurodollar Rate Loans to Base Rate Loans, such Loans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xml:space="preserve">, continue as Eurodollar Rate Loans. If the Company fails to specify a Type of Revolving Committed Loan in a Revolving Committed Loan Notice, then the applicable Revolving Committed Loans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be made as, or converted to, Eurodollar Rate Loans.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Following receipt of a Revolving Committed Loan Notice, the Administrative Agent shall promptly notify each Revolving Lender of the amount of its Applicable Revolving Percentage of the applicable Revolving Committed Loans. Each Lender shall make the amount of its Revolving Committed Loan available to the Administrative Agent in immediately available funds at the Administrative Agent’s Office not later than 1:00 p.m. on the Business Day specified in the applicable Revolving Committed Loan Notice. Upon satisfaction of the applicable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(and, if such Borrowing is an initial Credit Extension,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the Administrative Agent shall make all funds so received available to the Company in like funds as received by the Administrative Agent by crediting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account of the Company on the books of Bank of America with the amount of such funds;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on the date the Revolving Committed Loan Notice with respect to such Borrowing is given by the Company, there are L/C Borrowings outstanding, then the proceeds of such Borrowing, first, shall be applied to the payment in full of any such L/C Borrowings, and second, shall be made available to the Company as provided above.</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Administrative Agent shall promptly notify the Company and the Revolving Lenders of the interest rate applicable to any Eurodollar Rate Loans upon determination of such interest rate. At any time that Base Rate Loans are outstanding, the Administrative Agent shall notify the Company and the Revolving Lenders of any change in Bank of America’s prime rate used in determining the Base Rate promptly following the public announcement of such change.</w:t>
      </w:r>
    </w:p>
    <w:p>
      <w:pPr>
        <w:pStyle w:val="TextBody"/>
        <w:spacing w:lineRule="auto" w:line="240" w:before="0" w:after="240"/>
        <w:ind w:left="0" w:right="0" w:firstLine="720"/>
        <w:jc w:val="both"/>
        <w:rPr/>
      </w:pPr>
      <w:r>
        <w:rPr>
          <w:rFonts w:ascii="Times New Roman;sans-serif" w:hAnsi="Times New Roman;sans-serif"/>
          <w:b/>
          <w:color w:val="000000"/>
          <w:sz w:val="22"/>
        </w:rPr>
        <w:t>2.03</w:t>
      </w:r>
      <w:r>
        <w:rPr>
          <w:rFonts w:ascii="Times New Roman;sans-serif" w:hAnsi="Times New Roman;sans-serif"/>
          <w:b/>
          <w:color w:val="000000"/>
          <w:sz w:val="22"/>
        </w:rPr>
        <w:t>Letters of Credit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Letter of Credit Commitment.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(i)Subject to the terms and conditions set forth herein, (A) each L/C Issuer agrees, in reliance upon the agreements of the Lenders set forth in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xml:space="preserve">, (1) from time to time on any Business Day during the period from the Closing Date until the Letter of Credit Expiration Date, to issue Letters of Credit for the account of the Company or its Subsidiaries, and to amend or extend Letters of Credit previously issued by it, in accordance with subsection (b) below, and (2) to honor drawings under the Letters of Credit; and (B) the Revolving Lenders severally agree to participate in Letters of Credit issued for the account of the Company or its Subsidiaries and any drawings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after giving effect to any L/C Credit Extension with respect to any Letter of Credit, (w) the Total Outstandings shall not exceed the Aggregate Commitments, (x) the Total Revolving Outstandings shall not exceed the lesser of the Aggregate Revolving Commitments or the Revolving Borrowing Base, (y) the aggregate Outstanding Amount of the Revolving Committed Loans of any Revolving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L/C Obligations,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such Lender’s Applicable Revolving Percentage of the Outstanding Amount of all Revolving Swing Line Loans shall not exceed such Lender’s Revolving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(ii)No L/C Issuer shall issue any Letter of Credit, if:</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(A)subject to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 the expiry date of the requested Letter of Credit would occur more than eighteen months after the date of issuance or last extension, unless the Required Lenders have approved such expiry date;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expiry date of the requested Letter of Credit would occur after the Letter of Credit Expiration Date, unless all the Lenders have approved such expiry date.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(iii)No L/C Issuer shall be under any obligation to issue any Letter of Credit if:</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issuance of the Letter of Credit would violate one or more policies of such L/C Issuer applicable to letters of credit generally;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(C)except as otherwise agreed by the Administrative Agent and the applicable L/C Issuer, the Letter of Credit is in an initial stated amount less than $100,000;</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(D)the Letter of Credit is to be denominated in a currency other than Dollars;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(E)any Lender is at such time a Defaulting Lender, unless each L/C Issuer having actual or potential Fronting Exposure with respect to Letters of Credit issued (or then proposed to be issued) by it has entered into arrangements, including the delivery of Cash Collateral, satisfactory to each such L/C Issuer as to Letters of Credit issued (or then proposed to be issued) by it (in its sole discretion) with the Company or such Defaulting Lender to eliminate such L/C Issuer’s actual or potential Fronting Exposure (after giving effect to </w:t>
      </w:r>
      <w:r>
        <w:rPr>
          <w:rFonts w:ascii="Times New Roman;sans-serif" w:hAnsi="Times New Roman;sans-serif"/>
          <w:b w:val="false"/>
          <w:color w:val="000000"/>
          <w:sz w:val="22"/>
          <w:u w:val="single"/>
        </w:rPr>
        <w:t>Section 2.27(a)(iv)</w:t>
      </w:r>
      <w:r>
        <w:rPr>
          <w:color w:val="000000"/>
        </w:rPr>
        <w:t xml:space="preserve"> </w:t>
      </w:r>
      <w:r>
        <w:rPr>
          <w:rFonts w:ascii="Times New Roman;sans-serif" w:hAnsi="Times New Roman;sans-serif"/>
          <w:b w:val="false"/>
          <w:color w:val="000000"/>
          <w:sz w:val="22"/>
        </w:rPr>
        <w:t>with respect to the Defaulting Lender)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(F)the Letter of Credit contains any provisions for automatic reinstatement of the stated amount after any drawing thereunder.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(iv)No L/C Issuer shall amend any Letter of Credit if such L/C Issuer would not be permitted at such time to issue the Letter of Credit in its amended form under the terms hereof.</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(vi)Each L/C Issuer shall act on behalf of the Lenders with respect to any Letters of Credit issued by it and the documents associated therewith, and each L/C Issuer shall have all of the benefits and immunities (A) provided to the Administrative Agent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included each L/C Issuer with respect to such acts or omissions, and (B) as additionally provided herein with respect to each L/C Issuer.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Procedures for Issuance and Amendment of Letters of Credit; Auto-Extension Letters of Credit.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(i)Each Letter of Credit shall be issued or amended, as the case may be, upon the request of the Company delivered to the applicable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L/C Issuer, by personal delivery or by any other means acceptable to the L/C Issuer. Such Letter of Credit Application must be received by such L/C Issuer and the Administrative Agent not later than 1:00 p.m. at least ten Business Days (or such later date and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such L/C Issuer (A) the Letter of Credit to be amended; (B) the proposed date of amendment thereof (which shall be a Business Day); (C) the nature of the proposed amendment; and (D) such other matters as such L/C Issuer may require. Additionally, the Company shall furnish to such L/C Issuer and the Administrative Agent such other documents and information pertaining to such requested Letter of Credit issuance or amendment, including any Issuer Documents, as such L/C Issuer or the Administrative Agent may require.</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shall not then be satisfied, then, subject to the terms and conditions hereof, such L/C Issuer shall, on the requested date, issue a Letter of Credit for the account of the Company (or the applicable Subsidiary) or enter into the applicable amendment, as the case may be, in each case in accordance with such L/C Issuer’s usual and customary business practices. Immediately upon the issuance of each Letter of Credit, each Revolving Lender shall be deemed to, and hereby irrevocably and unconditionally agrees to, purchase from the L/C Issuer a risk participation in such Letter of Credit in an amount equal to the product of such Revolving Lender’s Applicable Percentage times the amount of such Letter of Credit.</w:t>
      </w:r>
    </w:p>
    <w:p>
      <w:pPr>
        <w:pStyle w:val="TextBody"/>
        <w:spacing w:lineRule="auto" w:line="240" w:before="0" w:after="240"/>
        <w:ind w:left="0" w:right="0" w:firstLine="720"/>
        <w:jc w:val="both"/>
        <w:rPr/>
      </w:pPr>
      <w:r>
        <w:rPr>
          <w:rFonts w:ascii="Times New Roman;sans-serif" w:hAnsi="Times New Roman;sans-serif"/>
          <w:b w:val="false"/>
          <w:color w:val="000000"/>
          <w:sz w:val="22"/>
        </w:rPr>
        <w:t>(iii)If the Company so requests in any applicable Letter of Credit Application, the applicable L/C Issuer may, in its sole discretion, agree to issue a Letter of Credit that has automatic extension provisions (each, an “</w:t>
      </w:r>
      <w:r>
        <w:rPr>
          <w:rFonts w:ascii="Times New Roman;sans-serif" w:hAnsi="Times New Roman;sans-serif"/>
          <w:b w:val="false"/>
          <w:color w:val="000000"/>
          <w:sz w:val="22"/>
          <w:u w:val="single"/>
        </w:rPr>
        <w:t>Auto-Extension Letter of Credit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sans-serif" w:hAnsi="Times New Roman;sans-serif"/>
          <w:b w:val="false"/>
          <w:color w:val="000000"/>
          <w:sz w:val="22"/>
          <w:u w:val="single"/>
        </w:rPr>
        <w:t>Non-Extension Notice Date</w:t>
      </w:r>
      <w:r>
        <w:rPr>
          <w:color w:val="000000"/>
        </w:rPr>
        <w:t>”</w:t>
      </w:r>
      <w:r>
        <w:rPr>
          <w:rFonts w:ascii="Times New Roman;sans-serif" w:hAnsi="Times New Roman;sans-serif"/>
          <w:b w:val="false"/>
          <w:color w:val="000000"/>
          <w:sz w:val="22"/>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Revolving Lenders shall be deemed to have authorized (but may not require) the applicable L/C Issuer to permit the extension of such Letter of Credit at any time to an expiry date not later than the Letter of Credit Expiration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Times New Roman;sans-serif" w:hAnsi="Times New Roman;sans-serif"/>
          <w:b w:val="false"/>
          <w:color w:val="000000"/>
          <w:sz w:val="22"/>
          <w:u w:val="single"/>
        </w:rPr>
        <w:t>Section 2.03(a)</w:t>
      </w:r>
      <w:r>
        <w:rPr>
          <w:color w:val="000000"/>
        </w:rPr>
        <w:t xml:space="preserve"> </w:t>
      </w:r>
      <w:r>
        <w:rPr>
          <w:rFonts w:ascii="Times New Roman;sans-serif" w:hAnsi="Times New Roman;sans-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Revolving Lender or the Company that one or more of the applicable conditions specified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is not then satisfied, and in each such case directing such L/C Issuer not to permit such extension.</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58</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(iv)Promptly after its delivery of any Letter of Credit or any amendment to a Letter of Credit to an advising bank with respect thereto or to the beneficiary thereof, the applicable L/C Issuer will also deliver to the Company and the Administrative Agent a true and complete copy of such Letter of Credit or amendment. Each L/C Issuer will also promptly deliver to the Company and the Administrative Agent copies of any non-renewal notification sent to beneficiaries of Auto-Extension Letters of Credit.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Drawings and Reimbursements; Funding of Participations.</w:t>
      </w:r>
    </w:p>
    <w:p>
      <w:pPr>
        <w:pStyle w:val="TextBody"/>
        <w:spacing w:lineRule="auto" w:line="240" w:before="0" w:after="240"/>
        <w:ind w:left="0" w:right="0" w:firstLine="720"/>
        <w:jc w:val="both"/>
        <w:rPr/>
      </w:pPr>
      <w:r>
        <w:rPr>
          <w:rFonts w:ascii="Times New Roman;sans-serif" w:hAnsi="Times New Roman;sans-serif"/>
          <w:b w:val="false"/>
          <w:color w:val="000000"/>
          <w:sz w:val="22"/>
        </w:rPr>
        <w:t>(i)Upon receipt from the beneficiary of any Letter of Credit of any notice of a drawing under such Letter of Credit, the L/C Issuer shall notify the Company and the Administrative Agent thereof. Not later than 1:00 p.m. on the date of any payment by the applicable L/C Issuer under a Letter of Credit (each such date, an “</w:t>
      </w:r>
      <w:r>
        <w:rPr>
          <w:rFonts w:ascii="Times New Roman;sans-serif" w:hAnsi="Times New Roman;sans-serif"/>
          <w:b w:val="false"/>
          <w:color w:val="000000"/>
          <w:sz w:val="22"/>
          <w:u w:val="single"/>
        </w:rPr>
        <w:t>Honor Date</w:t>
      </w:r>
      <w:r>
        <w:rPr>
          <w:color w:val="000000"/>
        </w:rPr>
        <w:t>”</w:t>
      </w:r>
      <w:r>
        <w:rPr>
          <w:rFonts w:ascii="Times New Roman;sans-serif" w:hAnsi="Times New Roman;sans-serif"/>
          <w:b w:val="false"/>
          <w:color w:val="000000"/>
          <w:sz w:val="22"/>
        </w:rPr>
        <w:t>), the Company shall reimburse such L/C Issuer through the Administrative Agent in an amount equal to the amount of such drawing. If the Company fails to so reimburse such L/C Issuer by such time, the Administrative Agent shall promptly notify each Lender of the Honor Date, the amount of the unreimbursed drawing (the “</w:t>
      </w:r>
      <w:r>
        <w:rPr>
          <w:rFonts w:ascii="Times New Roman;sans-serif" w:hAnsi="Times New Roman;sans-serif"/>
          <w:b w:val="false"/>
          <w:color w:val="000000"/>
          <w:sz w:val="22"/>
          <w:u w:val="single"/>
        </w:rPr>
        <w:t>Unreimbursed Amount</w:t>
      </w:r>
      <w:r>
        <w:rPr>
          <w:color w:val="000000"/>
        </w:rPr>
        <w:t>”</w:t>
      </w:r>
      <w:r>
        <w:rPr>
          <w:rFonts w:ascii="Times New Roman;sans-serif" w:hAnsi="Times New Roman;sans-serif"/>
          <w:b w:val="false"/>
          <w:color w:val="000000"/>
          <w:sz w:val="22"/>
        </w:rPr>
        <w:t xml:space="preserve">), and the amount of such Revolving Lender’s Applicable Revolving Percentage thereof. In such event, the Company shall be deemed to have requested a Revolving Committed Borrowing of Eurodollar Rate Loans to be disbursed on the Honor Date in an amount equal to the Unreimbursed Amount, without regard to the minimum and multiples specified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for the principal amount of Eurodollar Rate Loans, but subject to the amount of the unutilized portion of the Aggregate Revolving Commitments and the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(other than the delivery of a Revolving Committed Loan Notice). Any notice given by the applicable L/C Issuer or the Administrative Agent pursuant to this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may be given by telephone if immediately confirmed in writing;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lack of such an immediate confirmation shall not affect the conclusiveness or binding effect of such notice.</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(ii)Each Revolving Lender shall upon any notice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make funds available (and the Administrative Agent may apply Cash Collateral provided for this purpose) for the account of the applicable L/C Issuer at the Administrative Agent’s Office in an amount equal to its Applicable Revolving Percentage of the Unreimbursed Amount not later than 1:00 p.m. on the Business Day specified in such notice by the Administrative Agent (or, if later, one Business Day after the Administrative Agent delivers such notice), whereupon, subject to the provisions of </w:t>
      </w:r>
      <w:r>
        <w:rPr>
          <w:rFonts w:ascii="Times New Roman;sans-serif" w:hAnsi="Times New Roman;sans-serif"/>
          <w:b w:val="false"/>
          <w:color w:val="000000"/>
          <w:sz w:val="22"/>
          <w:u w:val="single"/>
        </w:rPr>
        <w:t>Section 2.03(c)(iii)</w:t>
      </w:r>
      <w:r>
        <w:rPr>
          <w:rFonts w:ascii="Times New Roman;sans-serif" w:hAnsi="Times New Roman;sans-serif"/>
          <w:b w:val="false"/>
          <w:color w:val="000000"/>
          <w:sz w:val="22"/>
        </w:rPr>
        <w:t>, each Revolving Lender that so makes funds available shall be deemed to have made a Eurodollar Rate Committed Loan to the Company in such amount. The Administrative Agent shall remit the funds so received to the applicable L/C Issuer.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(iii)With respect to any Unreimbursed Amount that is not fully refinanced by a Revolving Committed Borrowing of Eurodollar Rate Loans because the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L/C Issuer pursuant to </w:t>
      </w:r>
      <w:r>
        <w:rPr>
          <w:rFonts w:ascii="Times New Roman;sans-serif" w:hAnsi="Times New Roman;sans-serif"/>
          <w:b w:val="false"/>
          <w:color w:val="000000"/>
          <w:sz w:val="22"/>
          <w:u w:val="single"/>
        </w:rPr>
        <w:t>Section 2.03(c)(ii)</w:t>
      </w:r>
      <w:r>
        <w:rPr>
          <w:color w:val="000000"/>
        </w:rPr>
        <w:t xml:space="preserve"> </w:t>
      </w:r>
      <w:r>
        <w:rPr>
          <w:rFonts w:ascii="Times New Roman;sans-serif" w:hAnsi="Times New Roman;sans-serif"/>
          <w:b w:val="false"/>
          <w:color w:val="000000"/>
          <w:sz w:val="22"/>
        </w:rPr>
        <w:t xml:space="preserve">shall be deemed payment in respect of its participation in such L/C Borrowing and shall constitute an L/C Advance from such Revolving Lender in satisfaction of its participation obligation under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(iv)Until each Revolving Lender funds its Revolving Committed Loan or L/C Advance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to reimburse the applicable L/C Issuer for any amount drawn under any Letter of Credit, interest in respect of such Revolving Lender’s Applicable Percentage of such amount shall be solely for the account of the applicable L/C Issuer.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(v)Each Revolving Lender’s obligation to make Revolving Committed Loans or L/C Advances to reimburse the applicable L/C Issuer for amounts drawn under Letters of Credit, as contemplated by this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shall be absolute and unconditional and shall not be affected by any circumstance, including (A) any setoff, counterclaim, recoupment, defense or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other right which such Revolving Lender may have against the applicable L/C Issuer,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Revolving Lender’s obligation to make Revolving Committed Loans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(other than delivery by the Company of a Revolving Committed Loan Notice). No such making of an L/C Advance shall relieve or otherwise impair the obligation of the Company to reimburse the applicable L/C Issuer for the amount of any payment made by the such L/C Issuer under any Letter of Credit, together with interest as provided herein.</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(vi)If any Revolving Lender fails to make available to the Administrative Agent for the account of the applicable L/C Issuer any amount required to be paid by such Revolving Lender pursuant to the foregoing provisions of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2.03(c)(ii)</w:t>
      </w:r>
      <w:r>
        <w:rPr>
          <w:rFonts w:ascii="Times New Roman;sans-serif" w:hAnsi="Times New Roman;sans-serif"/>
          <w:b w:val="false"/>
          <w:color w:val="000000"/>
          <w:sz w:val="22"/>
        </w:rPr>
        <w:t xml:space="preserve">, then, without limiting the other provisions of this Agreement, such L/C Issuer shall be entitled to recover from such Revolving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customarily charged by such L/C Issuer in connection with the foregoing. If such Revolving Lender pays such amount (with interest and fees as aforesaid), the amount so paid shall constitute such Revolving Lender’s Revolving Committed Loan included in the relevant Revolving Committed Borrowing or L/C Advance in respect of the relevant L/C Borrowing, as the case may be. A certificate of the applicable L/C Issuer submitted to any Lender (through the Administrative Agent) with respect to any amounts owing under this clause (vi) shall be conclusive absent manifest error.</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Repayment of Participations.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(i)At any time after the applicable L/C Issuer has made a payment under any Letter of Credit and has received from any Revolving Lender such Revolving Lender’s L/C Advance in respect of such payment in accordance with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Revolving Lender its Applicable Revolving Percentage thereof in the same funds as those received by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any payment received by the Administrative Agent for the account of the applicable L/C Issuer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is required to be returned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(including pursuant to any settlement entered into by such L/C Issuer in its discretion), each Revolving Lender shall pay to the Administrative Agent for the account of such L/C Issuer its Applicable Revolving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by such Revolving Lender, at a rate per annum equal to the Federal Funds Rate from time to time in effect. The obligations of the Revolving Lenders under this clause shall survive the payment in full of the Obligations and the termination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The obligation of the Company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(i)any lack of validity or enforceability of such Letter of Credit, this Agreement, or any other Loan Document;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existence of any claim, counterclaim, setoff, defense or other right that the Company, any Borrower or any Subsidiary may have at any time against any beneficiary or any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(iv)waiver by the applicable L/C Issuer of any requirement that exists for such L/C Issuer’s protection and not the protection of the Borrower or any waiver by the applicable L/C Issuer which does not in fact materially prejudice the Borrower;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(v)honor of a demand for payment presented electronically even if such Letter of Credit requires that demand be in the form of a draft;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(viii)any other circumstance or happening whatsoever, whether or not similar to any of the foregoing, including any other circumstance that might otherwise constitute a defense available to, or a discharge of, the Company, any Borrower or any Subsidiary.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promptly examine a copy of each Letter of Credit and each amendment thereto that is delivered to it and, in the event of any claim of noncompliance with the Company’s instructions or other irregularity, the Company will immediately notify the applicable L/C Issuer. The Company shall be conclusively deemed to have waived any such claim against the applicable L/C Issuer and its correspondents unless such notice is given as aforesaid.</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Role of L/C Issuer</w:t>
      </w:r>
      <w:r>
        <w:rPr>
          <w:rFonts w:ascii="Times New Roman;sans-serif" w:hAnsi="Times New Roman;sans-serif"/>
          <w:b w:val="false"/>
          <w:color w:val="000000"/>
          <w:sz w:val="22"/>
        </w:rPr>
        <w:t xml:space="preserve">. Each Revolving Lender and the Company agree that, in paying any drawing under a Letter of Credit, 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applicable L/C Issuer, the Administrative Agent, any of their respective Related Parties nor any correspondent, participant or assignee of such L/C Issuer shall be liable to any Revolving Lender for (i) any action taken or omitted in connection herewith at the request or with the approval of the Revolving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this assumption is not intended to, and shall not, preclude the Company’s pursuing such rights and remedies as it may have against the beneficiary or transferee at law or under any other agreement. None of the applicable L/C Issuer, the Administrative Agent, any of their respective Related Parties nor any correspondent, participant or assignee of such L/C Issuer shall be liable or responsible for any of the matters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(viii)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anything in such clauses to the contrary notwithstanding, the Company may have a claim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against such L/C Issuer, and such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Times New Roman;sans-serif" w:hAnsi="Times New Roman;sans-serif"/>
          <w:b/>
          <w:color w:val="000000"/>
          <w:sz w:val="22"/>
        </w:rPr>
        <w:t>SWIFT</w:t>
      </w:r>
      <w:r>
        <w:rPr>
          <w:color w:val="000000"/>
        </w:rPr>
        <w:t>”</w:t>
      </w:r>
      <w:r>
        <w:rPr>
          <w:rFonts w:ascii="Times New Roman;sans-serif" w:hAnsi="Times New Roman;sans-serif"/>
          <w:b w:val="false"/>
          <w:color w:val="000000"/>
          <w:sz w:val="22"/>
        </w:rPr>
        <w:t>) message or overnight courier, or any other commercially reasonable means of communicating with a beneficiary. Each L/C Issuer shall provide to the Administrative Agent a list of outstanding Letters of Credit (together with type, amounts, beneficiary, issue date, expiry date and non-renewal notice period(s) for any Auto-Extension Letters of Credit)) issued by it on a monthly basis.</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Applicability of ISP; Limitation of Liability</w:t>
      </w:r>
      <w:r>
        <w:rPr>
          <w:rFonts w:ascii="Times New Roman;sans-serif" w:hAnsi="Times New Roman;sans-serif"/>
          <w:b w:val="false"/>
          <w:color w:val="000000"/>
          <w:sz w:val="22"/>
        </w:rPr>
        <w:t>. Unless otherwise expressly agreed by the applicable L/C Issuer and the Company when a Letter of Credit is issued (including any such agreement applicable to an Existing Letter of Credit), the rules of the ISP shall apply to each standby Letter of Credit. Notwithstanding the foregoing, no L/C Issuer shall be responsible to the Company or any Subsidiary for, and no L/C Issuer’s rights and remedies against the Company or any Subsidiary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Letter of Credit Fees</w:t>
      </w:r>
      <w:r>
        <w:rPr>
          <w:rFonts w:ascii="Times New Roman;sans-serif" w:hAnsi="Times New Roman;sans-serif"/>
          <w:b w:val="false"/>
          <w:color w:val="000000"/>
          <w:sz w:val="22"/>
        </w:rPr>
        <w:t xml:space="preserve">. The Company shall pay to the Administrative Agent for the account of each Revolving Lender in accordance, subject to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with its Applicable Revolving Percentage a Letter of Credit fee (the “</w:t>
      </w:r>
      <w:r>
        <w:rPr>
          <w:rFonts w:ascii="Times New Roman;sans-serif" w:hAnsi="Times New Roman;sans-serif"/>
          <w:b w:val="false"/>
          <w:color w:val="000000"/>
          <w:sz w:val="22"/>
          <w:u w:val="single"/>
        </w:rPr>
        <w:t>Letter of Credit Fee</w:t>
      </w:r>
      <w:r>
        <w:rPr>
          <w:color w:val="000000"/>
        </w:rPr>
        <w:t>”</w:t>
      </w:r>
      <w:r>
        <w:rPr>
          <w:rFonts w:ascii="Times New Roman;sans-serif" w:hAnsi="Times New Roman;sans-serif"/>
          <w:b w:val="false"/>
          <w:color w:val="000000"/>
          <w:sz w:val="22"/>
        </w:rPr>
        <w:t xml:space="preserve">) for each Letter of Credit equal to the Applicable Rate times the daily amount available to be drawn under such Letter of Credit;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 xml:space="preserve">shall be payable, to the maximum extent permitted by applicable Law, to the other Lenders in accordance with the upward adjustments in their respective Applicable Revolving Percentages allocable to such Letter of Credit pursuant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1.07</w:t>
      </w:r>
      <w:r>
        <w:rPr>
          <w:rFonts w:ascii="Times New Roman;sans-serif" w:hAnsi="Times New Roman;sans-serif"/>
          <w:b w:val="false"/>
          <w:color w:val="000000"/>
          <w:sz w:val="22"/>
        </w:rPr>
        <w:t>. Letter of Credit Fees shall be (i) due and payable on the first Automatic Debit Date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Fronting Fee and Documentary and Processing Charges Payable to L/C Issuer</w:t>
      </w:r>
      <w:r>
        <w:rPr>
          <w:rFonts w:ascii="Times New Roman;sans-serif" w:hAnsi="Times New Roman;sans-serif"/>
          <w:b w:val="false"/>
          <w:color w:val="000000"/>
          <w:sz w:val="22"/>
        </w:rPr>
        <w:t xml:space="preserve">. The Company shall pay directly to the applicable L/C Issuer for its own account a fronting fee with respect to each Letter of Credit, at the rate per annum (i) in the case of Bank of America, N.A. as L/C Issuer, as specified in the Fee Letter, computed on the daily amount available to be drawn under such Letter of Credit on a quarterly basis in arrears and (ii) in the case of any other L/C Issuer, as agreed to among the Company and such Person. Such fronting fee shall be due and payable on the first Automatic Debit Date after the end of each March, June, September and December in respect of the most recently-ended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1.07</w:t>
      </w:r>
      <w:r>
        <w:rPr>
          <w:rFonts w:ascii="Times New Roman;sans-serif" w:hAnsi="Times New Roman;sans-serif"/>
          <w:b w:val="false"/>
          <w:color w:val="000000"/>
          <w:sz w:val="22"/>
        </w:rPr>
        <w:t>. In addition, the Company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Conflict with Issuer Documents</w:t>
      </w:r>
      <w:r>
        <w:rPr>
          <w:rFonts w:ascii="Times New Roman;sans-serif" w:hAnsi="Times New Roman;sans-serif"/>
          <w:b w:val="false"/>
          <w:color w:val="000000"/>
          <w:sz w:val="22"/>
        </w:rPr>
        <w:t>. In the event of any conflict between the terms hereof and the terms of any Issuer Document, the terms hereof shall control.</w: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Letters of Credit Issued for Subsidiaries</w:t>
      </w:r>
      <w:r>
        <w:rPr>
          <w:rFonts w:ascii="Times New Roman;sans-serif" w:hAnsi="Times New Roman;sans-serif"/>
          <w:b w:val="false"/>
          <w:color w:val="000000"/>
          <w:sz w:val="22"/>
        </w:rPr>
        <w:t>. Notwithstanding that a Letter of Credit issued or outstanding hereunder is in support of any obligations of, or is for the account of, a Subsidiary, the Company shall be obligated to reimburse the applicable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pStyle w:val="TextBody"/>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Letters of Credit Reports</w:t>
      </w:r>
      <w:r>
        <w:rPr>
          <w:rFonts w:ascii="Times New Roman;sans-serif" w:hAnsi="Times New Roman;sans-serif"/>
          <w:b w:val="false"/>
          <w:color w:val="000000"/>
          <w:sz w:val="22"/>
        </w:rPr>
        <w:t xml:space="preserve">. For so long as any Letter of Credit issued by an L/C Issuer is outstanding, such L/C Issuer shall deliver to the Administrative Agent a report in the form of </w:t>
      </w:r>
      <w:r>
        <w:rPr>
          <w:rFonts w:ascii="Times New Roman;sans-serif" w:hAnsi="Times New Roman;sans-serif"/>
          <w:b w:val="false"/>
          <w:color w:val="000000"/>
          <w:sz w:val="22"/>
          <w:u w:val="single"/>
        </w:rPr>
        <w:t>Exhibit Q</w:t>
      </w:r>
      <w:r>
        <w:rPr>
          <w:color w:val="000000"/>
        </w:rPr>
        <w:t xml:space="preserve"> </w:t>
      </w:r>
      <w:r>
        <w:rPr>
          <w:rFonts w:ascii="Times New Roman;sans-serif" w:hAnsi="Times New Roman;sans-serif"/>
          <w:b w:val="false"/>
          <w:color w:val="000000"/>
          <w:sz w:val="22"/>
        </w:rPr>
        <w:t>hereto (appropriately completed with the information for every outstanding Letter of Credit issued by such L/C Issuer) on the last Business Day of each fiscal quarter (or, at the request of the Administrative Agent, on the last Business Day of each calendar month), on each date that an L/C Credit Extension occurs with respect to any such Letter of Credit, and on each date there is a change to the information set forth on such report. The Administrative Agent shall deliver to the Lenders on a quarterly basis a report of all outstanding Letters of Credit.</w:t>
      </w:r>
    </w:p>
    <w:p>
      <w:pPr>
        <w:pStyle w:val="TextBody"/>
        <w:spacing w:lineRule="auto" w:line="240" w:before="0" w:after="240"/>
        <w:ind w:left="0" w:right="0" w:firstLine="720"/>
        <w:jc w:val="both"/>
        <w:rPr/>
      </w:pPr>
      <w:r>
        <w:rPr>
          <w:rFonts w:ascii="Times New Roman;sans-serif" w:hAnsi="Times New Roman;sans-serif"/>
          <w:b/>
          <w:color w:val="000000"/>
          <w:sz w:val="22"/>
        </w:rPr>
        <w:t>2.04</w:t>
      </w:r>
      <w:r>
        <w:rPr>
          <w:rFonts w:ascii="Times New Roman;sans-serif" w:hAnsi="Times New Roman;sans-serif"/>
          <w:b/>
          <w:color w:val="000000"/>
          <w:sz w:val="22"/>
        </w:rPr>
        <w:t>Revolving Swing Line Loans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The Revolving Swing Line</w:t>
      </w:r>
      <w:r>
        <w:rPr>
          <w:rFonts w:ascii="Times New Roman;sans-serif" w:hAnsi="Times New Roman;sans-serif"/>
          <w:b w:val="false"/>
          <w:color w:val="000000"/>
          <w:sz w:val="22"/>
        </w:rPr>
        <w:t xml:space="preserve">. Subject to the terms and conditions set forth herein (and, if a Revolving Autoborrow Agreement is in effect, in such agreement), the Revolving Swing Line Lender, in reliance upon the agreements of the other Lenders set forth in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shall make loans (each such loan, a “</w:t>
      </w:r>
      <w:r>
        <w:rPr>
          <w:rFonts w:ascii="Times New Roman;sans-serif" w:hAnsi="Times New Roman;sans-serif"/>
          <w:b w:val="false"/>
          <w:color w:val="000000"/>
          <w:sz w:val="22"/>
          <w:u w:val="single"/>
        </w:rPr>
        <w:t>Revolving Swing Line Loan</w:t>
      </w:r>
      <w:r>
        <w:rPr>
          <w:color w:val="000000"/>
        </w:rPr>
        <w:t>”</w:t>
      </w:r>
      <w:r>
        <w:rPr>
          <w:rFonts w:ascii="Times New Roman;sans-serif" w:hAnsi="Times New Roman;sans-serif"/>
          <w:b w:val="false"/>
          <w:color w:val="000000"/>
          <w:sz w:val="22"/>
        </w:rPr>
        <w:t xml:space="preserve">) to the Company from time to time on any Business Day during the Availability Period in an aggregate amount not to exceed at any time outstanding the amount of the Revolving Swing Line Sublimit, notwithstanding the fact that such Revolving Swing Line Loans, when aggregated with the Applicable Revolving Percentage of the Outstanding Amount of Revolving Committed Loans and L/C Obligations of the Revolving Lender acting as Revolving Swing Line Lender, may exceed the amount of such Revolving Lender’s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after giving effect to any Revolving Swing Line Loan, (x) the Total Outstandings shall not exceed the Aggregate Commitments, (y) the Total Revolving Outstandings shall not exceed the lesser of the Aggregate Revolving Commitments or the Revolving Borrowing Base and (z) the aggregate Outstanding Amount of the Revolving Committed Loans of any Revolving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L/C Obligations,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Revolving Swing Line Loans shall not exceed such Lender’s Revolving Commitment, and (ii) the Revolving Swing Line Lender shall not be under any obligation to make any such Revolving Swing Line Loan if any Lender is at such time a Defaulting Lender, unless the Revolving Swing Line Lender has entered into arrangements, including the delivery of Cash Collateral, satisfactory to the Revolving Swing Line Lender (in its sole discretion) with the Company or such Defaulting Lender to eliminate such Revolving Swing Line Lender’s actual or potential Fronting Exposure (after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respect to the Defaulting Lender arising from either the Revolving Swing Line Loan then proposed to be made or that Revolving Swing Line Loan and all other Revolving Swing Line Loans then outstanding as to which the Revolving Swing Line Lender has actual or potential Fronting Exposure, as it may elect in its sole discretion;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(subject to the terms of any Revolving Autoborrow Agreement that may be in effect) the Company shall not use the proceeds of any Revolving Swing Line Loan to refinance any outstanding Revolving Swing Line Loan. Within the foregoing limits, and subject to the other terms and conditions hereof, the Company may borrow under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Each Revolving Swing Line Loan may be a Base Rate Loan or a Eurodollar Rate Loan. Immediately upon the making of a Revolving Swing Line Loan, each Revolving Lender shall be deemed to, and hereby irrevocably and unconditionally agrees to, purchase from the Revolving Swing Line Lender a risk participation in such Revolving Swing Line Loan in an amount equal to the product of such Lender’s Applicable Revolving Percentage times the amount of such Revolving Swing Line Loan.</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At any time a Revolving Autoborrow Agreement is not in effect, each Revolving Swing Line Borrowing and each conversion of Revolving Swing Line Loans from one type to the other shall be made upon the Company’s irrevocable notice to the Revolving Swing Line Lender and the Administrative Agent, which may be given by (A) telephone or (B) by a Revolving Swing Line Loan Notice. Each such Revolving Swing Line Loan Notice must be received by the Revolving Swing Line Lender and the Administrative Agent not later than 1:00 p.m. on the requested borrowing date or date of any conversion of Eurodollar Rate Loans to Base Rate Loans or of any conversion of Base Rate Loans to Eurodollar Rate Loans, and in each case shall specify (i) the amount to be borrowed, which shall be a minimum of $100,000, (ii) the requested borrowing date, which shall be a Business Day and (iii) the Type of Revolving Swing Line Loan to be borrowed or to which existing Revolving Swing Line Loans are to be converted. Promptly after receipt by the Revolving Swing Line Lender of any Revolving Swing Line Loan Notice, the Revolving Swing Line Lender will confirm with the Administrative Agent (by telephone or in writing) that the Administrative Agent has also received such Revolving Swing Line Loan Notice and, if not, the Revolving Swing Line Lender will notify the Administrative Agent (by telephone or in writing) of the contents thereof. Unless the Revolving Swing Line Lender has received notice (by telephone or in writing) from the Administrative Agent (including at the request of any Revolving Lender) prior to 2:00 p.m. on the date of the proposed Revolving Swing Line Borrowing (A) directing the Revolving Swing Line Lender not to make such Revolving Swing Line Loan as a result of the limitations set forth in the proviso to the first sentence of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 xml:space="preserve">, or (B) that one or more of the applicable conditions specified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is not then satisfied, then, subject to the terms and conditions hereof, the Revolving Swing Line Lender will, not later than 3:00 p.m. on the borrowing date specified in such Revolving Swing Line Loan Notice, make the amount of its Revolving Swing Line Loan available to the Company at its office by crediting the account of the Company on the books of the Revolving Swing Line Lender in immediately available funds. If the Company fails to provide a timely Revolving Swing Line Loan Notice requesting a conversion of Eurodollar Rate Loans to Base Rate Loans, such Loans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xml:space="preserve">, continue as Eurodollar Rate Loans. If the Company fails to specify a Type of Revolving Swing Line Loan in a Revolving Swing Line Loan Notice, then the applicable Revolving Swing Line Loan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be made as a Eurodollar Rate Loan.</w:t>
      </w:r>
    </w:p>
    <w:p>
      <w:pPr>
        <w:pStyle w:val="TextBody"/>
        <w:spacing w:lineRule="auto" w:line="240" w:before="0" w:after="240"/>
        <w:ind w:left="0" w:right="0" w:firstLine="720"/>
        <w:jc w:val="both"/>
        <w:rPr/>
      </w:pPr>
      <w:r>
        <w:rPr>
          <w:rFonts w:ascii="Times New Roman;sans-serif" w:hAnsi="Times New Roman;sans-serif"/>
          <w:b w:val="false"/>
          <w:color w:val="000000"/>
          <w:sz w:val="22"/>
        </w:rPr>
        <w:t>In order to facilitate the borrowing of Revolving Swing Line Loans, the Company and the Revolving Swing Line Lender may mutually agree to, and are hereby authorized to, enter into an agreement in form and substance reasonably satisfactory to the Administrative Agent and the Revolving Swing Line Lender (the “</w:t>
      </w:r>
      <w:r>
        <w:rPr>
          <w:rFonts w:ascii="Times New Roman;sans-serif" w:hAnsi="Times New Roman;sans-serif"/>
          <w:b w:val="false"/>
          <w:color w:val="000000"/>
          <w:sz w:val="22"/>
          <w:u w:val="single"/>
        </w:rPr>
        <w:t>Revolving Autoborrow Agreement</w:t>
      </w:r>
      <w:r>
        <w:rPr>
          <w:color w:val="000000"/>
        </w:rPr>
        <w:t>”</w:t>
      </w:r>
      <w:r>
        <w:rPr>
          <w:rFonts w:ascii="Times New Roman;sans-serif" w:hAnsi="Times New Roman;sans-serif"/>
          <w:b w:val="false"/>
          <w:color w:val="000000"/>
          <w:sz w:val="22"/>
        </w:rPr>
        <w:t>) providing for the automatic advance by the Revolving Swing Line Lender of Revolving Swing Line Loans under the conditions set forth in such agreement, which shall be in addition to the conditions set forth herein (each such advance, a “</w:t>
      </w:r>
      <w:r>
        <w:rPr>
          <w:rFonts w:ascii="Times New Roman;sans-serif" w:hAnsi="Times New Roman;sans-serif"/>
          <w:b w:val="false"/>
          <w:color w:val="000000"/>
          <w:sz w:val="22"/>
          <w:u w:val="single"/>
        </w:rPr>
        <w:t>Revolving Autoborrow Advance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in no event shall the Company be entitled to Revolving Autoborrow Advances pursuant to a Revolving Autoborrow Agreement at any time a Used Vehicle Autoborrow Agreement or a New Vehicle Floorplan Offset Agreement is in place and (ii) the Company may, once per calendar year and upon 30 days advance notice to the Administrative Agent, the Revolving Swing Line Lender, the Used Vehicle Floorplan Swing Line Lender and the New Vehicle Floorplan Swing Line Lender and upon the payment to the Administrative Agent of a $10,000 fee (which fee may be waived in the sole discretion of the Administrative Agent), alternate (x) between having a Revolving Autoborrow Agreement, a Used Vehicle Autoborrow Agreement or a New Vehicle Floorplan Offset Agreement in place, or (y) between having a New Vehicle Floorplan Offset Agreement (</w:t>
      </w:r>
      <w:r>
        <w:rPr>
          <w:rFonts w:ascii="Times New Roman;sans-serif" w:hAnsi="Times New Roman;sans-serif"/>
          <w:b w:val="false"/>
          <w:color w:val="000000"/>
          <w:sz w:val="22"/>
          <w:u w:val="single"/>
        </w:rPr>
        <w:t>with</w:t>
      </w:r>
      <w:r>
        <w:rPr>
          <w:color w:val="000000"/>
        </w:rPr>
        <w:t xml:space="preserve"> </w:t>
      </w:r>
      <w:r>
        <w:rPr>
          <w:rFonts w:ascii="Times New Roman;sans-serif" w:hAnsi="Times New Roman;sans-serif"/>
          <w:b w:val="false"/>
          <w:color w:val="000000"/>
          <w:sz w:val="22"/>
        </w:rPr>
        <w:t>a New Vehicle Automated Sweep Agreement) or a New Vehicle Floorplan Offset Agreement (</w:t>
      </w:r>
      <w:r>
        <w:rPr>
          <w:rFonts w:ascii="Times New Roman;sans-serif" w:hAnsi="Times New Roman;sans-serif"/>
          <w:b w:val="false"/>
          <w:color w:val="000000"/>
          <w:sz w:val="22"/>
          <w:u w:val="single"/>
        </w:rPr>
        <w:t>without</w:t>
      </w:r>
      <w:r>
        <w:rPr>
          <w:color w:val="000000"/>
        </w:rPr>
        <w:t xml:space="preserve"> </w:t>
      </w:r>
      <w:r>
        <w:rPr>
          <w:rFonts w:ascii="Times New Roman;sans-serif" w:hAnsi="Times New Roman;sans-serif"/>
          <w:b w:val="false"/>
          <w:color w:val="000000"/>
          <w:sz w:val="22"/>
        </w:rPr>
        <w:t xml:space="preserve">a New Vehicle Automated Sweep Agreement) in place. At any time a Revolving Autoborrow Agreement is in effect, the requirements for Revolving Swing Line Borrowings set forth in the immediately preceding paragraph shall not apply, and all Revolving Swing Line Borrowings shall be made in accordance with the Revolving Autoborrow Agreement, until the right to such Revolving Swing Line Borrowings is suspended or terminated hereunder or in accordance with the terms of the Revolving Autoborrow Agreement. Solely for purposes of determining the availability of Revolving Committed Loans (other than Revolving Committed Loans used to refinance Revolving Swing Line Loans) and for determining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the Total Revolving Outstandings in connection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at any time during which a Revolving Autoborrow Agreement is in effect, the Outstanding Amount of all Revolving Swing Line Loans shall be deemed to be the amount of the Revolving Swing Line Sublimit. For purposes of any Revolving Swing Line Borrowing pursuant to the Revolving Autoborrow Agreement, all references to Bank of America shall be deemed to be a reference to Bank of America, in its capacity as Revolving Swing Line Lender hereunder.</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Refinancing of Revolving Swing Line Loans.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(i)The Revolving Swing Line Lender at any time in its sole and absolute discretion may request, on behalf of the Company (which hereby irrevocably authorizes the Revolving Swing Line Lender to so request on its behalf), that each Revolving Lender make a Eurodollar Rate Committed Loan in an amount equal to such Revolving Lender’s Applicable Revolving Percentage of the amount of Revolving Swing Line Loans then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(unless a Revolving Autoborrow Agreement is then in effect) the Revolving Swing Line Lender intends to request each Revolving Lender to make such Eurodollar Rate Committed Loans no less frequently than once in any given calendar month. Such request shall be made in writing (which written request shall be deemed to be a Revolving Committed Loan Notice for purposes hereof) and in accordance with the requirements of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without regard to the minimum and multiples specified therein for the principal amount of Eurodollar Rate Loans, but subject to the unutilized portion of the Aggregate Revolving Commitments and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Each Revolving Lender shall make an amount equal to its Applicable Revolving Percentage of the amount specified in such Revolving Committed Loan Notice available to the Administrative Agent in immediately available funds (and the Administrative Agent may apply Cash Collateral available with respect to the applicable Revolving Swing Line Loan) for the account of the Revolving Swing Line Lender at the Administrative Agent’s Office not later than 1:00 p.m. on the day specified in such Revolving Committed Loan Notice (or, if later, one Business Day after the Revolving Swing Lender delivers such notice), whereupon, subject to </w:t>
      </w:r>
      <w:r>
        <w:rPr>
          <w:rFonts w:ascii="Times New Roman;sans-serif" w:hAnsi="Times New Roman;sans-serif"/>
          <w:b w:val="false"/>
          <w:color w:val="000000"/>
          <w:sz w:val="22"/>
          <w:u w:val="single"/>
        </w:rPr>
        <w:t>Section 2.04(c)(ii)</w:t>
      </w:r>
      <w:r>
        <w:rPr>
          <w:rFonts w:ascii="Times New Roman;sans-serif" w:hAnsi="Times New Roman;sans-serif"/>
          <w:b w:val="false"/>
          <w:color w:val="000000"/>
          <w:sz w:val="22"/>
        </w:rPr>
        <w:t>, each Revolving Lender that so makes funds available shall be deemed to have made a Eurodollar Rate Committed Loan to the Company in such amount. The Administrative Agent shall remit the funds so received to the Revolving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for any reason any Revolving Swing Line Loan cannot be refinanced by such a Revolving Committed Borrowing in accordance with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request for Eurodollar Rate Revolving Committed Loans submitted by the Revolving Swing Line Lender as set forth herein shall be deemed to be a request by the Revolving Swing Line Lender that each of the Revolving Lenders fund its risk participation in the relevant Revolving Swing Line Loan and each Lender’s payment to the Administrative Agent for the account of the Revolving Swing Line Lender pursuant to </w:t>
      </w:r>
      <w:r>
        <w:rPr>
          <w:rFonts w:ascii="Times New Roman;sans-serif" w:hAnsi="Times New Roman;sans-serif"/>
          <w:b w:val="false"/>
          <w:color w:val="000000"/>
          <w:sz w:val="22"/>
          <w:u w:val="single"/>
        </w:rPr>
        <w:t>Section 2.04(c)(i)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(iii)If any Revolving Lender fails to make available to the Administrative Agent for the account of the Revolving Swing Line Lender any amount required to be paid by such Revolving Lender pursuant to the foregoing provisions of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Revolving Swing Line Lender shall be entitled to recover from such Revolving Lender (acting through the Administrative Agent), on demand, such amount with interest thereon for the period from the date such payment is required to the date on which such payment is immediately available to the Revolving Swing Line Lender at a rate per annum equal to the greater of the Federal Funds Rate and a rate determined by the Revolving Swing Line Lender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customarily charged by the Revolving Swing Line Lender in connection with the foregoing. If such Revolving Lender pays such amount (with interest and fees as aforesaid), the amount so paid shall constitute such Revolving Lender’s Revolving Committed Loan included in the relevant Revolving Committed Borrowing or funded participation in the relevant Revolving Swing Line Loan, as the case may be.. A certificate of the Revolving Swing Line Lender submitted to any Revolving Lender (through the Administrative Agent) with respect to any amounts owing under this clause (iii) shall be conclusive absent manifest error.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65</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(iv)Each Revolving Lender’s obligation to make Revolving Committed Loans or to purchase and fund risk participations in Revolving Swing Line Loans pursuant to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Revolving Lender may have against the Revolving Swing Line Lender,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Revolving Lender’s obligation to make Revolving Committed Loans pursuant to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No such funding of risk participations shall relieve or otherwise impair the obligation of the Company to repay Revolving Swing Line Loans, together with interest as provided herein.</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Repayment of Participations.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(i)At any time after any Revolving Lender has purchased and funded a risk participation in a Revolving Swing Line Loan, if the Revolving Swing Line Lender receives any payment on account of such Revolving Swing Line Loan, the Revolving Swing Line Lender will distribute to such Revolving Lender its Applicable Revolving Percentage of such payment (appropriately adjusted, in the case of interest payments, to reflect the period of time during which such Revolving Lender’s risk participation was funded) in the same funds as those received by the Revolving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any payment received by the Revolving Swing Line Lender in respect of principal or interest on any Revolving Swing Line Loan is required to be returned by the Revolving Swing Line Lender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(including pursuant to any settlement entered into by the Revolving Swing Line Lender in its discretion), each Revolving Lender shall pay to the Revolving Swing Line Lender its Applicable Revolving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at a rate per annum equal to the Federal Funds Rate. The Administrative Agent will make such demand upon the request of the Revolving Swing Line Lender. The obligations of the Revolving Lenders under this clause shall survive the payment in full of the Obligations and the termination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Interest for Account of Revolving Swing Line Lender</w:t>
      </w:r>
      <w:r>
        <w:rPr>
          <w:rFonts w:ascii="Times New Roman;sans-serif" w:hAnsi="Times New Roman;sans-serif"/>
          <w:b w:val="false"/>
          <w:color w:val="000000"/>
          <w:sz w:val="22"/>
        </w:rPr>
        <w:t xml:space="preserve">. The Revolving Swing Line Lender shall be responsible for invoicing the Company for interest on the Revolving Swing Line Loans. Until each Revolving Lender funds its Eurodollar Rate Committed Loan or risk participation pursuant to this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to refinance such Revolving Lender’s Applicable Revolving Percentage of any Revolving Swing Line Loan, interest in respect of such Applicable Revolving Percentage shall be solely for the account of the Revolving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Payments Directly to Revolving Swing Line Lender</w:t>
      </w:r>
      <w:r>
        <w:rPr>
          <w:rFonts w:ascii="Times New Roman;sans-serif" w:hAnsi="Times New Roman;sans-serif"/>
          <w:b w:val="false"/>
          <w:color w:val="000000"/>
          <w:sz w:val="22"/>
        </w:rPr>
        <w:t>. The Company shall make all payments of principal and interest in respect of the Revolving Swing Line Loans directly to the Revolving Swing Line Lender.</w:t>
      </w:r>
    </w:p>
    <w:p>
      <w:pPr>
        <w:pStyle w:val="TextBody"/>
        <w:spacing w:lineRule="auto" w:line="240" w:before="0" w:after="240"/>
        <w:ind w:left="0" w:right="0" w:firstLine="720"/>
        <w:jc w:val="both"/>
        <w:rPr/>
      </w:pPr>
      <w:r>
        <w:rPr>
          <w:rFonts w:ascii="Times New Roman;sans-serif" w:hAnsi="Times New Roman;sans-serif"/>
          <w:b/>
          <w:color w:val="000000"/>
          <w:sz w:val="22"/>
        </w:rPr>
        <w:t>2.05</w:t>
      </w:r>
      <w:r>
        <w:rPr>
          <w:rFonts w:ascii="Times New Roman;sans-serif" w:hAnsi="Times New Roman;sans-serif"/>
          <w:b/>
          <w:color w:val="000000"/>
          <w:sz w:val="22"/>
        </w:rPr>
        <w:t>New Vehicle Floorplan Committed Loans</w:t>
      </w:r>
      <w:r>
        <w:rPr>
          <w:rFonts w:ascii="Times New Roman;sans-serif" w:hAnsi="Times New Roman;sans-serif"/>
          <w:b w:val="false"/>
          <w:color w:val="000000"/>
          <w:sz w:val="22"/>
        </w:rPr>
        <w:t>. Subject to the terms and conditions set forth herein, each New Vehicle Floorplan Lender severally agrees to make loans (each such loan, a “</w:t>
      </w:r>
      <w:r>
        <w:rPr>
          <w:rFonts w:ascii="Times New Roman;sans-serif" w:hAnsi="Times New Roman;sans-serif"/>
          <w:b w:val="false"/>
          <w:color w:val="000000"/>
          <w:sz w:val="22"/>
          <w:u w:val="single"/>
        </w:rPr>
        <w:t>New Vehicle Floorplan Committed Loan</w:t>
      </w:r>
      <w:r>
        <w:rPr>
          <w:color w:val="000000"/>
        </w:rPr>
        <w:t>”</w:t>
      </w:r>
      <w:r>
        <w:rPr>
          <w:rFonts w:ascii="Times New Roman;sans-serif" w:hAnsi="Times New Roman;sans-serif"/>
          <w:b w:val="false"/>
          <w:color w:val="000000"/>
          <w:sz w:val="22"/>
        </w:rPr>
        <w:t xml:space="preserve">) to the New Vehicle Borrowers from time to time, on any Business Day during the Availability Period, in an aggregate amount outstanding not to exceed at any time the amount of such Lender’s New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after giving effect to any New Vehicle Floorplan Committed Borrowing, (i) the Total Outstandings shall not exceed the Aggregate Commitments, (ii) the Total New Vehicle Floorplan Outstandings shall not exceed the Aggregate New Vehicle Floorplan Commitments, (iii) the aggregate Outstanding Amount of the New Vehicle Floorplan Committed Loans of any New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New Vehicle Floorplan Percentage of the Outstanding Amount of all New Vehicle Floorplan Swing Line Loans shall not exceed such Lender’s New Vehicle Floorplan Commitment, (iv) such Loan, together with the aggregate Outstanding Amount of all other New Vehicle Floorplan Loans made on or prior to such date shall not exceed any applicable Within Line Limitation unless otherwise consented to by the Administrative Agent in its sole discretion, and (v) on a per New Vehicle basis, such Loan shall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not exceed 100% of the original invoice price (including freight charges) of each New Vehicle financed,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proceeds of New Vehicle Floorplan Committed Loans shall only be used by a New Vehicle Borrower to pay the purchase price of New Vehicles owned by such New Vehicle Borrower, including dealer trade, Demonstrators, Rental Vehicles and Fleet Vehicles (including the refinancing of New Vehicle Floorplan Swing Line Loans or other new vehicle floorplan loans that had financed (or refinanced) such New Vehicle Borrower’s purchase of such New Vehicles). Within the limits of each New Vehicle Floorplan Lender’s New Vehicle Floorplan Commitment, and subject to the other terms and conditions hereof, the New Vehicle Borrowers may borrow under this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New Vehicle Floorplan Committed Loans may be Base Rate Loans or Eurodollar Rate Loans, as further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herein. Notwithstanding anything herein to the contrary, after giving effect to any Borrowing or conversion, all outstanding New Vehicle Floorplan Loans of the Company and the New Vehicle Borrowers must be of the same Type. </w:t>
      </w:r>
    </w:p>
    <w:p>
      <w:pPr>
        <w:pStyle w:val="TextBody"/>
        <w:spacing w:lineRule="auto" w:line="240" w:before="0" w:after="240"/>
        <w:ind w:left="0" w:right="0" w:firstLine="720"/>
        <w:jc w:val="both"/>
        <w:rPr/>
      </w:pPr>
      <w:r>
        <w:rPr>
          <w:rFonts w:ascii="Times New Roman;sans-serif" w:hAnsi="Times New Roman;sans-serif"/>
          <w:b/>
          <w:color w:val="000000"/>
          <w:sz w:val="22"/>
        </w:rPr>
        <w:t>2.06</w:t>
      </w:r>
      <w:r>
        <w:rPr>
          <w:rFonts w:ascii="Times New Roman;sans-serif" w:hAnsi="Times New Roman;sans-serif"/>
          <w:b/>
          <w:color w:val="000000"/>
          <w:sz w:val="22"/>
        </w:rPr>
        <w:t>Borrowings, Conversions and Continuations of New Vehicle Floorplan Committed Loans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New Vehicle Floorplan Committed Borrowing and each conversion of New Vehicle Floorplan Committed Loans from one Type to the other shall be made (i) upon the Company’s irrevocable notice to the Administrative Agent, which may be given by (A) telephone, or (B) a New Vehicle Floorplan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promptly by delivery to the Administrative Agent of a New Vehicle Floorplan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New Vehicle Floorplan Committed Borrowings at the request of the Company shall only be permitted on the Closing Date, during the Asbury New Vehicle Control Period, and otherwise at times permitted by the Administrative Agent in its sole discretion and (ii) at any time other than during an Asbury New Vehicle Control Period, upon the request of the New Vehicle Floorplan Swing Line Lender (on behalf of the Company) to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entire proceeds of any New Vehicle Floorplan Committed Loans requested by the New Vehicle Floorplan Swing Line Lender pursuant to this clause (ii) shall be applied to repay the Outstanding Amount of the New Vehicle Floorplan Swing Line Loans or to honor Payoff Letter Commitments. Each such New Vehicle Floorplan Committed Loan Notice from the Company must be received by the Administrative Agent not later than 1:00 p.m. (A) one Business Day prior to the requested date of any New Vehicle Floorplan Borrowing of Eurodollar Rate Loans or of any conversion of Eurodollar Rate Loans to Base Rate Committed Loans or of any conversion of Base Rate Committed Loans to Eurodollar Rate Loans, and (B) one Business Day prior to the requested date of any Borrowing of Base Rate Committed Loans. Each New Vehicle Floorplan Committed Loan Notice from the Company shall specify (W) whether the Company is requesting a New Vehicle Floorplan Committed Borrowing, a conversion of New Vehicle Floorplan Committed Loans from one Type to the other, (X) the requested date of the Borrowing or conversion, as the case may be (which shall be a Business Day), (Y) the principal amount of New Vehicle Floorplan Committed Loans to be borrowed or converted, and (Z) the Type of New Vehicle Floorplan Committed Loans to be borrowed If the Company fails to provide a timely New Vehicle Floorplan Committed Loan Notice requesting a conversion of Eurodollar Rate Loans to Base Rate Loans, such Loans shall continue as Eurodollar Rate Loans. If the Company fails to specify a Type of New Vehicle Floorplan Committed Loan in a New Vehicle Floorplan Committed Loan Notice then the applicable New Vehicle Floorplan Committed Loans shall be made as, or converted to, Eurodollar Rate Loans.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During an Asbury New Vehicle Control</w:t>
      </w:r>
      <w:r>
        <w:rPr>
          <w:color w:val="FF0000"/>
        </w:rPr>
        <w:t xml:space="preserve"> </w:t>
      </w:r>
      <w:r>
        <w:rPr>
          <w:rFonts w:ascii="Times New Roman;sans-serif" w:hAnsi="Times New Roman;sans-serif"/>
          <w:b w:val="false"/>
          <w:color w:val="000000"/>
          <w:sz w:val="22"/>
        </w:rPr>
        <w:t xml:space="preserve">Period, the proceeds of any New Vehicle Floorplan Committed Loans requested by the Company shall be applied only to repay the Outstanding Amount of the New Vehicle Floorplan Swing Line Loans or to honor Payoff Letter Commitments.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Following receipt of a New Vehicle Floorplan Committed Loan Notice, the Administrative Agent shall promptly notify each New Vehicle Floorplan Lender of the amount of its Applicable New Vehicle Floorplan Percentage of the applicable New Vehicle Floorplan Committed Loans. Each such Lender shall make the amount of its New Vehicle Floorplan Committed Loan available to the Administrative Agent in immediately available funds at the Administrative Agent’s Office not later than 1:00 p.m. on the Business Day specified in the applicable New Vehicle Floorplan Committed Loan Notice. Upon satisfaction of the applicable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(and, if such Borrowing is an initial Credit Extension,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the Administrative Agent shall make all funds so received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available to the New Vehicle Swing Line Lender who will repay New Vehicle Floorplan Swing Line Loans or honor Payoff Letter Commitments.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Administrative Agent shall promptly notify the Company and the New Vehicle Floorplan Lenders of the interest rate applicable to any Eurodollar Rate Loans upon determination of such interest rate. At any time that Base Rate Loans are outstanding, the Administrative Agent shall notify the Company and the New Vehicle Floorplan Lenders of any change in Bank of America’s prime rate used in determining the Base Rate promptly following the public announcement of such change.</w:t>
      </w:r>
    </w:p>
    <w:p>
      <w:pPr>
        <w:pStyle w:val="TextBody"/>
        <w:spacing w:lineRule="auto" w:line="240" w:before="0" w:after="240"/>
        <w:ind w:left="0" w:right="0" w:firstLine="720"/>
        <w:jc w:val="both"/>
        <w:rPr/>
      </w:pPr>
      <w:r>
        <w:rPr>
          <w:rFonts w:ascii="Times New Roman;sans-serif" w:hAnsi="Times New Roman;sans-serif"/>
          <w:b/>
          <w:color w:val="000000"/>
          <w:sz w:val="22"/>
        </w:rPr>
        <w:t>2.07</w:t>
      </w:r>
      <w:r>
        <w:rPr>
          <w:rFonts w:ascii="Times New Roman;sans-serif" w:hAnsi="Times New Roman;sans-serif"/>
          <w:b/>
          <w:color w:val="000000"/>
          <w:sz w:val="22"/>
        </w:rPr>
        <w:t>New Vehicle Floorplan Swing Line Loan</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The New Vehicle Floorplan Swing Line</w:t>
      </w:r>
      <w:r>
        <w:rPr>
          <w:rFonts w:ascii="Times New Roman;sans-serif" w:hAnsi="Times New Roman;sans-serif"/>
          <w:b w:val="false"/>
          <w:color w:val="000000"/>
          <w:sz w:val="22"/>
        </w:rPr>
        <w:t xml:space="preserve">. Subject to the terms and conditions set forth herein, the New Vehicle Floorplan Swing Line Lender agrees, in reliance upon the agreements of the other New Vehicle Floorplan Lenders set forth in this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to make loans (each such loan, a “</w:t>
      </w:r>
      <w:r>
        <w:rPr>
          <w:rFonts w:ascii="Times New Roman;sans-serif" w:hAnsi="Times New Roman;sans-serif"/>
          <w:b w:val="false"/>
          <w:color w:val="000000"/>
          <w:sz w:val="22"/>
          <w:u w:val="single"/>
        </w:rPr>
        <w:t>New Vehicle Floorplan Swing Line Loan</w:t>
      </w:r>
      <w:r>
        <w:rPr>
          <w:color w:val="000000"/>
        </w:rPr>
        <w:t>”</w:t>
      </w:r>
      <w:r>
        <w:rPr>
          <w:rFonts w:ascii="Times New Roman;sans-serif" w:hAnsi="Times New Roman;sans-serif"/>
          <w:b w:val="false"/>
          <w:color w:val="000000"/>
          <w:sz w:val="22"/>
        </w:rPr>
        <w:t xml:space="preserve">) to the New Vehicle Borrowers from time to time on any Business Day during the Availability Period in an aggregate amount not to exceed at any time outstanding the amount of the New Vehicle Floorplan Swing Line Sublimit, notwithstanding the fact that such New Vehicle Floorplan Swing Line Loans, when aggregated with the Applicable New Vehicle Floorplan Percentage of the Outstanding Amount of New Vehicle Floorplan Committed Loans of the Lender acting as New Vehicle Floorplan Swing Line Lender, may exceed the amount of such Lender’s New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after giving effect to any New Vehicle Floorplan Swing Line Loan, (w) subject to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 xml:space="preserve">, the Total Outstandings shall not exceed the Aggregate Commitments, (x) subject to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 xml:space="preserve">, the Total New Vehicle Floorplan Outstandings shall not exceed the Aggregate New Vehicle Floorplan Commitments, (y) subject to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 xml:space="preserve">, the aggregate Outstanding Amount of the New Vehicle Floorplan Committed Loans of any New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New Vehicle Floorplan Percentage of the Outstanding Amount of all New Vehicle Floorplan Swing Line Loans shall not exceed such Lender’s New Vehicle Floorplan Commitment, and (z) such Loan, together with the aggregate Outstanding Amount of all other New Vehicle Floorplan Swing Line Loans made on or prior to such date shall not exceed any applicable Within Line Limitation unless otherwise consented to by the New Vehicle Floorplan Swing Line Lender in its sole discretion, and (ii) the New Vehicle Floorplan Swing Line Lender shall not be under any obligation to make any such New Vehicle Floorplan Swing Line Loan if any Lender is at such time a Defaulting Lender, unless the New Vehicle Floorplan Swing Line Lender has entered into arrangements, including the delivery of Cash Collateral, satisfactory to the New Vehicle Floorplan Swing Line Lender (in its sole discretion) with the Company or such Defaulting Lender to eliminate such New Vehicle Floorplan Swing Line Lender’s actual or potential Fronting Exposure (after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respect to the Defaulting Lender arising from either the New Vehicle Floorplan Swing Line Loan then proposed to be made or that New Vehicle Floorplan Swing Line Loan and all other New Vehicle Floorplan Swing Line Loans then outstanding as to which the New Vehicle Floorplan Swing Line Lender has actual or potential Fronting Exposure, as it may elect in its sole discretion;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proceeds of New Vehicle Floorplan Swing Line Loans shall only be used (x) to honor New Vehicle Floorplan drafts presented by the applicable vehicle manufacturer or distributor to the New Vehicle Floorplan Swing Line Lender pursuant to Payment Commitments, (y) to honor obligations arising under Payoff Letter Commitments or (z) otherwise to pay the purchase price of New Vehicles. Within the foregoing limits, and subject to the other terms and conditions hereof, the New Vehicle Borrowers may borrow under this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Each New Vehicle Floorplan Swing Line Loan may be a Base Rate Loan or a Eurodollar Rate Loan. Except as otherwise provided with respect to New Vehicle Floorplan Overdrafts, immediately upon the making of a New Vehicle Floorplan Swing Line Loan, each New Vehicle Floorplan Lender shall be deemed to, and hereby irrevocably and unconditionally agrees to, purchase from the New Vehicle Floorplan Swing Line Lender a risk participation in such New Vehicle Floorplan Swing Line Loan in an amount equal to the product of such Lender’s Applicable New Vehicle Floorplan Percentage times the amount of such New Vehicle Floorplan Swing Line Loan.</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Payment Commitments and Payoff Letter Commitments.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New Vehicle Floorplan Swing Line Lender is authorized to make New Vehicle Floorplan Swing Line Loans for the account of the New Vehicle Borrowers directly to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certain individual manufacturers or distributors that provide New Vehicles to the New Vehicle Borrowers, in accordance with the terms and conditions of the respective Payment Commitment agreed to between the New Vehicle Floorplan Swing Line Lender and each such manufacturer or distributor, and without any further notice as otherwise required in this Section. Each New Vehicle Floorplan Swing Line Loan made pursuant to a Payment Commitment shall be a Eurodollar Rate Loan at the time of such Borrowing, but may be converted to a Base Rate Loan in accordance with the terms of this Agreement. The New Vehicle Borrowers shall be and remain jointly and severally liable to the New Vehicle Floorplan Swing Line Lender, or the New Vehicle Floorplan Lenders, as applicable, for all payments made to a manufacturer or distributor pursuant to a Payment Commitment.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New Vehicle Floorplan Swing Line Lender is authorized to make New Vehicle Floorplan Swing Line Loans for the account of the New Vehicle Borrowers directly to certain individual financial institutions that financed New Vehicles owned by or being acquired by the New Vehicle Borrowers, in accordance with the terms and conditions of the respective Payoff Letter Commitment agreed to between the New Vehicle Floorplan Swing Line Lender and each such financial institution, and without any further notice as otherwise required in this Section. Each New Vehicle Floorplan Swing Line Loan made pursuant to a Payoff Letter Commitment shall be a Eurodollar Rate Loan at the time of such Borrowing, but may be converted to a Base Rate Loan in accordance with the terms of this Agreement. The New Vehicle Borrowers shall be and remain jointly and severally liable to the New Vehicle Floorplan Swing Line Lender, or the New Vehicle Floorplan Lenders, as applicable, for all payments made to a financial institution pursuant to a Payoff Letter Commitment.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Borrowing Procedures</w:t>
      </w:r>
      <w:r>
        <w:rPr>
          <w:rFonts w:ascii="Times New Roman;sans-serif" w:hAnsi="Times New Roman;sans-serif"/>
          <w:b w:val="false"/>
          <w:color w:val="000000"/>
          <w:sz w:val="22"/>
        </w:rPr>
        <w:t xml:space="preserve">. Each New Vehicle Floorplan Swing Line Borrowing shall be made pursuant to (i) a Payment Commitment, (ii) a Payoff Letter Commitment, or (iii) in the case of a dealer trade, bulk purchase or other purchase of any New Vehicle, pursuant to the Floorplan On-line System in accordance with practices agreed to from time to time between the New Vehicle Floorplan Swing Line Lender and the applicable New Vehicle Borrower, including requirements that the Company or applicable New Vehicle Borrower shall have entered information relating to the applicable New Vehicles (including the dollar amount of such Loans and the make, model and vehicle identification number of such New Vehicles) into the Floorplan On-Line System. The New Vehicle Floorplan Swing Line Lender will promptly make the amount of its New Vehicle Floorplan Swing Line Loan available directly to the manufacturer or distributor pursuant to a Payment Commitment in accordance with industry practices, to the financial institution pursuant to a Payoff Letter Commitment, or to the applicable New Vehicle Borrower by crediting the account of such New Vehicle Borrower. In the case of a dealer trade, bulk purchase or other purchase of any New Vehicle, funds will be credited to the applicable New Vehicle Borrower’s deposit account at the following times depending on whether the deposit account is maintained at Bank of America and when the request is entered pursuant to the Floorplan On-Line System: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the deposit account is maintained at Bank of America, the funds will be credited to the account (A) on the same Business Day if the request is entered prior to 7:00 p.m. on that day, or (B) on the next Business Day if the request is entered at or after 7:00 p.m. or is entered on a day that is not a Business Day;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(ii)if the deposit account is maintained at any Person other than Bank of America, the funds will be credited to the account (A) on the following Business Day if the request is received prior to 7:00 p.m. on a Business Day, or (B) two Business Days later if the request is entered at or after 7:00 p.m. or is entered on a day that is not a Business Day.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either case of clause (i) or (ii), interest shall not accrue on such funds until they are deposited to such applicable deposit account.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 Payment Commitment, Payoff Letter Commitment or the Floorplan On-Line System (as applicable) fails to specify the Type of New Vehicle Floorplan Swing Line Loan, the applicable New Vehicle Floorplan Swing Line Loan shall be made as a Eurodollar Rate Loan. Each conversion of New Vehicle Swing Line Loans from one Type to the other shall be pursuant to an irrevocable notice to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69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New Vehicle Floorplan Swing Line Lender by delivery of a New Vehicle Floorplan Swing Line Loan Notice appropriately completed and signed by a Responsible Officer of the Company. If the Company fails to provide a timely New Vehicle Floorplan Swing Line Loan Notice requesting a conversion of Eurodollar Rate Loans to Base Rate Loans, such Loans shall continue as Eurodollar Rate Loans. Notwithstanding anything herein to the contrary, after giving effect to any Borrowing or conversion, all outstanding New Vehicle Floorplan Loans of the Company and the New Vehicle Borrowers must be of the same Type.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Asbury New Vehicle Control Period Balances</w:t>
      </w:r>
      <w:r>
        <w:rPr>
          <w:rFonts w:ascii="Times New Roman;sans-serif" w:hAnsi="Times New Roman;sans-serif"/>
          <w:b w:val="false"/>
          <w:color w:val="000000"/>
          <w:sz w:val="22"/>
        </w:rPr>
        <w:t>. If at any time during an Asbury New Vehicle Control Period (i) the amount of any repayment of New Vehicle Floorplan Swing Line Loans exceeds (ii) an amount equal to the Outstanding Amount of New Vehicle Floorplan Swing Line Loans (such excess of the amount in clause (i) over the amount in clause (ii) being referred to as the “</w:t>
      </w:r>
      <w:r>
        <w:rPr>
          <w:rFonts w:ascii="Times New Roman;sans-serif" w:hAnsi="Times New Roman;sans-serif"/>
          <w:b w:val="false"/>
          <w:color w:val="000000"/>
          <w:sz w:val="22"/>
          <w:u w:val="single"/>
        </w:rPr>
        <w:t>Negative New Vehicle Swing Line Balance</w:t>
      </w:r>
      <w:r>
        <w:rPr>
          <w:color w:val="000000"/>
        </w:rPr>
        <w:t>”</w:t>
      </w:r>
      <w:r>
        <w:rPr>
          <w:rFonts w:ascii="Times New Roman;sans-serif" w:hAnsi="Times New Roman;sans-serif"/>
          <w:b w:val="false"/>
          <w:color w:val="000000"/>
          <w:sz w:val="22"/>
        </w:rPr>
        <w:t xml:space="preserve">), the Outstanding Amount of such New Vehicle Floorplan Swing Line Loans shall be reduced by the amount of such repayment, and (Y) the Negative New Vehicle Swing Line Balance shall be held by the New Vehicle Swing Line Lender to prepay subsequent New Vehicle Floorplan Swing Line Loans or, (Z) if and when the Company submits a notice of prepayment of New Vehicle Committed Loans pursuant to </w:t>
      </w:r>
      <w:r>
        <w:rPr>
          <w:rFonts w:ascii="Times New Roman;sans-serif" w:hAnsi="Times New Roman;sans-serif"/>
          <w:b w:val="false"/>
          <w:color w:val="000000"/>
          <w:sz w:val="22"/>
          <w:u w:val="single"/>
        </w:rPr>
        <w:t>Section 2.13(c)</w:t>
      </w:r>
      <w:r>
        <w:rPr>
          <w:rFonts w:ascii="Times New Roman;sans-serif" w:hAnsi="Times New Roman;sans-serif"/>
          <w:b w:val="false"/>
          <w:color w:val="000000"/>
          <w:sz w:val="22"/>
        </w:rPr>
        <w:t xml:space="preserve">, the Negative New Vehicle Swing Line Balance may be used to prepay such New Vehicle Floorplan Committed Loans. Until the Company submits such notice and such Loans are prepaid in accordance with clause (Z), such New Vehicle Floorplan Committed Loans shall continue to accrue interest as otherwise set forth in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New Vehicle Floorplan Committed Loans in a principal amount equal to the Negative New Vehicle Swing Line Balance, the interest on such portion (the “</w:t>
      </w:r>
      <w:r>
        <w:rPr>
          <w:rFonts w:ascii="Times New Roman;sans-serif" w:hAnsi="Times New Roman;sans-serif"/>
          <w:b w:val="false"/>
          <w:color w:val="000000"/>
          <w:sz w:val="22"/>
          <w:u w:val="single"/>
        </w:rPr>
        <w:t>Specified Committed Loan Interest</w:t>
      </w:r>
      <w:r>
        <w:rPr>
          <w:color w:val="000000"/>
        </w:rPr>
        <w:t>”</w:t>
      </w:r>
      <w:r>
        <w:rPr>
          <w:rFonts w:ascii="Times New Roman;sans-serif" w:hAnsi="Times New Roman;sans-serif"/>
          <w:b w:val="false"/>
          <w:color w:val="000000"/>
          <w:sz w:val="22"/>
        </w:rPr>
        <w:t xml:space="preserve">) shall be collected by the New Vehicle Floorplan Swing Line Lender (at the rate then applicable to New Vehicle Floorplan Committed Loans), with such amounts billed monthly and subsequently withdrawn by the New Vehicle Swing Line Lender from the Company’s bank account with Bank of America five (5) Business Days after delivery of such bill. The New Vehicle Swing Line Lender and the Administrative Agent shall agree on procedures so that (either prior to or promptly after the collection thereof) the New Vehicle Swing Line Lender shall turn over to the Administrative Agent the Specified Committed Loan Interest for application to the New Vehicle Floorplan Committed Loans. </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Authorization</w:t>
      </w:r>
      <w:r>
        <w:rPr>
          <w:rFonts w:ascii="Times New Roman;sans-serif" w:hAnsi="Times New Roman;sans-serif"/>
          <w:b w:val="false"/>
          <w:color w:val="000000"/>
          <w:sz w:val="22"/>
        </w:rPr>
        <w:t xml:space="preserve">. Each New Vehicle Borrower and the Company authorizes the New Vehicle Floorplan Swing Line Lender (and each New Vehicle Floorplan Lender consents to such authorization), in consultation with the Company, to enter into, modify or terminate Payment Commitments and Payoff Letter Commitments (in each case, in the New Vehicle Floorplan Swing Line Lender’s discretion) and to advise each manufacturer or distributor or financial institution, as the case may be, that provides New Vehicles to such New Vehicle Borrower of any change or termination which may occur with respect to the New Vehicle Floorplan Swing Line. </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Refinancing of New Vehicle Floorplan Swing Line Loans.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(i)The New Vehicle Floorplan Swing Line Lender at any time in its sole and absolute discretion may request (and during an Asbury New Vehicle Control Period, upon direction of the Company shall request), on behalf of the New Vehicle Borrowers (which hereby irrevocably authorize the New Vehicle Floorplan Swing Line Lender to so request on their behalf), that each New Vehicle Floorplan Lender make a Eurodollar Rate Committed Loan in an amount equal to such Lender’s Applicable New Vehicle Floorplan Percentage of the amount of New Vehicle Floorplan Swing Line Loans that the New Vehicle Floorplan Swing Line Lender (or the Company, during an Asbury New Vehicle Control Period), in its sole discretion chooses to refinance (including, subject to </w:t>
      </w:r>
      <w:r>
        <w:rPr>
          <w:rFonts w:ascii="Times New Roman;sans-serif" w:hAnsi="Times New Roman;sans-serif"/>
          <w:b w:val="false"/>
          <w:color w:val="000000"/>
          <w:sz w:val="22"/>
          <w:u w:val="single"/>
        </w:rPr>
        <w:t>Section 2.08(b)(iv)</w:t>
      </w:r>
      <w:r>
        <w:rPr>
          <w:rFonts w:ascii="Times New Roman;sans-serif" w:hAnsi="Times New Roman;sans-serif"/>
          <w:b w:val="false"/>
          <w:color w:val="000000"/>
          <w:sz w:val="22"/>
        </w:rPr>
        <w:t xml:space="preserve">, any New Vehicle Floorplan Overdrafts). The New Vehicle Floorplan Swing Line Lender intends to request each New Vehicle Floorplan Lender to make such Eurodollar Rate Committed Loans no less frequently than once in any given calendar month. Such request shall be made in writing (which written request shall be deemed to be a New Vehicle Floorplan Committed Loan Notice for purposes hereof) and in accordance with the requirements of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without regard to the minimum and multiples specified therein for the principal amount of Eurodollar Rate Loans, but subject to the unutilized portion of the Aggregate New Vehicle Floorplan Commitments and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Each New Vehicle Floorplan Lender shall make an amount equal to its Applicable New Vehicle Floorplan Percentage of the amount specified in such New Vehicle Floorplan Committed Loan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Notice available to the Administrative Agent in immediately available funds for the account of the New Vehicle Floorplan Swing Line Lender at the Administrative Agent’s Office not later than 1:00 p.m. on the day specified in such New Vehicle Floorplan Committed Loan Notice (or, if later, one Business Day after the New Vehicle Swing Line Lender delivers such notice), whereupon, subject to </w:t>
      </w:r>
      <w:r>
        <w:rPr>
          <w:rFonts w:ascii="Times New Roman;sans-serif" w:hAnsi="Times New Roman;sans-serif"/>
          <w:b w:val="false"/>
          <w:color w:val="000000"/>
          <w:sz w:val="22"/>
          <w:u w:val="single"/>
        </w:rPr>
        <w:t>Section 2.08(b)(iv)</w:t>
      </w:r>
      <w:r>
        <w:rPr>
          <w:rFonts w:ascii="Times New Roman;sans-serif" w:hAnsi="Times New Roman;sans-serif"/>
          <w:b w:val="false"/>
          <w:color w:val="000000"/>
          <w:sz w:val="22"/>
        </w:rPr>
        <w:t>, each New Vehicle Floorplan Lender that so makes funds available shall be deemed to have made a Eurodollar Rate Committed Loan to the Company in such amount. The Administrative Agent shall remit the funds so received to the New Vehicle Floorplan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for any reason any New Vehicle Floorplan Swing Line Loan (other than a New Vehicle Floorplan Overdraft) cannot be refinanced by such a New Vehicle Floorplan Committed Borrowing in accordance with </w:t>
      </w:r>
      <w:r>
        <w:rPr>
          <w:rFonts w:ascii="Times New Roman;sans-serif" w:hAnsi="Times New Roman;sans-serif"/>
          <w:b w:val="false"/>
          <w:color w:val="000000"/>
          <w:sz w:val="22"/>
          <w:u w:val="single"/>
        </w:rPr>
        <w:t>Section 2.07(c)(i)</w:t>
      </w:r>
      <w:r>
        <w:rPr>
          <w:rFonts w:ascii="Times New Roman;sans-serif" w:hAnsi="Times New Roman;sans-serif"/>
          <w:b w:val="false"/>
          <w:color w:val="000000"/>
          <w:sz w:val="22"/>
        </w:rPr>
        <w:t xml:space="preserve">, the request for Eurodollar Rate New Vehicle Floorplan Committed Loans submitted by the New Vehicle Floorplan Swing Line Lender as set forth herein shall be deemed to be a request by the New Vehicle Floorplan Swing Line Lender that each of the New Vehicle Floorplan Lenders fund its risk participation in the relevant New Vehicle Floorplan Swing Line Loan and each Lender’s payment to the Administrative Agent for the account of the New Vehicle Floorplan Swing Line Lender pursuant to </w:t>
      </w:r>
      <w:r>
        <w:rPr>
          <w:rFonts w:ascii="Times New Roman;sans-serif" w:hAnsi="Times New Roman;sans-serif"/>
          <w:b w:val="false"/>
          <w:color w:val="000000"/>
          <w:sz w:val="22"/>
          <w:u w:val="single"/>
        </w:rPr>
        <w:t>Section 2.07(c)(i)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(iii)If any New Vehicle Floorplan Lender fails to make available to the Administrative Agent for the account of the New Vehicle Floorplan Swing Line Lender any amount required to be paid by such New Vehicle Floorplan Lender pursuant to the foregoing provisions of this </w:t>
      </w:r>
      <w:r>
        <w:rPr>
          <w:rFonts w:ascii="Times New Roman;sans-serif" w:hAnsi="Times New Roman;sans-serif"/>
          <w:b w:val="false"/>
          <w:color w:val="000000"/>
          <w:sz w:val="22"/>
          <w:u w:val="single"/>
        </w:rPr>
        <w:t>Section 2.07(c)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2.07(c)(i)</w:t>
      </w:r>
      <w:r>
        <w:rPr>
          <w:rFonts w:ascii="Times New Roman;sans-serif" w:hAnsi="Times New Roman;sans-serif"/>
          <w:b w:val="false"/>
          <w:color w:val="000000"/>
          <w:sz w:val="22"/>
        </w:rPr>
        <w:t xml:space="preserve">, the New Vehicle Floorplan Swing Line Lender shall be entitled to recover from such New Vehicle Floorplan Lender (acting through the Administrative Agent), on demand, such amount with interest thereon for the period from the date such payment is required to the date on which such payment is immediately available to the New Vehicle Floorplan Swing Line Lender at a rate per annum equal to the greater of the Federal Funds Rate and a rate determined by the New Vehicle Floorplan Swing Line Lender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charged by the New Vehicle Swing Line Lender in connection with the foregoing. If such New Vehicle Floorplan Lender pays such amount (with interest and fees as aforesaid), the amount so paid shall constitute such New Vehicle Floorplan Lender’s New Vehicle Floorplan Committed Loan included in the relevant New Vehicle Floorplan Committed Borrowing or funded participation in the relevant New Vehicle Floorplan Swing Line Loan, as the case may be. A certificate of the New Vehicle Floorplan Swing Line Lender submitted to any New Vehicle Floorplan Lender (through the Administrative Agent) with respect to any amounts owing under this clause (iii) shall be conclusive absent manifest error.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(iv)Each New Vehicle Floorplan Lender’s obligation to make New Vehicle Floorplan Committed Loans or to purchase and fund risk participations in New Vehicle Floorplan Swing Line Loans pursuant to this </w:t>
      </w:r>
      <w:r>
        <w:rPr>
          <w:rFonts w:ascii="Times New Roman;sans-serif" w:hAnsi="Times New Roman;sans-serif"/>
          <w:b w:val="false"/>
          <w:color w:val="000000"/>
          <w:sz w:val="22"/>
          <w:u w:val="single"/>
        </w:rPr>
        <w:t>Section 2.07(c)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New Vehicle Floorplan Lender may have against the New Vehicle Floorplan Swing Line Lender,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New Vehicle Floorplan Lender’s obligation to make New Vehicle Floorplan Committed Loans pursuant to this </w:t>
      </w:r>
      <w:r>
        <w:rPr>
          <w:rFonts w:ascii="Times New Roman;sans-serif" w:hAnsi="Times New Roman;sans-serif"/>
          <w:b w:val="false"/>
          <w:color w:val="000000"/>
          <w:sz w:val="22"/>
          <w:u w:val="single"/>
        </w:rPr>
        <w:t>Section 2.07(c)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No such funding of risk participations shall relieve or otherwise impair the obligation of the New Vehicle Borrowers (jointly and severally) to repay New Vehicle Floorplan Swing Line Loans, together with interest as provided herein.</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Repayment of Participations.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(i)At any time after any New Vehicle Floorplan Lender has purchased and funded a risk participation in a New Vehicle Floorplan Swing Line Loan, if the New Vehicle Floorplan Swing Line Lender receives any payment on account of such New Vehicle Floorplan Swing Line Loan, the New Vehicle Floorplan Swing Line Lender will distribute to such Lender its Applicable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New Vehicle Floorplan Percentage of such payment (appropriately adjusted, in the case of interest payments, to reflect the period of time during which such Lender’s risk participation was funded) in the same funds as those received by the New Vehicle Floorplan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any payment received by the New Vehicle Floorplan Swing Line Lender in respect of principal or interest on any New Vehicle Floorplan Swing Line Loan (other than a New Vehicle Floorplan Overdraft) is required to be returned by the New Vehicle Floorplan Swing Line Lender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(including pursuant to any settlement entered into by the New Vehicle Floorplan Swing Line Lender in its discretion), each New Vehicle Floorplan Lender shall pay to the New Vehicle Floorplan Swing Line Lender its Applicable New Vehicle Floorplan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at a rate per annum equal to the Federal Funds Rate. The Administrative Agent will make such demand upon the request of the New Vehicle Floorplan Swing Line Lender. The obligations of the New Vehicle Floorplan Lenders under this clause shall survive the payment in full of the Obligations and the termination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Interest for Account of New Vehicle Floorplan Swing Line Lender</w:t>
      </w:r>
      <w:r>
        <w:rPr>
          <w:rFonts w:ascii="Times New Roman;sans-serif" w:hAnsi="Times New Roman;sans-serif"/>
          <w:b w:val="false"/>
          <w:color w:val="000000"/>
          <w:sz w:val="22"/>
        </w:rPr>
        <w:t xml:space="preserve">. The New Vehicle Floorplan Swing Line Lender shall be responsible for invoicing the New Vehicle Borrowers for interest on the New Vehicle Floorplan Swing Line Loans. Until each New Vehicle Floorplan Lender funds its Eurodollar Rate Committed Loan or risk participation pursuant to this </w:t>
      </w:r>
      <w:r>
        <w:rPr>
          <w:rFonts w:ascii="Times New Roman;sans-serif" w:hAnsi="Times New Roman;sans-serif"/>
          <w:b w:val="false"/>
          <w:color w:val="000000"/>
          <w:sz w:val="22"/>
          <w:u w:val="single"/>
        </w:rPr>
        <w:t>Section 2.07</w:t>
      </w:r>
      <w:r>
        <w:rPr>
          <w:color w:val="000000"/>
        </w:rPr>
        <w:t xml:space="preserve"> </w:t>
      </w:r>
      <w:r>
        <w:rPr>
          <w:rFonts w:ascii="Times New Roman;sans-serif" w:hAnsi="Times New Roman;sans-serif"/>
          <w:b w:val="false"/>
          <w:color w:val="000000"/>
          <w:sz w:val="22"/>
        </w:rPr>
        <w:t>to refinance such Lender’s Applicable New Vehicle Floorplan Percentage of any New Vehicle Floorplan Swing Line Loan, interest in respect of such Applicable New Vehicle Floorplan Percentage shall be solely for the account of the New Vehicle Floorplan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Payments Directly to New Vehicle Floorplan Swing Line Lender</w:t>
      </w:r>
      <w:r>
        <w:rPr>
          <w:rFonts w:ascii="Times New Roman;sans-serif" w:hAnsi="Times New Roman;sans-serif"/>
          <w:b w:val="false"/>
          <w:color w:val="000000"/>
          <w:sz w:val="22"/>
        </w:rPr>
        <w:t>. Each New Vehicle Borrower shall make all payments of principal and interest in respect of the New Vehicle Floorplan Swing Line Loans directly to the New Vehicle Floorplan Swing Line Lender.</w:t>
      </w:r>
    </w:p>
    <w:p>
      <w:pPr>
        <w:pStyle w:val="TextBody"/>
        <w:spacing w:lineRule="auto" w:line="240" w:before="0" w:after="240"/>
        <w:ind w:left="0" w:right="0" w:firstLine="720"/>
        <w:jc w:val="both"/>
        <w:rPr/>
      </w:pPr>
      <w:r>
        <w:rPr>
          <w:rFonts w:ascii="Times New Roman;sans-serif" w:hAnsi="Times New Roman;sans-serif"/>
          <w:b/>
          <w:color w:val="000000"/>
          <w:sz w:val="22"/>
        </w:rPr>
        <w:t>2.08</w:t>
      </w:r>
      <w:r>
        <w:rPr>
          <w:rFonts w:ascii="Times New Roman;sans-serif" w:hAnsi="Times New Roman;sans-serif"/>
          <w:b/>
          <w:color w:val="000000"/>
          <w:sz w:val="22"/>
        </w:rPr>
        <w:t>New Vehicle Floorplan Overdrafts</w:t>
      </w:r>
      <w:r>
        <w:rPr>
          <w:rFonts w:ascii="Times New Roman;sans-serif" w:hAnsi="Times New Roman;sans-serif"/>
          <w:b w:val="false"/>
          <w:color w:val="000000"/>
          <w:sz w:val="22"/>
        </w:rPr>
        <w:t xml:space="preserve">. Notwithstanding the foregoing provisions of </w:t>
      </w:r>
      <w:r>
        <w:rPr>
          <w:rFonts w:ascii="Times New Roman;sans-serif" w:hAnsi="Times New Roman;sans-serif"/>
          <w:b w:val="false"/>
          <w:color w:val="000000"/>
          <w:sz w:val="22"/>
          <w:u w:val="single"/>
        </w:rPr>
        <w:t>Sections 2.05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2.07</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if the New Vehicle Floorplan Swing Line Lender has (acting in its discretion), according to the terms hereof, taken action to suspend or terminate Payment Commitments and/or Payoff Letter Commitments and such Payment Commitments and/or Payoff Letter Commitments, as the case may be, have in fact been suspended or terminated in accordance with their respective terms, then the New Vehicle Floorplan Swing Line Lender shall not fund any draft with respect to such Payment Commitments and/or Payoff Letter Commitments;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on any day the conditions precedent set forth in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have been satisfied and a draft with respect to a Payment Commitment or a Payoff Letter Commitment is presented for payment, the payment of which would cause (i) (A) the Outstanding Amount of all New Vehicle Floorplan Committed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Outstanding Amount of all New Vehicle Floorplan Swing Line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(C) the aggregate principal amount of all Requests for Credit Extensions of New Vehicle Floorplan Loans outstanding as of such day to exceed the Aggregate New Vehicle Floorplan Commitments as of such day or (ii) the Outstanding Amount of New Vehicle Floorplan Swing Line Loans to exceed the New Vehicle Floorplan Swing Line Sublimit, then, in such event: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or any New Vehicle Borrower may either immediately reduce any pending Requests for Credit Extensions (if any) of a New Vehicle Floorplan Committed Loan or make a payment of principal on New Vehicle Floorplan Committed Loans and/or New Vehicle Floorplan Swing Line Loans in an amount which would prevent the aggregate amounts described in (A), (B) and (C) above from exceeding the Aggregate New Vehicle Floorplan Commitments; or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(ii)the Company may request an increase in the Aggregate New Vehicle Floorplan Commitments pursuant to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and such Payment Commitment or Payoff Letter Commitment shall be funded to the extent of such increase in accordance with said Section; or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72</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(iii)regardless of whether the conditions of </w:t>
      </w:r>
      <w:r>
        <w:rPr>
          <w:rFonts w:ascii="Times New Roman;sans-serif" w:hAnsi="Times New Roman;sans-serif"/>
          <w:b w:val="false"/>
          <w:color w:val="000000"/>
          <w:sz w:val="22"/>
          <w:u w:val="single"/>
        </w:rPr>
        <w:t>Sections 4.02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4.03</w:t>
      </w:r>
      <w:r>
        <w:rPr>
          <w:color w:val="000000"/>
        </w:rPr>
        <w:t xml:space="preserve"> </w:t>
      </w:r>
      <w:r>
        <w:rPr>
          <w:rFonts w:ascii="Times New Roman;sans-serif" w:hAnsi="Times New Roman;sans-serif"/>
          <w:b w:val="false"/>
          <w:color w:val="000000"/>
          <w:sz w:val="22"/>
        </w:rPr>
        <w:t>have otherwise been met, the New Vehicle Floorplan Swing Line Lender may in its sole and absolute discretion, but shall not be obligated to, fund the payment due under such Payment Commitment or Payoff Letter Commitment in whole or in part (the amount of any such funding made by the New Vehicle Floorplan Swing Line Lender, the “</w:t>
      </w:r>
      <w:r>
        <w:rPr>
          <w:rFonts w:ascii="Times New Roman;sans-serif" w:hAnsi="Times New Roman;sans-serif"/>
          <w:b w:val="false"/>
          <w:color w:val="000000"/>
          <w:sz w:val="22"/>
          <w:u w:val="single"/>
        </w:rPr>
        <w:t>New Vehicle Floorplan Overdraft</w:t>
      </w:r>
      <w:r>
        <w:rPr>
          <w:color w:val="000000"/>
        </w:rPr>
        <w:t>”</w:t>
      </w:r>
      <w:r>
        <w:rPr>
          <w:rFonts w:ascii="Times New Roman;sans-serif" w:hAnsi="Times New Roman;sans-serif"/>
          <w:b w:val="false"/>
          <w:color w:val="000000"/>
          <w:sz w:val="22"/>
        </w:rPr>
        <w:t xml:space="preserve">). Nothing in this Agreement shall be construed as a commitment by or as requiring the New Vehicle Floorplan Swing Line Lender to fund any such New Vehicle Floorplan Overdraft; or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(iv)within five (5) Business Days after funding a New Vehicle Floorplan Overdraft, if the conditions to making a New Vehicle Floorplan Committed Loan are satisfied, the New Vehicle Floorplan Swing Line Lender (or, during any Asbury New Vehicle Control Period, the Company) shall request a New Vehicle Floorplan Committed Borrowing pursuant to </w:t>
      </w:r>
      <w:r>
        <w:rPr>
          <w:rFonts w:ascii="Times New Roman;sans-serif" w:hAnsi="Times New Roman;sans-serif"/>
          <w:b w:val="false"/>
          <w:color w:val="000000"/>
          <w:sz w:val="22"/>
          <w:u w:val="single"/>
        </w:rPr>
        <w:t>Section 2.06(a)</w:t>
      </w:r>
      <w:r>
        <w:rPr>
          <w:color w:val="000000"/>
        </w:rPr>
        <w:t xml:space="preserve"> </w:t>
      </w:r>
      <w:r>
        <w:rPr>
          <w:rFonts w:ascii="Times New Roman;sans-serif" w:hAnsi="Times New Roman;sans-serif"/>
          <w:b w:val="false"/>
          <w:color w:val="000000"/>
          <w:sz w:val="22"/>
        </w:rPr>
        <w:t xml:space="preserve">in an amount equal to the lesser of (i) the amount of such New Vehicle Floorplan Overdraft and (ii) the maximum amount then available to be borrowed under the New Vehicle Floorplan Commitments, and such New Vehicle Floorplan Committed Borrowing shall be applied to refinance the amount of such New Vehicle Floorplan Overdraft (or portion thereof, applicable). </w:t>
      </w:r>
    </w:p>
    <w:p>
      <w:pPr>
        <w:pStyle w:val="TextBody"/>
        <w:spacing w:lineRule="auto" w:line="240" w:before="0" w:after="240"/>
        <w:ind w:left="0" w:right="0" w:firstLine="720"/>
        <w:jc w:val="both"/>
        <w:rPr/>
      </w:pPr>
      <w:r>
        <w:rPr>
          <w:rFonts w:ascii="Times New Roman;sans-serif" w:hAnsi="Times New Roman;sans-serif"/>
          <w:b/>
          <w:color w:val="000000"/>
          <w:sz w:val="22"/>
        </w:rPr>
        <w:t>2.09</w:t>
      </w:r>
      <w:r>
        <w:rPr>
          <w:rFonts w:ascii="Times New Roman;sans-serif" w:hAnsi="Times New Roman;sans-serif"/>
          <w:b/>
          <w:color w:val="000000"/>
          <w:sz w:val="22"/>
        </w:rPr>
        <w:t>Electronic Processing</w:t>
      </w:r>
      <w:r>
        <w:rPr>
          <w:rFonts w:ascii="Times New Roman;sans-serif" w:hAnsi="Times New Roman;sans-serif"/>
          <w:b w:val="false"/>
          <w:color w:val="000000"/>
          <w:sz w:val="22"/>
        </w:rPr>
        <w:t>. The New Vehicle Borrowers may request New Vehicle Floorplan Loans electronically by access to Administrative Agent’s web based floorplan on-line system (“</w:t>
      </w:r>
      <w:r>
        <w:rPr>
          <w:rFonts w:ascii="Times New Roman;sans-serif" w:hAnsi="Times New Roman;sans-serif"/>
          <w:b w:val="false"/>
          <w:color w:val="000000"/>
          <w:sz w:val="22"/>
          <w:u w:val="single"/>
        </w:rPr>
        <w:t>Floorplan On-line System</w:t>
      </w:r>
      <w:r>
        <w:rPr>
          <w:color w:val="000000"/>
        </w:rPr>
        <w:t>”</w:t>
      </w:r>
      <w:r>
        <w:rPr>
          <w:rFonts w:ascii="Times New Roman;sans-serif" w:hAnsi="Times New Roman;sans-serif"/>
          <w:b w:val="false"/>
          <w:color w:val="000000"/>
          <w:sz w:val="22"/>
        </w:rPr>
        <w:t xml:space="preserve">) in accordance with and subject to the terms and conditions established between the Administrative Agent, the New Vehicle Floorplan Swing Line Lender and the Company from time to time. In connection with the New Vehicle Floorplan Facility, interest, curtailments and other payments pursuant to </w:t>
      </w:r>
      <w:r>
        <w:rPr>
          <w:rFonts w:ascii="Times New Roman;sans-serif" w:hAnsi="Times New Roman;sans-serif"/>
          <w:b w:val="false"/>
          <w:color w:val="000000"/>
          <w:sz w:val="22"/>
          <w:u w:val="single"/>
        </w:rPr>
        <w:t>Section 2.16(b)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2.18(b)</w:t>
      </w:r>
      <w:r>
        <w:rPr>
          <w:color w:val="000000"/>
        </w:rPr>
        <w:t xml:space="preserve"> </w:t>
      </w:r>
      <w:r>
        <w:rPr>
          <w:rFonts w:ascii="Times New Roman;sans-serif" w:hAnsi="Times New Roman;sans-serif"/>
          <w:b w:val="false"/>
          <w:color w:val="000000"/>
          <w:sz w:val="22"/>
        </w:rPr>
        <w:t xml:space="preserve">or the Fee Letter or otherwise in respect of each New Vehicle, shall be automatically debited (i) if the applicable New Vehicle Borrower’s account is with Bank of America, on the Automatic Debit Date of each month and (ii) if the applicable New Vehicle Borrower’s account is not with Bank of America, one Business Day prior to the Automatic Debit Date of each month, in each case, pursuant to on-line procedures established and agreed to from time to time between such New Vehicle Borrower, the Administrative Agent and the New Vehicle Floorplan Swing Line Lender, including without limitation, automatic debits to cure Out of Balance conditions pursuant to </w:t>
      </w:r>
      <w:r>
        <w:rPr>
          <w:rFonts w:ascii="Times New Roman;sans-serif" w:hAnsi="Times New Roman;sans-serif"/>
          <w:b w:val="false"/>
          <w:color w:val="000000"/>
          <w:sz w:val="22"/>
          <w:u w:val="single"/>
        </w:rPr>
        <w:t>Section 8.04</w:t>
      </w:r>
      <w:r>
        <w:rPr>
          <w:rFonts w:ascii="Times New Roman;sans-serif" w:hAnsi="Times New Roman;sans-serif"/>
          <w:b w:val="false"/>
          <w:color w:val="000000"/>
          <w:sz w:val="22"/>
        </w:rPr>
        <w:t>. The New Vehicle Borrowers have requested access to the Floorplan On-line System to retrieve monthly bills, to permit the New Vehicle Borrowers to access certain account information relating to the New Vehicle Floorplan Loans and to facilitate the making of any payments or advances on the New Vehicle Floorplan Loans by authorizing the Administrative Agent and the New Vehicle Floorplan Swing Line Lender to debit or credit any one or more of the New Vehicle Borrowers’ deposit accounts with the Administrative Agent or the New Vehicle Floorplan Swing Line Lender. In consideration for the Administrative Agent’s and the New Vehicle Floorplan Swing Line Lender’s granting to the New Vehicle Borrowers access to the Floorplan On-line System to view loan account information and make payments, the New Vehicle Borrowers acknowledge responsibility for the security of such New Vehicle Borrowers’ passwords and other information necessary for access to Floorplan On-line System, and the Company and each New Vehicle Borrower fully, finally, and forever releases and discharges the Administrative Agent, the New Vehicle Floorplan Swing Line Lender and their employees, agents, and representatives from any and all causes of action, claims, debts, demands, and liabilities, of whatever kind or nature, in law or equity that the Company or any New Vehicle Borrower may now or hereafter have, in any way relating to the Company or any New Vehicle’s Borrower’s access to, or use of, the Floorplan On-line System, other than those arising out of the gross negligence, bad faith or willful misconduct of the Administrative Agent or the New Vehicle Floorplan Swing Line Lender.</w:t>
      </w:r>
    </w:p>
    <w:p>
      <w:pPr>
        <w:pStyle w:val="TextBody"/>
        <w:spacing w:lineRule="auto" w:line="240" w:before="0" w:after="240"/>
        <w:ind w:left="0" w:right="0" w:firstLine="720"/>
        <w:jc w:val="both"/>
        <w:rPr/>
      </w:pPr>
      <w:r>
        <w:rPr>
          <w:rFonts w:ascii="Times New Roman;sans-serif" w:hAnsi="Times New Roman;sans-serif"/>
          <w:b/>
          <w:color w:val="000000"/>
          <w:sz w:val="22"/>
        </w:rPr>
        <w:t>2.10</w:t>
      </w:r>
      <w:r>
        <w:rPr>
          <w:rFonts w:ascii="Times New Roman;sans-serif" w:hAnsi="Times New Roman;sans-serif"/>
          <w:b/>
          <w:color w:val="000000"/>
          <w:sz w:val="22"/>
        </w:rPr>
        <w:t>Used Vehicle Floorplan Committed Loans</w:t>
      </w:r>
      <w:r>
        <w:rPr>
          <w:rFonts w:ascii="Times New Roman;sans-serif" w:hAnsi="Times New Roman;sans-serif"/>
          <w:b w:val="false"/>
          <w:color w:val="000000"/>
          <w:sz w:val="22"/>
        </w:rPr>
        <w:t>. Subject to the terms and conditions set forth herein, each Used Vehicle Floorplan Lender severally agrees to make loans (each such loan, a “</w:t>
      </w:r>
      <w:r>
        <w:rPr>
          <w:rFonts w:ascii="Times New Roman;sans-serif" w:hAnsi="Times New Roman;sans-serif"/>
          <w:b w:val="false"/>
          <w:color w:val="000000"/>
          <w:sz w:val="22"/>
          <w:u w:val="single"/>
        </w:rPr>
        <w:t>Used Vehicle Floorplan Committed Loan</w:t>
      </w:r>
      <w:r>
        <w:rPr>
          <w:color w:val="000000"/>
        </w:rPr>
        <w:t>”</w:t>
      </w:r>
      <w:r>
        <w:rPr>
          <w:rFonts w:ascii="Times New Roman;sans-serif" w:hAnsi="Times New Roman;sans-serif"/>
          <w:b w:val="false"/>
          <w:color w:val="000000"/>
          <w:sz w:val="22"/>
        </w:rPr>
        <w:t xml:space="preserve">) to the Used Vehicle Borrowers from time to time, on any Business Day during the Availability Period, in an aggregate amount not to exceed at any time outstanding the amount of such Used Vehicle Floorplan Lender’s Used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after giving effect to any Used Vehicle Floorplan Committed Borrowing, (i) the Total Outstandings shall not exceed the Aggregate Commitments, (ii) the Total Used Vehicle Floorplan Outstandings shall not exceed the lesser of the Aggregate Used Vehicle Floorplan Commitments or the Used Vehicle Floorplan Borrowing Base, and (iii) the aggregate Outstanding Amount of the Used Vehicle Floorplan Committed Loans of any Used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Used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Vehicle Floorplan Percentage of the Outstanding Amount of all Used Vehicle Floorplan Swing Line Loans shall not exceed such Lender’s Used Vehicle Floorplan Commitment. Within the limits of each Used Vehicle Floorplan Lender’s Used Vehicle Floorplan Commitment, and subject to the other terms and conditions hereof, the Used Vehicle Borrowers may borrow under this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Used Vehicle Floorplan Committed Loans may be Base Rate Loans or Eurodollar Rate Loans, as further provided herein.</w:t>
      </w:r>
    </w:p>
    <w:p>
      <w:pPr>
        <w:pStyle w:val="TextBody"/>
        <w:spacing w:lineRule="auto" w:line="240" w:before="0" w:after="240"/>
        <w:ind w:left="0" w:right="0" w:firstLine="720"/>
        <w:jc w:val="both"/>
        <w:rPr/>
      </w:pPr>
      <w:r>
        <w:rPr>
          <w:rFonts w:ascii="Times New Roman;sans-serif" w:hAnsi="Times New Roman;sans-serif"/>
          <w:b/>
          <w:color w:val="000000"/>
          <w:sz w:val="22"/>
        </w:rPr>
        <w:t>2.11</w:t>
      </w:r>
      <w:r>
        <w:rPr>
          <w:rFonts w:ascii="Times New Roman;sans-serif" w:hAnsi="Times New Roman;sans-serif"/>
          <w:b/>
          <w:color w:val="000000"/>
          <w:sz w:val="22"/>
        </w:rPr>
        <w:t>Borrowings, Conversions and Continuations of Used Vehicle Floorplan Committed Loans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Used Vehicle Floorplan Committed Borrowing and each conversion of Used Vehicle Floorplan Committed Loans from one Type to the other, shall be made upon the Company’s irrevocable notice to the Administrative Agent, which may be given by (A) telephone, or (B) a Used Vehicle Floorplan Committed Loan Notice; provided that any telephonic notice must be confirmed promptly by delivery to the Administrative Agent of a Used Vehicle Floorplan Committed Loan Notice. Each such Used Vehicle Floorplan Committed Loan Notice must be received by the Administrative Agent not later than 1:00 p.m. (i) one Business Day prior to the requested date of any Used Vehicle Floorplan Borrowing of Eurodollar Rate Loans or of any conversion of Eurodollar Rate Loans to Base Rate Committed Loans or of any conversion of Base Rate Committed Loans to Eurodollar Rate Loans, and (ii) one Business Day prior to the requested date of any Borrowing of Base Rate Committed Loans. Each Borrowing of or conversion to Eurodollar Rate Loans shall be in a principal amount of $5,000,000 or a whole multiple of $1,000,000 in excess thereof. Except as provided in Section 2.11(c), each Borrowing of or conversion to Base Rate Committed Loans shall be in a principal amount of $1,000,000 or a whole multiple of $100,000 in excess thereof. Each Used Vehicle Floorplan Committed Loan Notice shall specify (i) whether the Company is requesting a Used Vehicle Floorplan Committed Borrowing, a conversion of Used Vehicle Floorplan Committed Loans from one Type to the other, (ii) the requested date of the Borrowing or conversion, as the case may be (which shall be a Business Day), (iii) the principal amount of Used Vehicle Floorplan Committed Loans to be borrowed or converted, (iv) the Type of Used Vehicle Floorplan Committed Loans to be borrowed or to which existing Used Vehicle Floorplan Committed Loans are to be converted and (v) the applicable Borrower. If the Company fails to provide a timely Used Vehicle Floorplan Committed Loan Notice requesting a conversion of Eurodollar Rate Loans to Base Rate Loans, such Loans shall, subject to Article III, continue as Eurodollar Rate Loans. If the Company fails to specify a Type of Used Vehicle Floorplan Committed Loan in a Used Vehicle Floorplan Committed Loan Notice, then the applicable Used Vehicle Floorplan Committed Loans shall, subject to Article III, be made as, or converted to, Eurodollar Rate Loans.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Following receipt of a Used Vehicle Floorplan Committed Loan Notice, the Administrative Agent shall promptly notify each Used Vehicle Floorplan Lender of the amount of its Applicable Used Vehicle Floorplan Percentage of the applicable Used Vehicle Floorplan Committed Loans. Each Lender shall make the amount of its Used Vehicle Floorplan Committed Loan available to the Administrative Agent in immediately available funds at the Administrative Agent’s Office not later than 1:00 p.m. on the Business Day specified in the applicable Used Vehicle Floorplan Committed Loan Notice. Upon satisfaction of the applicable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(and, if such Borrowing is an initial Credit Extension,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the Administrative Agent shall make all funds so received available to the applicable Borrower in like funds as received by the Administrative Agent by crediting the account of such Borrower on the books of Bank of America with the amount of such funds.</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Administrative Agent shall promptly notify the Company and the Used Vehicle Floorplan Lenders of the interest rate applicable to any Eurodollar Rate Loans upon determination of such interest rate. At any time that Base Rate Loans are outstanding, the Administrative Agent shall notify the Company and the Used Vehicle Floorplan Lenders of any change in Bank of America’s prime rate used in determining the Base Rate promptly following the public announcement of such change.</w:t>
      </w:r>
    </w:p>
    <w:p>
      <w:pPr>
        <w:pStyle w:val="TextBody"/>
        <w:spacing w:lineRule="auto" w:line="240" w:before="0" w:after="240"/>
        <w:ind w:left="0" w:right="0" w:firstLine="720"/>
        <w:jc w:val="both"/>
        <w:rPr/>
      </w:pPr>
      <w:r>
        <w:rPr>
          <w:rFonts w:ascii="Times New Roman;sans-serif" w:hAnsi="Times New Roman;sans-serif"/>
          <w:b/>
          <w:color w:val="000000"/>
          <w:sz w:val="22"/>
        </w:rPr>
        <w:t>2.12</w:t>
      </w:r>
      <w:r>
        <w:rPr>
          <w:rFonts w:ascii="Times New Roman;sans-serif" w:hAnsi="Times New Roman;sans-serif"/>
          <w:b/>
          <w:color w:val="000000"/>
          <w:sz w:val="22"/>
        </w:rPr>
        <w:t>Used Vehicle Floorplan Swing Line Loans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The Used Vehicle Floorplan Swing Line</w:t>
      </w:r>
      <w:r>
        <w:rPr>
          <w:rFonts w:ascii="Times New Roman;sans-serif" w:hAnsi="Times New Roman;sans-serif"/>
          <w:b w:val="false"/>
          <w:color w:val="000000"/>
          <w:sz w:val="22"/>
        </w:rPr>
        <w:t xml:space="preserve">. Subject to the terms and conditions set forth herein and in the Used Vehicle Autoborrow Agreement, the Used Vehicle Floorplan Swing Line Lender agrees, in reliance upon the agreements of the other Used Vehicle Floorplan Lenders set forth in this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to make loans (each such loan, a “</w:t>
      </w:r>
      <w:r>
        <w:rPr>
          <w:rFonts w:ascii="Times New Roman;sans-serif" w:hAnsi="Times New Roman;sans-serif"/>
          <w:b w:val="false"/>
          <w:color w:val="000000"/>
          <w:sz w:val="22"/>
          <w:u w:val="single"/>
        </w:rPr>
        <w:t>Used Vehicle Floorplan Swing Line Loan</w:t>
      </w:r>
      <w:r>
        <w:rPr>
          <w:color w:val="000000"/>
        </w:rPr>
        <w:t>”</w:t>
      </w:r>
      <w:r>
        <w:rPr>
          <w:rFonts w:ascii="Times New Roman;sans-serif" w:hAnsi="Times New Roman;sans-serif"/>
          <w:b w:val="false"/>
          <w:color w:val="000000"/>
          <w:sz w:val="22"/>
        </w:rPr>
        <w:t xml:space="preserve">) to the Company from time to time on any Business Day during the Availability Period in an aggregate amount not to exceed at any time outstanding the amount of the Used Vehicle Floorplan Swing Line Sublimit, notwithstanding the fact that such Used Vehicle Floorplan Swing Line Loans, when aggregated with the Applicable Used Vehicle Floorplan Percentage of the Outstanding Amount of Used Vehicle Floorplan Committed Loans of the Used Vehicle Floorplan Lender acting as Used Vehicle Floorplan Swing Line Lender, may exceed the amount of such Used Vehicle Floorplan Lender’s Used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after giving effect to any Used Vehicle Floorplan Swing Line Loan (x) the Total Outstandings shall not exceed the Aggregate Commitments, (y) the Total Used Vehicle Floorplan Outstandings shall not exceed the lesser of the Aggregate Used Vehicle Floorplan Commitments or the Used Vehicle Floorplan Borrowing Base, and (z) the aggregate Outstanding Amount of the Used Vehicle Floorplan Committed Loans of any Used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Used Vehicle Floorplan Percentage of the Outstanding Amount of all Used Vehicle Floorplan Swing Line Loans shall not exceed such Lender’s Used Vehicle Floorplan Commitment, and (ii) the Used Vehicle Floorplan Swing Line Lender shall not be under any obligation to make any such Used Vehicle Floorplan Swing Line Loan if any Lender is at such time a Defaulting Lender, unless the Used Vehicle Floorplan Swing Line Lender has entered into arrangements, including the delivery of Cash Collateral, satisfactory to the Used Vehicle Floorplan Swing Line Lender (in its sole discretion) with the Company or such Defaulting Lender to eliminate such Used Vehicle Floorplan Swing Line Lender’s actual or potential Fronting Exposure (after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respect to the Defaulting Lender arising from either the Used Vehicle Floorplan Swing Line Loan then proposed to be made or that Used Vehicle Floorplan Swing Line Loan and all other Used Vehicle Floorplan Swing Line Loans then outstanding as to which the Used Vehicle Floorplan Swing Line Lender has actual or potential Fronting Exposure, as it may elect in its sole discretion;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(subject to the terms of any Used Vehicle Autoborrow Agreement that may be in effect) the Company shall not use the proceeds of any Used Vehicle Floorplan Swing Line Loan to refinance any outstanding Used Vehicle Floorplan Swing Line Loan. Within the foregoing limits, and subject to the other terms and conditions hereof, the Company, may borrow under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Each Used Vehicle Floorplan Swing Line Loan may be a Base Rate Loan or a Eurodollar Rate Loan. Immediately upon the making of a Used Vehicle Floorplan Swing Line Loan, each Used Vehicle Floorplan Lender shall be deemed to, and hereby irrevocably and unconditionally agrees to, purchase from the Used Vehicle Floorplan Swing Line Lender a risk participation in such Used Vehicle Floorplan Swing Line Loan in an amount equal to the product of such Lender’s Applicable Used Vehicle Floorplan Percentage times the amount of such Used Vehicle Floorplan Swing Line Loan.</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Borrowing Procedures</w:t>
      </w:r>
      <w:r>
        <w:rPr>
          <w:rFonts w:ascii="Times New Roman;sans-serif" w:hAnsi="Times New Roman;sans-serif"/>
          <w:b w:val="false"/>
          <w:color w:val="000000"/>
          <w:sz w:val="22"/>
        </w:rPr>
        <w:t xml:space="preserve">. At any time a Used Vehicle Autoborrow Agreement is not in effect, each Used Vehicle Floorplan Swing Line Borrowing and each conversion of Used Vehicle Floorplan Swing Line Loans from one type to the other shall be made upon the Company’s irrevocable notice to the Used Vehicle Swing Line Lender and the Administrative Agent, which may be given by (A) telephone or (B) by a Used Vehicle Floorplan Swing Line Loan Notice. Each such Used Vehicle Floorplan Swing Line Loan Notice must be received by the Used Vehicle Swing Line Lender and the Administrative Agent not later than 1:00 p.m. on the requested borrowing date or date of any conversion of Eurodollar Rate Loans to Base Rate Loans or of any conversion of Base Rate Loans to Eurodollar Rate Loans, and in each case shall specify (i) the amount to be borrowed, which shall be a minimum of $100,000, (ii) the requested borrowing date, which shall be a Business Day and (iii) the Type of Used Vehicle Floorplan Swing Line Loan to be borrowed or to which existing Used Vehicle Floorplan Swing Line Loans are to be converted. Promptly after receipt by the Used Vehicle Swing Line Lender of any Used Vehicle Floorplan Swing Line Loan Notice, the Used Vehicle Swing Line Lender will confirm with the Administrative Agent (by telephone or in writing) that the Administrative Agent has also received such Used Vehicle Floorplan Swing Line Loan Notice and, if not, the Used Vehicle Swing Line Lender will notify the Administrative Agent (by telephone or in writing) of the contents thereof. Unless the Used Vehicle Swing Line Lender has received notice (by telephone or in writing) from the Administrative Agent (including at the request of any Used Vehicle Floorplan Lender) prior to 2:00 p.m. on the date of the proposed Used Vehicle Floorplan Swing Line Borrowing (A) directing the Used Vehicle Swing Line Lender not to make such Used Vehicle Floorplan Swing Line Loan as a result of the limitations set forth in the proviso to the first sentence of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 xml:space="preserve">, or (B) that one or more of the applicable conditions specified in Article IV is not then satisfied, then, subject to the terms and conditions hereof, the Used Vehicle Swing Line Lender will, not later than 3:00 p.m. on the borrowing date specified in such Used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Vehicle Floorplan Swing Line Loan Notice, make the amount of its Used Vehicle Floorplan Swing Line Loan available to the Company at its office by crediting the account of the Company on the books of the Used Vehicle Swing Line Lender in immediately available funds. If the Company fails to provide a timely Used Vehicle Floorplan Swing Line Loan Notice requesting a conversion of Eurodollar Rate Loans to Base Rate Loans, such Loans shall, subject to Article III, continue as Eurodollar Rate Loans. If the Company fails to specify a Type of Used Vehicle Floorplan Swing Line Loan in a Used Vehicle Floorplan Swing Line Loan Notice, then the applicable Used Vehicle Floorplan Swing Line Loan shall, subject to Article III, be made as a Eurodollar Rate Loan.</w:t>
      </w:r>
    </w:p>
    <w:p>
      <w:pPr>
        <w:pStyle w:val="TextBody"/>
        <w:spacing w:lineRule="auto" w:line="240" w:before="0" w:after="240"/>
        <w:ind w:left="0" w:right="0" w:firstLine="720"/>
        <w:jc w:val="both"/>
        <w:rPr/>
      </w:pPr>
      <w:r>
        <w:rPr>
          <w:rFonts w:ascii="Times New Roman;sans-serif" w:hAnsi="Times New Roman;sans-serif"/>
          <w:b w:val="false"/>
          <w:color w:val="000000"/>
          <w:sz w:val="22"/>
        </w:rPr>
        <w:t>In order to facilitate the borrowing of Used Vehicle Floorplan Swing Line Loans, the Company and the Used Vehicle Floorplan Swing Line Lender may mutually agree to, and are hereby authorized to, enter into an Autoborrow Agreement in form and substance reasonably satisfactory to the Administrative Agent and the Used Vehicle Floorplan Swing Line Lender (the “</w:t>
      </w:r>
      <w:r>
        <w:rPr>
          <w:rFonts w:ascii="Times New Roman;sans-serif" w:hAnsi="Times New Roman;sans-serif"/>
          <w:b w:val="false"/>
          <w:color w:val="000000"/>
          <w:sz w:val="22"/>
          <w:u w:val="single"/>
        </w:rPr>
        <w:t>Used Vehicle Autoborrow Agreement</w:t>
      </w:r>
      <w:r>
        <w:rPr>
          <w:color w:val="000000"/>
        </w:rPr>
        <w:t>”</w:t>
      </w:r>
      <w:r>
        <w:rPr>
          <w:rFonts w:ascii="Times New Roman;sans-serif" w:hAnsi="Times New Roman;sans-serif"/>
          <w:b w:val="false"/>
          <w:color w:val="000000"/>
          <w:sz w:val="22"/>
        </w:rPr>
        <w:t>) providing for the automatic advance by the Used Vehicle Floorplan Swing Line Lender of Used Vehicle Floorplan Swing Line Loans under the conditions set forth in such agreement, which shall be in addition to the conditions set forth herein (each such advance, a “</w:t>
      </w:r>
      <w:r>
        <w:rPr>
          <w:rFonts w:ascii="Times New Roman;sans-serif" w:hAnsi="Times New Roman;sans-serif"/>
          <w:b w:val="false"/>
          <w:color w:val="000000"/>
          <w:sz w:val="22"/>
          <w:u w:val="single"/>
        </w:rPr>
        <w:t>Used Vehicle Autoborrow Advance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in no event shall the Company be entitled to Used Vehicle Autoborrow Advances pursuant to a Used Vehicle Autoborrow Agreement at any time a Revolving Autoborrow Agreement or a New Vehicle Floorplan Offset Agreement is in place and (ii) the Company may, once per calendar year and upon 30 days advance notice to the Administrative Agent and the Used Vehicle Floorplan Swing Line Lender and upon the payment to the Administrative Agent of a $10,000 fee (which fee may be waived in the sole discretion of the Administrative Agent), alternate (x) between having a Revolving Autoborrow Agreement, a Used Vehicle Autoborrow Agreement or a New Vehicle Floorplan Offset Agreement in place, or (y) between having a New Vehicle Floorplan Offset Agreement (</w:t>
      </w:r>
      <w:r>
        <w:rPr>
          <w:rFonts w:ascii="Times New Roman;sans-serif" w:hAnsi="Times New Roman;sans-serif"/>
          <w:b w:val="false"/>
          <w:color w:val="000000"/>
          <w:sz w:val="22"/>
          <w:u w:val="single"/>
        </w:rPr>
        <w:t>with</w:t>
      </w:r>
      <w:r>
        <w:rPr>
          <w:color w:val="000000"/>
        </w:rPr>
        <w:t xml:space="preserve"> </w:t>
      </w:r>
      <w:r>
        <w:rPr>
          <w:rFonts w:ascii="Times New Roman;sans-serif" w:hAnsi="Times New Roman;sans-serif"/>
          <w:b w:val="false"/>
          <w:color w:val="000000"/>
          <w:sz w:val="22"/>
        </w:rPr>
        <w:t>a New Vehicle Automated Sweep Agreement) or a New Vehicle Floorplan Offset Agreement (</w:t>
      </w:r>
      <w:r>
        <w:rPr>
          <w:rFonts w:ascii="Times New Roman;sans-serif" w:hAnsi="Times New Roman;sans-serif"/>
          <w:b w:val="false"/>
          <w:color w:val="000000"/>
          <w:sz w:val="22"/>
          <w:u w:val="single"/>
        </w:rPr>
        <w:t>without</w:t>
      </w:r>
      <w:r>
        <w:rPr>
          <w:color w:val="000000"/>
        </w:rPr>
        <w:t xml:space="preserve"> </w:t>
      </w:r>
      <w:r>
        <w:rPr>
          <w:rFonts w:ascii="Times New Roman;sans-serif" w:hAnsi="Times New Roman;sans-serif"/>
          <w:b w:val="false"/>
          <w:color w:val="000000"/>
          <w:sz w:val="22"/>
        </w:rPr>
        <w:t xml:space="preserve">a New Vehicle Automated Sweep Agreement) in place. At any time such a Used Vehicle Autoborrow Agreement is in effect, the requirements for Used Vehicle Floorplan Swing Line Borrowings set forth in the immediately preceding paragraph shall not apply, and all Used Vehicle Floorplan Swing Line Borrowings shall be made in accordance with the Used Vehicle Autoborrow Agreement, until the right to such Used Vehicle Floorplan Swing Line Borrowings is suspended or terminated hereunder or in accordance with the terms of the Used Vehicle Autoborrow Agreement. Solely for purposes of determining the availability of Used Vehicle Floorplan Committed Loans (other than Used Vehicle Floorplan Committed Loans used to refinance Used Vehicle Floorplan Swing Line Loans) and for determining the Total Used Vehicle Floorplan Outstandings in connection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at any time during which a Used Vehicle Autoborrow Agreement is in effect, the Outstanding Amount of all Used Vehicle Floorplan Swing Line Loans shall be deemed to be the amount of the Used Vehicle Floorplan Swing Line Sublimit. For purposes of any Used Vehicle Floorplan Swing Line Borrowing pursuant to the Used Vehicle Autoborrow Agreement, all references to Bank of America shall be deemed to be a reference to Bank of America, in its capacity as Used Vehicle Floorplan Swing Line Lender hereunder.</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Refinancing of Used Vehicle Floorplan Swing Line Loans.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(i)The Used Vehicle Floorplan Swing Line Lender at any time in its sole and absolute discretion may request, on behalf of the Company (which hereby irrevocably authorizes the Used Vehicle Floorplan Swing Line Lender to so request on its behalf), that each Used Vehicle Floorplan Lender make a Eurodollar Rate Committed Loan in an amount equal to such Used Vehicle Floorplan Lender’s Applicable Used Vehicle Floorplan Percentage of the amount of Used Vehicle Floorplan Swing Line Loans then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Used Vehicle Floorplan Swing Line Lender intends to request each Used Vehicle Floorplan Lender to make such Eurodollar Rate Committed Loans no less frequently than once in any given calendar month. Such request shall be made in writing (which written request shall be deemed to be a Used Vehicle Floorplan Committed Loan Notice for purposes hereof) and in accordance with the requirements of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without regard to the minimum and multiples specified therein for the principal amount of Eurodollar Rate Loans, but subject to the unutilized portion of the Aggregate Used Vehicle Floorplan Commitments and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Each Used Vehicle Floorplan Lender shall make an amount equal to its Applicable Used Vehicle Floorplan Percentage of the amount specified in such Used Vehicle Floorplan Committed Loan Notice available to the Administrative Agent in immediately available funds (and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Administrative Agent may apply Cash Collateral available with respect to the applicable Used Vehicle Floorplan Swing Line Loan) for the account of the Used Vehicle Floorplan Swing Line Lender at the Administrative Agent’s Office not later than 1:00 p.m. on the day specified in such Used Vehicle Floorplan Committed Loan Notice (or, if later, one Business Day after the Used Vehicle Floorplan Swing Line Lender delivers such notice), whereupon, subject to </w:t>
      </w:r>
      <w:r>
        <w:rPr>
          <w:rFonts w:ascii="Times New Roman;sans-serif" w:hAnsi="Times New Roman;sans-serif"/>
          <w:b w:val="false"/>
          <w:color w:val="000000"/>
          <w:sz w:val="22"/>
          <w:u w:val="single"/>
        </w:rPr>
        <w:t>Section 2.12(c)(ii)</w:t>
      </w:r>
      <w:r>
        <w:rPr>
          <w:rFonts w:ascii="Times New Roman;sans-serif" w:hAnsi="Times New Roman;sans-serif"/>
          <w:b w:val="false"/>
          <w:color w:val="000000"/>
          <w:sz w:val="22"/>
        </w:rPr>
        <w:t>, each Used Vehicle Floorplan Lender that so makes funds available shall be deemed to have made a Eurodollar Rate Committed Loan to the Company in such amount. The Administrative Agent shall remit the funds so received to the Used Vehicle Floorplan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for any reason any Used Vehicle Floorplan Swing Line Loan cannot be refinanced by such a Used Vehicle Floorplan Committed Borrowing in accordance with </w:t>
      </w:r>
      <w:r>
        <w:rPr>
          <w:rFonts w:ascii="Times New Roman;sans-serif" w:hAnsi="Times New Roman;sans-serif"/>
          <w:b w:val="false"/>
          <w:color w:val="000000"/>
          <w:sz w:val="22"/>
          <w:u w:val="single"/>
        </w:rPr>
        <w:t>Section 2.12(c)(i)</w:t>
      </w:r>
      <w:r>
        <w:rPr>
          <w:rFonts w:ascii="Times New Roman;sans-serif" w:hAnsi="Times New Roman;sans-serif"/>
          <w:b w:val="false"/>
          <w:color w:val="000000"/>
          <w:sz w:val="22"/>
        </w:rPr>
        <w:t xml:space="preserve">, the request for Eurodollar Rate Used Vehicle Floorplan Committed Loans submitted by the Used Vehicle Floorplan Swing Line Lender as set forth herein shall be deemed to be a request by the Used Vehicle Floorplan Swing Line Lender that each of the Used Vehicle Floorplan Lenders fund its risk participation in the relevant Used Vehicle Floorplan Swing Line Loan and each Lender’s payment to the Administrative Agent for the account of the Used Vehicle Floorplan Swing Line Lender pursuant to </w:t>
      </w:r>
      <w:r>
        <w:rPr>
          <w:rFonts w:ascii="Times New Roman;sans-serif" w:hAnsi="Times New Roman;sans-serif"/>
          <w:b w:val="false"/>
          <w:color w:val="000000"/>
          <w:sz w:val="22"/>
          <w:u w:val="single"/>
        </w:rPr>
        <w:t>Section 2.12(c)(i)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(iii)If any Used Vehicle Floorplan Lender fails to make available to the Administrative Agent for the account of the Used Vehicle Floorplan Swing Line Lender any amount required to be paid by such Used Vehicle Floorplan Lender pursuant to the foregoing provisions of this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2.12(c)(i)</w:t>
      </w:r>
      <w:r>
        <w:rPr>
          <w:rFonts w:ascii="Times New Roman;sans-serif" w:hAnsi="Times New Roman;sans-serif"/>
          <w:b w:val="false"/>
          <w:color w:val="000000"/>
          <w:sz w:val="22"/>
        </w:rPr>
        <w:t xml:space="preserve">, the Used Vehicle Floorplan Swing Line Lender shall be entitled to recover from such Used Vehicle Floorplan Lender (acting through the Administrative Agent), on demand, such amount with interest thereon for the period from the date such payment is required to the date on which such payment is immediately available to the Used Vehicle Floorplan Swing Line Lender at a rate per annum equal to the greater of the Federal Funds Rate and a rate determined by the Used Vehicle Floorplan Swing Line Lender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charged by the Used Vehicle Floorplan Swing Line Lender in connection with the foregoing. If such Used Vehicle Floorplan Lender pays such amount (with interest and fees as aforesaid), the amount so paid shall constitute such Used Vehicle Floorplan Lender’s Committed Loan included in the relevant Used Vehicle Floorplan Committed Borrower or funded participation in the relevant Used Vehicle Floorplan Swing Line Loan, as the case may be. A certificate of the Used Vehicle Floorplan Swing Line Lender submitted to any Used Vehicle Floorplan Lender (through the Administrative Agent) with respect to any amounts owing under this clause (iii) shall be conclusive absent manifest error.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(iv)Each Used Vehicle Floorplan Lender’s obligation to make Used Vehicle Floorplan Committed Loans or to purchase and fund risk participations in Used Vehicle Floorplan Swing Line Loans pursuant to this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Used Vehicle Floorplan Lender may have against the Used Vehicle Floorplan Swing Line Lender,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Used Vehicle Floorplan Lender’s obligation to make Used Vehicle Floorplan Committed Loans pursuant to this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No such funding of risk participations shall relieve or otherwise impair the obligation of the Company to repay Used Vehicle Floorplan Swing Line Loans, together with interest as provided herein.</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Repayment of Participations.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(i)At any time after any Used Vehicle Floorplan Lender has purchased and funded a risk participation in a Used Vehicle Floorplan Swing Line Loan, if the Used Vehicle Floorplan Swing Line Lender receives any payment on account of such Used Vehicle Floorplan Swing Line Loan, the Used Vehicle Floorplan Swing Line Lender will distribute to such Used Vehicle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Floorplan Lender its Applicable Used Vehicle Floorplan Percentage of such payment (appropriately adjusted, in the case of interest payments, to reflect the period of time during which such Used Vehicle Floorplan Lender’s risk participation was funded) in the same funds as those received by the Used Vehicle Floorplan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any payment received by the Used Vehicle Floorplan Swing Line Lender in respect of principal or interest on any Used Vehicle Floorplan Swing Line Loan is required to be returned by the Used Vehicle Floorplan Swing Line Lender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(including pursuant to any settlement entered into by the Used Vehicle Floorplan Swing Line Lender in its discretion), each Used Vehicle Floorplan Lender shall pay to the Used Vehicle Floorplan Swing Line Lender its Applicable Used Vehicle Floorplan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at a rate per annum equal to the Federal Funds Rate. The Administrative Agent will make such demand upon the request of the Used Vehicle Floorplan Swing Line Lender. The obligations of the Used Vehicle Floorplan Lenders under this clause shall survive the payment in full of the Obligations and the termination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Interest for Account of Used Vehicle Floorplan Swing Line Lender</w:t>
      </w:r>
      <w:r>
        <w:rPr>
          <w:rFonts w:ascii="Times New Roman;sans-serif" w:hAnsi="Times New Roman;sans-serif"/>
          <w:b w:val="false"/>
          <w:color w:val="000000"/>
          <w:sz w:val="22"/>
        </w:rPr>
        <w:t xml:space="preserve">. The Used Vehicle Floorplan Swing Line Lender shall be responsible for invoicing the Company for interest on the Used Vehicle Floorplan Swing Line Loans. Until each Used Vehicle Floorplan Lender funds its Eurodollar Rate Committed Loan or risk participation pursuant to this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to refinance such Used Vehicle Floorplan Lender’s Applicable Used Vehicle Floorplan Percentage of any Used Vehicle Floorplan Swing Line Loan, interest in respect of such Applicable Used Vehicle Floorplan Percentage shall be solely for the account of the Used Vehicle Floorplan Swing Line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Payments Directly to Used Vehicle Floorplan Swing Line Lender</w:t>
      </w:r>
      <w:r>
        <w:rPr>
          <w:rFonts w:ascii="Times New Roman;sans-serif" w:hAnsi="Times New Roman;sans-serif"/>
          <w:b w:val="false"/>
          <w:color w:val="000000"/>
          <w:sz w:val="22"/>
        </w:rPr>
        <w:t>. The Company shall make all payments of principal and interest in respect of the Used Vehicle Floorplan Swing Line Loans directly to the Used Vehicle Floorplan Swing Line Lender.</w:t>
      </w:r>
    </w:p>
    <w:p>
      <w:pPr>
        <w:pStyle w:val="TextBody"/>
        <w:spacing w:lineRule="auto" w:line="240" w:before="0" w:after="240"/>
        <w:ind w:left="0" w:right="0" w:firstLine="720"/>
        <w:jc w:val="both"/>
        <w:rPr/>
      </w:pPr>
      <w:r>
        <w:rPr>
          <w:rFonts w:ascii="Times New Roman;sans-serif" w:hAnsi="Times New Roman;sans-serif"/>
          <w:b/>
          <w:color w:val="000000"/>
          <w:sz w:val="22"/>
        </w:rPr>
        <w:t>2.13</w:t>
      </w:r>
      <w:r>
        <w:rPr>
          <w:rFonts w:ascii="Times New Roman;sans-serif" w:hAnsi="Times New Roman;sans-serif"/>
          <w:b/>
          <w:color w:val="000000"/>
          <w:sz w:val="22"/>
        </w:rPr>
        <w:t>Prepayments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In addition to the required payments of principal of Revolving Loans, New Vehicle Floorplan Loans and Used Vehicle Floorplan Loans set forth in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the Company may, pursuant to delivery by the Company to the Administrative Agent of a Notice of Loan Prepayment, at any time or from time to time voluntarily prepay Revolving Committed Loans, New Vehicle Floorplan Committed Loans or Used Vehicle Floorplan Committed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notice must be received by the Administrative Agent not later than 1:00 p.m. on the date of prepayment of such Loans; (ii) any prepayment of Loans shall be in a principal amount of $500,000 or a whole multiple of $100,000 in excess thereof or, in each case, if less, the entire principal amount thereof then outstanding. Each such notice shall specify the date and amount of such prepayment, whether such prepayment is applicable to the Revolving Committed Loans, New Vehicle Floorplan Committed Loans or Used Vehicle Floorplan Committed Loans and the Type(s) of Loans to be prepaid. The Administrative Agent will promptly notify each applicable Lender of its receipt of each such notice, and of the amount of such Lender’s Applicable Revolving Percentage, Applicable New Vehicle Floorplan Percentage or Applicable Used Vehicle Floorplan Percentage, as applicable, of such prepayment. If such notice is given by the Company, the Company shall make such prepayment and the payment amount specified in such notice shall be due and payable on the date specified therein. Subject to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each such prepayment of Revolving Committed Loans of the Revolving Lenders shall be applied in accordance with their respective Applicable Revolving Percentages; each such prepayment of New Vehicle Floorplan Committed Loans of the New Vehicle Floorplan Lenders shall be applied in accordance with their respective Applicable New Vehicle Floorplan Percentages; and each such prepayment of Used Vehicle Floorplan Committed Loans of the Used Vehicle Floorplan Lenders shall be applied in accordance with their respective Applicable Used Vehicle Floorplan Percentages.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At any time during which a Revolving Autoborrow Agreement is not in effect, the Company may, pursuant to delivery by the Company to the Revolving Swing Line Lender of a Notice of Loan Prepayment (with a copy to the Administrative Agent), at any time or from time to time, voluntarily prepay Revolving Swing Line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notice must be received by the Revolving Swing Line Lender and the Administrative Agent not later than 1:00 p.m. on the date of the prepayment, and (ii) any such prepayment shall be in a minimum principal amount of $100,000 (or, if less, the entire principal amount thereof outstanding). Each such notice shall specify the date and amount of such prepayment. If such notice is given by the Company, the Company shall make such prepayment and the payment amount specified in such notice shall be due and payable on the date specified therein.</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Company may, at any time or from time to time, voluntarily prepay New Vehicle Floorplan Swing Line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has entered the amount of such prepayment and other required information (including the make, model and vehicle identification number of each respective New Vehicle) in the Floorplan On-Line System not later than 7:00 p.m. on the date of the prepayment. The Company shall make such prepayment and the payment amount entered by the Company shall be due and payable on the date such information is timely entered in the Floorplan On-Line System.</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Company may, pursuant to delivery by the Company to the Used Vehicle Floorplan Swing Line Lender of a Notice of Loan Prepayment (with a copy to the Administrative Agent), at any time or from time to time, voluntarily prepay Used Vehicle Floorplan Swing Line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notice must be received by the Used Vehicle Floorplan Swing Line Lender not later than 1:00 p.m. on the date of the prepayment and (ii) any such prepayment shall be in a minimum principal amount of $100,000 (or, if less, the entire principal amount thereof outstanding). Each such notice shall specify the date and amount of such prepayment. If such notice is given by the Company, the Company shall make such prepayment and the payment amount specified in such notice shall be due and payable on the dated specified therein.</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If for any reason the Total Revolving Outstandings at any time exceed the lesser of (1) the Revolving Borrowing Base or (2) the Aggregate Revolving Commitments then in effect, the Company shall immediately prepay Loans and/or Cash Collateralize the L/C Obligations in an aggregate amount equal to such excess;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be required to Cash Collateralize the L/C Obligations pursuant to this </w:t>
      </w:r>
      <w:r>
        <w:rPr>
          <w:rFonts w:ascii="Times New Roman;sans-serif" w:hAnsi="Times New Roman;sans-serif"/>
          <w:b w:val="false"/>
          <w:color w:val="000000"/>
          <w:sz w:val="22"/>
          <w:u w:val="single"/>
        </w:rPr>
        <w:t>Section 2.13(e)</w:t>
      </w:r>
      <w:r>
        <w:rPr>
          <w:color w:val="000000"/>
        </w:rPr>
        <w:t xml:space="preserve"> </w:t>
      </w:r>
      <w:r>
        <w:rPr>
          <w:rFonts w:ascii="Times New Roman;sans-serif" w:hAnsi="Times New Roman;sans-serif"/>
          <w:b w:val="false"/>
          <w:color w:val="000000"/>
          <w:sz w:val="22"/>
        </w:rPr>
        <w:t>unless after the prepayment in full of the Revolving Loans the Total Revolving Outstandings exceed the lesser of (1) the Revolving Borrowing Base or (2) the Aggregate Revolving Commitments then in effect.</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If for any reason the Total New Vehicle Floorplan Outstandings at any time exceed the Aggregate New Vehicle Floorplan Commitments then in effect, the Borrowers (jointly and severally) shall immediately prepay New Vehicle Floorplan Loans in an aggregate amount sufficient to eliminate such excess.</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If for any reason the Total Used Vehicle Floorplan Outstandings at any time exceed the lesser of the Aggregate Used Vehicle Floorplan Commitments then in effect or the Used Vehicle Floorplan Borrowing Base then in effect, the Borrowers (jointly and severally) shall immediately prepay Used Vehicle Floorplan Loans in an aggregate amount sufficient to eliminate such excess.</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If for any reason the aggregate Outstanding Amount of Revolving Swing Line Loans exceeds the Revolving Swing Line Sublimit, the Company shall immediately prepay Revolving Swing Line Loans in an aggregate amount sufficient to eliminate such excess.</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If for any reason, the Outstanding Amount of New Vehicle Floorplan Loans exceeds any applicable Within Line Limitation (unless otherwise agreed to by the Administrative Agent), the Borrowers (jointly and severally) shall immediately prepay New Vehicle Floorplan Loans in an aggregate amount sufficient to eliminate such excess.</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If for any reason the aggregate Outstanding Amount of Used Vehicle Floorplan Swing Line Loans exceeds the Used Vehicle Floorplan Swing Line Sublimit, the Company shall immediately prepay Used Vehicle Floorplan Swing Line Loans in an aggregate amount sufficient to eliminate such excess.</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Prepayments made in respect of any New Vehicle Floorplan Loan must specify the applicable New Vehicle Borrower and New Vehicle(s) (including the make, model and vehicle identification number of such New Vehicle(s)) attributable to such prepayment.</w:t>
      </w:r>
    </w:p>
    <w:p>
      <w:pPr>
        <w:pStyle w:val="TextBody"/>
        <w:spacing w:lineRule="auto" w:line="240" w:before="0" w:after="0"/>
        <w:ind w:left="0" w:right="0" w:firstLine="720"/>
        <w:rPr/>
      </w:pPr>
      <w:r>
        <w:rPr>
          <w:rFonts w:ascii="Times New Roman;sans-serif" w:hAnsi="Times New Roman;sans-serif"/>
          <w:b/>
          <w:color w:val="000000"/>
          <w:sz w:val="22"/>
        </w:rPr>
        <w:t>2.14</w:t>
      </w:r>
      <w:r>
        <w:rPr>
          <w:rFonts w:ascii="Times New Roman;sans-serif" w:hAnsi="Times New Roman;sans-serif"/>
          <w:b/>
          <w:color w:val="000000"/>
          <w:sz w:val="22"/>
        </w:rPr>
        <w:t>Termination, Reduction or Conversion of Commitments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Company may, upon notice to the Administrative Agent, terminate the Aggregate Revolving Commitments, Aggregate New Vehicle Floorplan Commitments or the Aggregate Used Vehicle Floorplan Commitments, or from time to time permanently reduce the Aggregate Revolving Commitments, Aggregate New Vehicle Floorplan Commitments or the Aggregate Used Vehicle Floorplan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any such notice shall be received by the Administrative Agent not later than 1:00 p.m. fifteen (15) days prior to the date of termination or reduction, (ii) any such partial reduction shall be in an aggregate amount of $10,000,000 or any whole multiple of $1,000,000 in excess thereof, (iii) the Company shall not terminate or reduce the Aggregate Revolving Commitments if, after giving effect thereto and to any concurrent prepayments hereunder, the Total Revolving Outstandings would exceed the lesser of the Aggregate Revolving Commitments or the Revolving Borrowing Base, (iv) the Company shall not terminate or reduce the Aggregate New Vehicle Floorplan Commitments if, after giving effect thereto and to any concurrent prepayments hereunder, the Total New Vehicle Floorplan Outstandings would exceed the Aggregate New Vehicle Floorplan Commitments, (v) the Company shall not terminate or reduce the Aggregate Used Vehicle Floorplan Commitments if, after giving effect thereto and to any concurrent prepayments hereunder, the Total Used Vehicle Floorplan Outstandings would exceed the lesser of the Aggregate Used Vehicle Floorplan Commitments or the Used Vehicle Floorplan Borrowing Base, (vi) if, after giving effect to any reduction of the Aggregate Revolving Commitments, the Letter of Credit Sublimit or the Revolving Swing Line Sublimit exceeds the amount of the Aggregate Revolving Commitments, such Sublimit shall be automatically reduced by the amount of such excess, (vii) if, after giving effect to any reduction of the Aggregate New Vehicle Floorplan Commitments, the New Vehicle Floorplan Swing Line Sublimit exceeds the amount of the Aggregate New Vehicle Floorplan Commitments, such Sublimit shall be automatically reduced by the amount of such excess, (viii) if, after giving effect to any reduction of the Aggregate Used Vehicle Floorplan Commitments, the Used Vehicle Floorplan Swing Line Sublimit exceeds the amount of the Aggregate Used Vehicle Floorplan Commitments, such Sublimit shall be automatically reduced by the amount of such excess, and (ix) following any such reduction, no more than 20% of the Aggregate Floorplan Facility Commitments may be Aggregate Used Vehicle Floorplan Commitments. In connection with any reduction of the Aggregate New Vehicle Floorplan Commitments, the New Vehicle Floorplan Swing Line Lender in its discretion may suspend and/or terminate all or a portion of the then outstanding Payment Commitments or Payoff Letter Commitments which shall be promptly selected by the Company, in an amount that corresponds to the size of said reduction. The Administrative Agent will promptly notify the applicable Lenders of any such notice of termination or reduction of the Aggregate Commitments. Any reduction of the Aggregate Revolving Commitments, Aggregate New Vehicle Floorplan Commitments or Used Vehicle Floorplan Commitments shall be applied to the Commitment of each Lender in accordance with (x) its respective Applicable Revolving Percentage, (y) its respective Applicable New Vehicle Floorplan Percentage and (z) its respective Applicable Used Vehicle Floorplan Percentage, as the case may be. All fees accrued until the effective date of any termination of the Aggregate Commitments shall be paid on the effective date of such termination.</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At any time there exists any portion of the Aggregate Revolving Commitments in excess of the Total Revolving Outstandings (such excess amount being referred to as the “unused portion”), and provided that, unless otherwise approved by the Administrative Agent in its sole discretion, no Default shall have occurred and be continuing, the Company may, by delivering to the Administrative Agent and in the case of a conversion to New Vehicle Floorplan Commitments, the New Vehicle Floorplan Operations Group, a Conversion Notice in substantially the form of </w:t>
      </w:r>
      <w:r>
        <w:rPr>
          <w:rFonts w:ascii="Times New Roman;sans-serif" w:hAnsi="Times New Roman;sans-serif"/>
          <w:b w:val="false"/>
          <w:color w:val="000000"/>
          <w:sz w:val="22"/>
          <w:u w:val="single"/>
        </w:rPr>
        <w:t>Exhibit P</w:t>
      </w:r>
      <w:r>
        <w:rPr>
          <w:color w:val="000000"/>
        </w:rPr>
        <w:t xml:space="preserve"> </w:t>
      </w:r>
      <w:r>
        <w:rPr>
          <w:rFonts w:ascii="Times New Roman;sans-serif" w:hAnsi="Times New Roman;sans-serif"/>
          <w:b w:val="false"/>
          <w:color w:val="000000"/>
          <w:sz w:val="22"/>
        </w:rPr>
        <w:t xml:space="preserve">not less than five days prior to the date of such conversion, request the Administrative Agent and the Lenders to convert all or a part of such unused portion of the Aggregate Revolving Commitments into Aggregate New Vehicle Floorplan Commitments or Aggregate Used Vehicle Floorplan Commitments,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the Company shall not make such conversion if, after giving effect to all such conversions to occur at such time, (i) the Total Revolving Outstandings would exceed the lesser of (x) the Revolving Borrowing Base or (y) the Aggregate Revolving Commitments, (ii) the aggregate amount of Revolving Commitments converted to New Vehicle Floorplan Commitments or Used Vehicle Floorplan Commitments to occur at such time would exceed the lesser of (x) 20% of the Aggregate Commitments then in effect or (y) the Available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Unused Revolving Commitments or (iii) the Aggregate Revolving Commitments would be less than $50,000,000,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following any such conversion, (i) the percentage of each Lender’s Commitment allocated to the Revolving Credit Facility shall be equal to the percentage of each other Lender’s Commitment allocated to the Revolving Credit Facility, (ii) the percentage of each Lender’s Commitment allocated to the New Vehicle Floorplan Facility shall be equal to the percentage of each other Lender’s Commitment allocated to the New Vehicle Floorplan Facility, (iii) the percentage of each Lender’s Commitment allocated to the Used Vehicle Floorplan Facility shall be equal to the percentage of each other Lender’s Commitment allocated to the Used Vehicle Floorplan Facility, (iv) no more than 20% of the Aggregate Floorplan Facility Commitments may be allocated to the Aggregate Used Vehicle Floorplan Commitments and (v) the commitment fee owing and accruing with respect to any Revolving Commitments converted into New Vehicle Floorplan Commitments or Used Vehicle Floorplan Commitments under this </w:t>
      </w:r>
      <w:r>
        <w:rPr>
          <w:rFonts w:ascii="Times New Roman;sans-serif" w:hAnsi="Times New Roman;sans-serif"/>
          <w:b w:val="false"/>
          <w:color w:val="000000"/>
          <w:sz w:val="22"/>
          <w:u w:val="single"/>
        </w:rPr>
        <w:t>Section 2.14(b)</w:t>
      </w:r>
      <w:r>
        <w:rPr>
          <w:color w:val="000000"/>
        </w:rPr>
        <w:t xml:space="preserve"> </w:t>
      </w:r>
      <w:r>
        <w:rPr>
          <w:rFonts w:ascii="Times New Roman;sans-serif" w:hAnsi="Times New Roman;sans-serif"/>
          <w:b w:val="false"/>
          <w:color w:val="000000"/>
          <w:sz w:val="22"/>
        </w:rPr>
        <w:t xml:space="preserve">shall be calculated at the Applicable Rate for commitment fees for New Vehicle Floorplan Commitments or Used Vehicle Floorplan Commitments, as the case may be. Following such notice from the Company to the Administrative Agent and, if applicable, the New Vehicle Floorplan Operations Group, and subject to the foregoing, the Aggregate New Vehicle Floorplan Commitments or Used Vehicle Floorplan Commitments, as the case may be, shall upon such request be increased by the amount so requested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the Aggregate Commitments after giving effect to such conversion shall not exceed the Aggregate Commitments in effect prior to giving effect to such conversion.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At any time there exists any portion of (x) the New Vehicle Floorplan Commitments in excess of the Total New Vehicle Floorplan Outstandings or (y) the Used Vehicle Floorplan Commitments in excess of the Total Used Vehicle Floorplan Outstandings (such excess amount in either of clause (x) or (y) being referred to as the “unused portion”), and provided that, unless otherwise approved by the Administrative Agent in its sole discretion, no Default shall have occurred and be continuing, the Company may, by delivering to the Administrative Agent a Conversion Notice in substantially the form of </w:t>
      </w:r>
      <w:r>
        <w:rPr>
          <w:rFonts w:ascii="Times New Roman;sans-serif" w:hAnsi="Times New Roman;sans-serif"/>
          <w:b w:val="false"/>
          <w:color w:val="000000"/>
          <w:sz w:val="22"/>
          <w:u w:val="single"/>
        </w:rPr>
        <w:t>Exhibit P</w:t>
      </w:r>
      <w:r>
        <w:rPr>
          <w:color w:val="000000"/>
        </w:rPr>
        <w:t xml:space="preserve"> </w:t>
      </w:r>
      <w:r>
        <w:rPr>
          <w:rFonts w:ascii="Times New Roman;sans-serif" w:hAnsi="Times New Roman;sans-serif"/>
          <w:b w:val="false"/>
          <w:color w:val="000000"/>
          <w:sz w:val="22"/>
        </w:rPr>
        <w:t xml:space="preserve">not less than five days prior to the date of such conversion, request the Administrative Agent and the Lenders to convert all or a part of such unused portion of the New Vehicle Floorplan Commitments or Used Vehicle Floorplan Commitments into Aggregate Revolving Commitments,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the Company shall not make such conversion if, after giving effect thereto, (i) the Total New Vehicle Floorplan Outstandings would exceed the Aggregate New Vehicle Floorplan Commitments, (ii) the Used Vehicle Floorplan Outstandings would exceed the lesser of (x) the Used Vehicle Floorplan Borrowing Base or (y) the Aggregate Used Vehicle Floorplan Commitments or (iii) Revolving Commitments would exceed 20% of the Aggregate Commitments then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following any such conversion, (i) the percentage of each Lender’s Commitment allocated to the Revolving Credit Facility shall be equal to the percentage of each other Lender’s Commitment allocated to the Revolving Credit Facility, (ii) the percentage of each Lender’s Commitment allocated to the New Vehicle Floorplan Facility shall be equal to the percentage of each other Lender’s Commitment allocated to the New Vehicle Floorplan Facility, (iii) the percentage of each Lender’s Commitment allocated to the Used Vehicle Floorplan Facility shall be equal to the percentage of each other Lender’s Commitment allocated to the Used Vehicle Floorplan Facility, (iv) no more than 20% of the Aggregate Floorplan Facility Commitments may be allocated to the Aggregate Used Vehicle Floorplan Commitments and (v) the commitment fee owing and accruing with respect to any New Vehicle Floorplan Commitments or Used Vehicle Floorplan Commitments converted into Revolving Commitments under this </w:t>
      </w:r>
      <w:r>
        <w:rPr>
          <w:rFonts w:ascii="Times New Roman;sans-serif" w:hAnsi="Times New Roman;sans-serif"/>
          <w:b w:val="false"/>
          <w:color w:val="000000"/>
          <w:sz w:val="22"/>
          <w:u w:val="single"/>
        </w:rPr>
        <w:t>Section 2.14(c)</w:t>
      </w:r>
      <w:r>
        <w:rPr>
          <w:color w:val="000000"/>
        </w:rPr>
        <w:t xml:space="preserve"> </w:t>
      </w:r>
      <w:r>
        <w:rPr>
          <w:rFonts w:ascii="Times New Roman;sans-serif" w:hAnsi="Times New Roman;sans-serif"/>
          <w:b w:val="false"/>
          <w:color w:val="000000"/>
          <w:sz w:val="22"/>
        </w:rPr>
        <w:t xml:space="preserve">shall be calculated at the Applicable Rate for commitment fees for Revolving Commitments. Following such notice from the Company to the Administrative Agent and subject to the foregoing, the Aggregate Revolving Commitments shall upon such request be increased by the amount so requested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the Aggregate Commitments after giving effect to such conversion shall not exceed the Aggregate Commitments in effect prior to giving effect to such conversion.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 connection with the conversions and re-conversions described in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above, the requisite assignments of outstanding Loans shall be made in such amounts by and between the Lenders, and as directed by the Administrative Agent, to the extent necessary to keep the outstanding Revolving Committed Loans, New Vehicle Floorplan Committed Loans, or Used Vehicle Floorplan Committed Loans, as applicable, ratable with any revised Applicable Percentages with respect to the applicable Committed Loans arising from any such conversion or re-conversion with the same force and effect as if such assignments were evidenced by applicable Assignments and Assumptions but without the payment of any related assignment fee, and no other documents or instruments shall be, or shall be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required to be, executed in connection with such assignments (all of which requirements are hereby waived). </w:t>
      </w:r>
    </w:p>
    <w:p>
      <w:pPr>
        <w:pStyle w:val="TextBody"/>
        <w:spacing w:lineRule="auto" w:line="240" w:before="0" w:after="240"/>
        <w:ind w:left="0" w:right="0" w:firstLine="720"/>
        <w:jc w:val="both"/>
        <w:rPr/>
      </w:pPr>
      <w:r>
        <w:rPr>
          <w:rFonts w:ascii="Times New Roman;sans-serif" w:hAnsi="Times New Roman;sans-serif"/>
          <w:b/>
          <w:color w:val="000000"/>
          <w:sz w:val="22"/>
        </w:rPr>
        <w:t>2.15</w:t>
      </w:r>
      <w:r>
        <w:rPr>
          <w:rFonts w:ascii="Times New Roman;sans-serif" w:hAnsi="Times New Roman;sans-serif"/>
          <w:b/>
          <w:color w:val="000000"/>
          <w:sz w:val="22"/>
        </w:rPr>
        <w:t>Repayment of Loans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Repayment of Revolving Loans.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shall repay to the Revolving Lenders on the Maturity Date the aggregate principal amount of Revolving Committed Loans outstanding on such date.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(ii)At any time the Revolving Autoborrow Agreement is in effect with respect to the Revolving Swing Line Loans, the Revolving Swing Line Loans shall be repaid (A) in accordance with the terms of such Revolving Autoborrow Agreement and (B) in any event, on the Maturity Date. At any time the Revolving Autoborrow Agreement is not in effect with respect to the Revolving Swing Line Loans, the Company shall repay each Revolving Swing Line Loan (X) at any time on demand by the Revolving Swing Line Lender and (Y) on the Maturity Date.</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Repayment of New Vehicle Floorplan Loans.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New Vehicle Borrowers (jointly and severally) shall repay the New Vehicle Floorplan Committed Loans on the Maturity Date.</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(ii)The New Vehicle Borrowers (jointly and severally) shall repay each New Vehicle Floorplan Swing Line Loan (A) at any time on demand by the New Vehicle Floorplan Swing Line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conditions to making a New Vehicle Floorplan Committed Loan are then satisfied, and if such demand is made at any time other than during an Asbury New Vehicle Control Period, the New Vehicle Floorplan Lender shall request a New Vehicle Floorplan Committed Borrowing to refinance such New Vehicle Floorplan Swing Line Loan in full (or, if less, to the maximum extent then available under the New Vehicle Floorplan Committed Facility) prior to making a demand on the New Vehicle Borrowers, and (B) on the Maturity Date.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New Vehicle Borrowers (jointly and severally) shall pay in full an amount equal to the New Vehicle Floorplan Loan with respect to any New Vehicle (including any Demonstrator, Rental Vehicle, and other mileaged New Vehicle) that has been sold or leased (other than the ordinary course lease of a Rental Vehicle) by any New Vehicle Borrower: (A) (1) with respect to New Vehicles other than those described in (2) below, the earliest to occur of (x) fifteen (15) days after such sale or lease thereof or (y) with respect any New Vehicle for which cash has been received upon such sale or lease thereof, within five (5) days of the receipt of such cash, and (2) with respect to Fleet Vehicles, upon the earliest to occur of (aa) thirty (30) days after the date of such sale or lease (other than the ordinary course lease of a Rental Vehicle) and (bb) two (2) Business Days following receipt of proceeds from such sale or lease thereof. With respect to each New Vehicle that has not been sold or leased, the New Vehicle Borrowers (jointly and severally) shall pay in full an amount equal to (i) in the case of any such New Vehicle held as Inventory, beginning 12 months after the date such New Vehicle is Deemed Floored, in monthly payments of 10% of the original amount of the New Vehicle Floorplan Loan relating to such New Vehicle for month 12, and 5% of the original amount of the New Vehicle Floorplan Loan relating to such New Vehicle for each of months 13 and 14, with the final payment for all amounts then outstanding under such New Vehicle Floorplan Loan due 15 months after the date such New Vehicle is Deemed Floored, and (ii) in the case of each Demonstrator, Rental Vehicle, and other mileaged New Vehicle, beginning with the first Automatic Debit Date occurring after the date such New Vehicle is Deemed To Be A Mileage Vehicle, monthly payments of 2% of the original amount of the New Vehicle Floorplan Loan relating to such New Vehicle, with the final payment for all amounts then outstanding under such New Vehicle Floorplan Loan due 24 months after the date such New Vehicle is Deemed Floored. Upon the funding thereof, any New Vehicle Floorplan Overdraft shall be due and payable in full by the New Vehicle Borrowers on the next following Business Day.</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82</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(iv)Payments required to be made by any New Vehicle Borrower as set forth in </w:t>
      </w:r>
      <w:r>
        <w:rPr>
          <w:rFonts w:ascii="Times New Roman;sans-serif" w:hAnsi="Times New Roman;sans-serif"/>
          <w:b w:val="false"/>
          <w:color w:val="000000"/>
          <w:sz w:val="22"/>
          <w:u w:val="single"/>
        </w:rPr>
        <w:t>Section 2.15(b)(i)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shall be applied in the following order: (1) first, to the outstanding principal balance and then to accrued interest on any New Vehicle Floorplan Overdraft, (2) second, to the outstanding principal balance of New Vehicle Floorplan Swing Line Loans, and (3) finally, to the remaining outstanding principal balance of the New Vehicle Floor Plan Committed Loans. Payments required to be made by any New Vehicle Borrower as set forth in </w:t>
      </w:r>
      <w:r>
        <w:rPr>
          <w:rFonts w:ascii="Times New Roman;sans-serif" w:hAnsi="Times New Roman;sans-serif"/>
          <w:b w:val="false"/>
          <w:color w:val="000000"/>
          <w:sz w:val="22"/>
          <w:u w:val="single"/>
        </w:rPr>
        <w:t>Section 2.15(b)(iii)</w:t>
      </w:r>
      <w:r>
        <w:rPr>
          <w:color w:val="000000"/>
        </w:rPr>
        <w:t xml:space="preserve"> </w:t>
      </w:r>
      <w:r>
        <w:rPr>
          <w:rFonts w:ascii="Times New Roman;sans-serif" w:hAnsi="Times New Roman;sans-serif"/>
          <w:b w:val="false"/>
          <w:color w:val="000000"/>
          <w:sz w:val="22"/>
        </w:rPr>
        <w:t>shall be applied first to the outstanding principal balance and then to accrued interest on the New Vehicle Floorplan Loan with respect to the applicable New Vehicle, and then in the order set forth in the sentence above.</w:t>
      </w:r>
    </w:p>
    <w:p>
      <w:pPr>
        <w:pStyle w:val="TextBody"/>
        <w:spacing w:lineRule="auto" w:line="240" w:before="0" w:after="240"/>
        <w:ind w:left="0" w:right="0" w:firstLine="720"/>
        <w:jc w:val="both"/>
        <w:rPr/>
      </w:pPr>
      <w:r>
        <w:rPr>
          <w:rFonts w:ascii="Times New Roman;sans-serif" w:hAnsi="Times New Roman;sans-serif"/>
          <w:b w:val="false"/>
          <w:color w:val="000000"/>
          <w:sz w:val="22"/>
        </w:rPr>
        <w:t>(v)In the event of any disputed or duplicate New Vehicle Floorplan Loan (each a “</w:t>
      </w:r>
      <w:r>
        <w:rPr>
          <w:rFonts w:ascii="Times New Roman;sans-serif" w:hAnsi="Times New Roman;sans-serif"/>
          <w:b w:val="false"/>
          <w:color w:val="000000"/>
          <w:sz w:val="22"/>
          <w:u w:val="single"/>
        </w:rPr>
        <w:t>Disputed Existing Loan</w:t>
      </w:r>
      <w:r>
        <w:rPr>
          <w:color w:val="000000"/>
        </w:rPr>
        <w:t>”</w:t>
      </w:r>
      <w:r>
        <w:rPr>
          <w:rFonts w:ascii="Times New Roman;sans-serif" w:hAnsi="Times New Roman;sans-serif"/>
          <w:b w:val="false"/>
          <w:color w:val="000000"/>
          <w:sz w:val="22"/>
        </w:rPr>
        <w:t>) being refinanced or paid down by any New Vehicle Floorplan Committed Loan or New Vehicle Floorplan Swing Line Loan in reliance on information provided by the Company, any Subsidiary or any existing lender pursuant to any audit, the Borrowers will (jointly and severally) upon demand, repay any New Vehicle Floorplan Committed Loan or New Vehicle Floorplan Swing Line Loan related to such Disputed Existing Loan, including accrued interest with respect to such New Vehicle Floorplan Committed Loan or New Vehicle Floorplan Swing Line Loan, regardless of whether such Disputed Existing Loan has been resolved with the prior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(vi)Without limiting any other rights or obligations hereunder, interest, curtailment and other payments then due pursuant to this </w:t>
      </w:r>
      <w:r>
        <w:rPr>
          <w:rFonts w:ascii="Times New Roman;sans-serif" w:hAnsi="Times New Roman;sans-serif"/>
          <w:b w:val="false"/>
          <w:color w:val="000000"/>
          <w:sz w:val="22"/>
          <w:u w:val="single"/>
        </w:rPr>
        <w:t>Section 2.15(b)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2.17(b)</w:t>
      </w:r>
      <w:r>
        <w:rPr>
          <w:color w:val="000000"/>
        </w:rPr>
        <w:t xml:space="preserve"> </w:t>
      </w:r>
      <w:r>
        <w:rPr>
          <w:rFonts w:ascii="Times New Roman;sans-serif" w:hAnsi="Times New Roman;sans-serif"/>
          <w:b w:val="false"/>
          <w:color w:val="000000"/>
          <w:sz w:val="22"/>
        </w:rPr>
        <w:t>shall be automatically debited on the Automatic Debit Date of each month from a deposit account maintained by the applicable New Vehicle Borrower with Bank of America (or from any other account designated by the Company) pursuant to the Floorplan On-line System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account is not held with Bank of America, the payments described in this clause (vi) shall be debited one Business Day prior to the Automatic Debit Date,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if there are not sufficient funds in such account to pay such amounts, then the applicable New Vehicle Borrower shall pay such amounts in cash when due).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(vii)Payments made in respect of any New Vehicle Floorplan Loan must be made through the Floorplan On-Line System and shall not be effective unless (A) the Company has entered the amount of such payment and other required information (including the make, model and vehicle identification number of each respective New Vehicle) in the Floorplan On-Line System not later than 7:00 p.m. on the date of the payment, or (B) all New Vehicle Floorplan Loans are being simultaneously paid in full.</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(viii)So long as the New Vehicle Swing Line Lender is also the Administrative Agent, all payments of principal on New Vehicle Floorplan Committed Loans shall be delivered to the New Vehicle Floorplan Swing Line Lender. Once the New Vehicle Floorplan Swing Line Lender has analyzed the outstanding principal amount of the applicable Loans and confirmed the VIN numbers of the related Vehicles, the New Vehicle Floorplan Swing Line Lender will turn such payment over to the Administrative Agent for application to the New Vehicle Floorplan Committed Loans. Any payment of New Vehicle Floorplan Loans must specify the VIN number of the applicable Vehicle unless all New Vehicle Floorplan Loans are being simultaneously paid in full.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Repayment of Used Vehicle Floorplan Loans.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Used Vehicle Borrowers (jointly and severally) shall repay each Used Vehicle Floorplan Committed Loan on the Maturity Date.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(ii)At any time the Used Vehicle Autoborrow Agreement is in effect with respect to the Used Vehicle Swing Line Loans, the Used Vehicle Swing Line Loans shall be repaid (A) in accordance with the terms of such Used Vehicle Autoborrow Agreement and (B) in any event, on the Maturity Date. At any time the Used Vehicle Autoborrow Agreement is not in effect with respect to the Used Vehicle Swing Line Loans, the Used Vehicle Borrowers (jointly and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severally) shall repay each Used Vehicle Floorplan Swing Line Loan on the Maturity Date or promptly following any demand by the Used Vehicle Floorplan Swing Line Lender.</w:t>
      </w:r>
    </w:p>
    <w:p>
      <w:pPr>
        <w:pStyle w:val="TextBody"/>
        <w:spacing w:lineRule="auto" w:line="240" w:before="0" w:after="240"/>
        <w:ind w:left="0" w:right="0" w:firstLine="720"/>
        <w:jc w:val="both"/>
        <w:rPr/>
      </w:pPr>
      <w:r>
        <w:rPr>
          <w:rFonts w:ascii="Times New Roman;sans-serif" w:hAnsi="Times New Roman;sans-serif"/>
          <w:b/>
          <w:color w:val="000000"/>
          <w:sz w:val="22"/>
        </w:rPr>
        <w:t>2.16</w:t>
      </w:r>
      <w:r>
        <w:rPr>
          <w:rFonts w:ascii="Times New Roman;sans-serif" w:hAnsi="Times New Roman;sans-serif"/>
          <w:b/>
          <w:color w:val="000000"/>
          <w:sz w:val="22"/>
        </w:rPr>
        <w:t>Interest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Subject to the provisions of </w:t>
      </w:r>
      <w:r>
        <w:rPr>
          <w:rFonts w:ascii="Times New Roman;sans-serif" w:hAnsi="Times New Roman;sans-serif"/>
          <w:b w:val="false"/>
          <w:color w:val="000000"/>
          <w:sz w:val="22"/>
          <w:u w:val="single"/>
        </w:rPr>
        <w:t>subsections (b)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below, (i) each Eurodollar Rate Committed Loan shall bear interest on the outstanding principal amount thereof from the applicable borrowing date at a rate per annum equal to the Eurodollar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(ii) each Base Rate Committed Loan shall bear interest on the outstanding principal amount thereof from the applicable borrowing date at a rate per annum equal to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and (iii) each Swing Line Loan shall bear interest on the outstanding principal amount thereof from the applicable borrowing date at a rate per annum equal to the Eurodollar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or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Rate, as applicable.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(iii)Upon the request of the Required Lenders, while any Event of Default exists (other than as set forth in </w:t>
      </w:r>
      <w:r>
        <w:rPr>
          <w:rFonts w:ascii="Times New Roman;sans-serif" w:hAnsi="Times New Roman;sans-serif"/>
          <w:b w:val="false"/>
          <w:color w:val="000000"/>
          <w:sz w:val="22"/>
          <w:u w:val="single"/>
        </w:rPr>
        <w:t>clauses (b)(i)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(b)(ii)</w:t>
      </w:r>
      <w:r>
        <w:rPr>
          <w:color w:val="000000"/>
        </w:rPr>
        <w:t xml:space="preserve"> </w:t>
      </w:r>
      <w:r>
        <w:rPr>
          <w:rFonts w:ascii="Times New Roman;sans-serif" w:hAnsi="Times New Roman;sans-serif"/>
          <w:b w:val="false"/>
          <w:color w:val="000000"/>
          <w:sz w:val="22"/>
        </w:rPr>
        <w:t>above), the applicable Borrowers shall pay interest on the principal amount of all outstanding Obligations hereunder at a fluctuating interest rate per annum at all times equal to the Default Rate to the fullest extent permitted by applicable Laws.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(iv)Accrued and unpaid interest on past due amounts (including interest on past due interest) shall be due and payable upon demand.</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Subject to provisos (i) and (ii) in the last paragraph of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 xml:space="preserve">, Bank of America may enter into a New Vehicle Floorplan Offset Agreement with the Company, any New Vehicle Borrowers or any other Subsidiary from time to time, and while such an agreement is in effect and any Floorplan Offset Amount is credited to the respective New Vehicle Floorplan Offset Account, New Vehicle Floorplan Committed Loans in an aggregate outstanding principal amount equal to the Floorplan Offset Amount will not bear interest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Floorplan Offset Amount shall not exceed 20% of the aggregate Outstanding Amount of all New Vehicle Floorplan Loans at any time. </w:t>
      </w:r>
    </w:p>
    <w:p>
      <w:pPr>
        <w:pStyle w:val="TextBody"/>
        <w:spacing w:lineRule="auto" w:line="240" w:before="0" w:after="240"/>
        <w:ind w:left="0" w:right="0" w:firstLine="720"/>
        <w:jc w:val="both"/>
        <w:rPr/>
      </w:pPr>
      <w:r>
        <w:rPr>
          <w:rFonts w:ascii="Times New Roman;sans-serif" w:hAnsi="Times New Roman;sans-serif"/>
          <w:b/>
          <w:color w:val="000000"/>
          <w:sz w:val="22"/>
        </w:rPr>
        <w:t>2.17</w:t>
      </w:r>
      <w:r>
        <w:rPr>
          <w:rFonts w:ascii="Times New Roman;sans-serif" w:hAnsi="Times New Roman;sans-serif"/>
          <w:b/>
          <w:color w:val="000000"/>
          <w:sz w:val="22"/>
        </w:rPr>
        <w:t>Fees</w:t>
      </w:r>
      <w:r>
        <w:rPr>
          <w:rFonts w:ascii="Times New Roman;sans-serif" w:hAnsi="Times New Roman;sans-serif"/>
          <w:b w:val="false"/>
          <w:color w:val="000000"/>
          <w:sz w:val="22"/>
        </w:rPr>
        <w:t xml:space="preserve">. In addition to certain fees described in </w:t>
      </w:r>
      <w:r>
        <w:rPr>
          <w:rFonts w:ascii="Times New Roman;sans-serif" w:hAnsi="Times New Roman;sans-serif"/>
          <w:b w:val="false"/>
          <w:color w:val="000000"/>
          <w:sz w:val="22"/>
          <w:u w:val="single"/>
        </w:rPr>
        <w:t>subsections (h)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Commitment Fees</w:t>
      </w:r>
      <w:r>
        <w:rPr>
          <w:rFonts w:ascii="Times New Roman;sans-serif" w:hAnsi="Times New Roman;sans-serif"/>
          <w:b w:val="false"/>
          <w:color w:val="000000"/>
          <w:sz w:val="22"/>
        </w:rPr>
        <w:t xml:space="preserve">. The Company shall pay to the Administrative Agent for the account of each Revolving Lender in accordance with its Applicable Revolving Percentage, a commitment fee equal to the Applicable Rate times the actual daily amount by which the Aggregate Revolving Commitments exceed the sum of (i) the Outstanding Amount of Revolving Committed Loans and (ii) the Outstanding Amount of L/C Obligations,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The Borrowers (jointly and severally) shall pay to the Administrative Agent for the account of each New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Vehicle Floorplan Lender in accordance with its Applicable New Vehicle Floorplan Percentage, a commitment fee equal to the Applicable Rate times the actual daily amount by which the Aggregate New Vehicle Floorplan Commitments exceed the difference between (A) the Outstanding Amount of New Vehicle Floorplan Committed Loans, minus (B) the Floorplan Offset Amount. The Borrowers (jointly and severally) shall pay to the Administrative Agent for the account of each Used Vehicle Floorplan Lender in accordance with its Applicable Used Vehicle Floorplan Percentage, a commitment fee equal to the Applicable Rate times the actual daily amount by which the Aggregate Used Vehicle Floorplan Commitments exceed the Outstanding Amount of Used Vehicle Floorplan Committed Loans,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The commitment fees shall accrue at all times during the Availability Period, including at any time during which one or more of the conditions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is not met, and shall be due and payable quarterly in arrears on the next succeeding Automatic Debit Date after the end of each March, June, September and December, commencing with the first such date to occur after the Closing Date, and on the Maturity Date. The commitment fees shall be calculated quarterly in arrears, and if there is any change in the respective Applicable Rate during any quarter, the actual daily amount shall be computed and multiplied by such Applicable Rate separately for each period during such quarter that such Applicable Rate was in effect. For purposes of clarity, Revolving Swing Line Loans, New Vehicle Floorplan Swing Line Loans, Used Vehicle Floorplan Swing Line Loans and amounts in any New Vehicle Floorplan Offset Account shall not be included in calculating the Outstanding Amount of Revolving Committed Loans, New Vehicle Floorplan Committed Loans or Used Vehicle Floorplan Committed Loans used in determining the commitment fees set forth above.</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Other Fees</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shall pay to the Arranger and the Administrative Agent for their own respective accounts fees in the amounts and at the times specified in the Fee Letter. Such fees shall be fully earned when paid and shall not be refundable for any reason whatsoever.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Company shall pay to the Lenders such fees as shall have been separately agreed upon in writing in the amounts and at the times so specified. Such fees shall be fully earned when paid and shall not be refundable for any reason whatsoever.</w:t>
      </w:r>
    </w:p>
    <w:p>
      <w:pPr>
        <w:pStyle w:val="TextBody"/>
        <w:spacing w:lineRule="auto" w:line="240" w:before="0" w:after="240"/>
        <w:ind w:left="0" w:right="0" w:firstLine="720"/>
        <w:jc w:val="both"/>
        <w:rPr/>
      </w:pPr>
      <w:r>
        <w:rPr>
          <w:rFonts w:ascii="Times New Roman;sans-serif" w:hAnsi="Times New Roman;sans-serif"/>
          <w:b/>
          <w:color w:val="000000"/>
          <w:sz w:val="22"/>
        </w:rPr>
        <w:t>2.18</w:t>
      </w:r>
      <w:r>
        <w:rPr>
          <w:rFonts w:ascii="Times New Roman;sans-serif" w:hAnsi="Times New Roman;sans-serif"/>
          <w:b/>
          <w:color w:val="000000"/>
          <w:sz w:val="22"/>
        </w:rPr>
        <w:t>Computation of Interest and Fees; Retroactive Adjustments of Applicable Rate</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Loan that is repaid on the same day on which it is made shall, subject to </w:t>
      </w:r>
      <w:r>
        <w:rPr>
          <w:rFonts w:ascii="Times New Roman;sans-serif" w:hAnsi="Times New Roman;sans-serif"/>
          <w:b w:val="false"/>
          <w:color w:val="000000"/>
          <w:sz w:val="22"/>
          <w:u w:val="single"/>
        </w:rPr>
        <w:t>Section 2.20(a)</w:t>
      </w:r>
      <w:r>
        <w:rPr>
          <w:rFonts w:ascii="Times New Roman;sans-serif" w:hAnsi="Times New Roman;sans-serif"/>
          <w:b w:val="false"/>
          <w:color w:val="000000"/>
          <w:sz w:val="22"/>
        </w:rPr>
        <w:t>, bear interest for one day. Each determination by the Administrative Agent of an interest rate or fee hereunder shall be conclusive and binding for all purposes, absent manifest error.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as a result of any restatement of or other adjustment to the financial statements of the Company or for any other reason, the Company or the Lenders determine that (i) the Consolidated Total Lease Adjusted Leverage Ratio as calculated by the Company as of any applicable date was inaccurate and (ii) a proper calculation of the Consolidated Total Lease Adjusted Leverage Ratio would have resulted in higher pricing for such period, the Company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Company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Times New Roman;sans-serif" w:hAnsi="Times New Roman;sans-serif"/>
          <w:b w:val="false"/>
          <w:color w:val="000000"/>
          <w:sz w:val="22"/>
          <w:u w:val="single"/>
        </w:rPr>
        <w:t>Section 2.03(e)(iii)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2.03(h)</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2.17(b)</w:t>
      </w:r>
      <w:r>
        <w:rPr>
          <w:color w:val="000000"/>
        </w:rPr>
        <w:t xml:space="preserve"> </w:t>
      </w:r>
      <w:r>
        <w:rPr>
          <w:rFonts w:ascii="Times New Roman;sans-serif" w:hAnsi="Times New Roman;sans-serif"/>
          <w:b w:val="false"/>
          <w:color w:val="000000"/>
          <w:sz w:val="22"/>
        </w:rPr>
        <w:t xml:space="preserve">or under </w:t>
      </w:r>
      <w:r>
        <w:rPr>
          <w:rFonts w:ascii="Times New Roman;sans-serif" w:hAnsi="Times New Roman;sans-serif"/>
          <w:b w:val="false"/>
          <w:color w:val="000000"/>
          <w:sz w:val="22"/>
          <w:u w:val="single"/>
        </w:rPr>
        <w:t>Article VIII</w:t>
      </w:r>
      <w:r>
        <w:rPr>
          <w:rFonts w:ascii="Times New Roman;sans-serif" w:hAnsi="Times New Roman;sans-serif"/>
          <w:b w:val="false"/>
          <w:color w:val="000000"/>
          <w:sz w:val="22"/>
        </w:rPr>
        <w:t>. The Company’s obligations under this paragraph shall survive the termination of the Aggregate Commitments and the repayment of all other Obligations hereunder.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85</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2.19</w:t>
      </w:r>
      <w:r>
        <w:rPr>
          <w:rFonts w:ascii="Times New Roman;sans-serif" w:hAnsi="Times New Roman;sans-serif"/>
          <w:b/>
          <w:color w:val="000000"/>
          <w:sz w:val="22"/>
        </w:rPr>
        <w:t>Evidence of Debt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w:t>
      </w:r>
      <w:r>
        <w:rPr>
          <w:rFonts w:ascii="Times New Roman;sans-serif" w:hAnsi="Times New Roman;sans-serif"/>
          <w:b w:val="false"/>
          <w:color w:val="000000"/>
          <w:sz w:val="22"/>
          <w:u w:val="single"/>
        </w:rPr>
        <w:t>, however</w:t>
      </w:r>
      <w:r>
        <w:rPr>
          <w:rFonts w:ascii="Times New Roman;sans-serif" w:hAnsi="Times New Roman;sans-serif"/>
          <w:b w:val="false"/>
          <w:color w:val="000000"/>
          <w:sz w:val="22"/>
        </w:rPr>
        <w:t>,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respective Borrowers under each Facility shall execute and deliver to such Lender (through the Administrative Agent) (i) a Revolving Note, which shall evidence such Lender’s Revolving Loans, (ii) a New Vehicle Floorplan Note, which shall evidence such Lender’s New Vehicle Floorplan Loans, and (iii) a Used Vehicle Floorplan Note, which shall evidence such Lender’s Used Vehicle Floorplan Loans, in each case in addition to such accounts or records. Each Lender may attach schedules to its Notes and endorse thereon the date, Type (if applicable), amount and maturity of its Loans and payments with respect thereto.</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addition to the accounts and records referred to in subsection (a), each Lender and the Administrative Agent shall maintain in accordance with its usual practice accounts or records evidencing the purchases and sales by such Lender of participations in Letters of Credit, Revolving Swing Line Loans, New Vehicle Floorplan Swing Line Loans and Used Vehicle Floorplan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spacing w:lineRule="auto" w:line="240" w:before="0" w:after="240"/>
        <w:ind w:left="0" w:right="0" w:firstLine="720"/>
        <w:jc w:val="both"/>
        <w:rPr/>
      </w:pPr>
      <w:r>
        <w:rPr>
          <w:rFonts w:ascii="Times New Roman;sans-serif" w:hAnsi="Times New Roman;sans-serif"/>
          <w:b/>
          <w:color w:val="000000"/>
          <w:sz w:val="22"/>
        </w:rPr>
        <w:t>2.20</w:t>
      </w:r>
      <w:r>
        <w:rPr>
          <w:rFonts w:ascii="Times New Roman;sans-serif" w:hAnsi="Times New Roman;sans-serif"/>
          <w:b/>
          <w:color w:val="000000"/>
          <w:sz w:val="22"/>
        </w:rPr>
        <w:t>Payments Generally; Administrative Agent’s Clawback</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All payments to be made by any Borrower shall be made free and clear of and without condition or deduction for any counterclaim, defense, recoupment or setoff. Except as otherwise expressly provided herein, all payments by any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Revolving Percentage, Applicable New Vehicle Floorplan Percentage or Applicable Used Vehicle Floorplan Percentage, as applicable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All payments to be made by any Borrower hereunder to the New Vehicle Floorplan Swing Line Lender shall be made as follows: upon a New Vehicle Borrower entering information into the Floorplan On-Line System authorizing the New Vehicle Floorplan Swing Line Lender to debit any amount from such Borrower’s deposit account, such amount will be deemed received by the New Vehicle Floorplan Swing Line Lender at the following times depending on whether the deposit account is maintained at Bank of America and when the request is entered pursuant to the Floorplan On-Line System:</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the deposit account is maintained at Bank of America, the amount will be deemed received (A) on the same Business Day if the request is entered prior to 7:00 p.m. on that day, or (B) on the next Business Day if the request is entered at or after 7:00 p.m. or is entered on a day that is not a Business Day;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the deposit account is maintained at any Person other than Bank of America, the amount will be deemed received (A) on the following Business Day if the request is received prior to 7:00 p.m. on a Business Day, or (B) two Business Days later if the request is entered at or after 7:00 p.m. or is entered on a day that is not a Business Day.</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86</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payment to be made by any Borrower shall come due on a day other than a Business Day, payment shall be made on the next following Business Day, and such extension of time shall be reflected in computing interest or fees, as the case may be.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Funding by Lenders; Presumption by Administrative Agent</w:t>
      </w:r>
      <w:r>
        <w:rPr>
          <w:rFonts w:ascii="Times New Roman;sans-serif" w:hAnsi="Times New Roman;sans-serif"/>
          <w:b w:val="false"/>
          <w:color w:val="000000"/>
          <w:sz w:val="22"/>
        </w:rPr>
        <w:t xml:space="preserve">. Unless the Administrative Agent shall have received notice from a Lender prior to 12:00 noon on the date of any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2.06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and may, in reliance upon such assumption, make available to the Company or applicable Vehicle Borrower a corresponding amount. In such event, if a Lender has not in fact made its share of the applicable Committed Borrowing available to the Administrative Agent, then the applicable Lender, the Company and the other Borrowers severally agree to pay to the Administrative Agent forthwith on demand such corresponding amount in immediately available funds with interest thereon, for each day from and including the date such amount is made available to the Company or applicable Vehicle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customarily charged by the Administrative Agent in connection with the foregoing, and (B) in the case of a payment to be made by the Company or any other Borrower, the interest rate applicable to Base Rate Loans. If the Company or any other Borrower and such Lender shall pay such interest to the Administrative Agent for the same or an overlapping period, the Administrative Agent shall promptly remit to the Company or applicable Vehicle Borrower the amount of such interest paid by the Company or such Borrower for such period. If such Lender pays its share of the applicable Committed Borrowing to the Administrative Agent, then the amount so paid shall constitute such Lender’s Loan included in such Committed Borrowing. Any payment by the Company or any other Borrower shall be without prejudice to any claim the Company or any other Borrower may have against a Lender that shall have failed to make such payment to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Payments by Borrowers; Presumptions by Administrative Agent</w:t>
      </w:r>
      <w:r>
        <w:rPr>
          <w:rFonts w:ascii="Times New Roman;sans-serif" w:hAnsi="Times New Roman;sans-serif"/>
          <w:b w:val="false"/>
          <w:color w:val="000000"/>
          <w:sz w:val="22"/>
        </w:rPr>
        <w:t xml:space="preserve">. Unless the Administrative Agent shall have received notice from the Company (on its own behalf or on behalf of another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such L/C Issuer, as the case may be, the amount due. </w:t>
      </w:r>
    </w:p>
    <w:p>
      <w:pPr>
        <w:pStyle w:val="TextBody"/>
        <w:spacing w:lineRule="auto" w:line="240" w:before="0" w:after="240"/>
        <w:ind w:left="0" w:right="0" w:firstLine="720"/>
        <w:jc w:val="both"/>
        <w:rPr/>
      </w:pPr>
      <w:r>
        <w:rPr>
          <w:rFonts w:ascii="Times New Roman;sans-serif" w:hAnsi="Times New Roman;sans-serif"/>
          <w:b w:val="false"/>
          <w:color w:val="000000"/>
          <w:sz w:val="22"/>
        </w:rPr>
        <w:t>With respect to</w:t>
      </w:r>
      <w:r>
        <w:rPr>
          <w:color w:val="000000"/>
        </w:rPr>
        <w:t xml:space="preserve"> </w:t>
      </w:r>
      <w:r>
        <w:rPr>
          <w:rFonts w:ascii="Times New Roman;sans-serif" w:hAnsi="Times New Roman;sans-serif"/>
          <w:b w:val="false"/>
          <w:color w:val="000000"/>
          <w:sz w:val="22"/>
        </w:rPr>
        <w:t>any payment that</w:t>
      </w:r>
      <w:r>
        <w:rPr>
          <w:color w:val="000000"/>
        </w:rPr>
        <w:t xml:space="preserve"> </w:t>
      </w:r>
      <w:r>
        <w:rPr>
          <w:rFonts w:ascii="Times New Roman;sans-serif" w:hAnsi="Times New Roman;sans-serif"/>
          <w:b w:val="false"/>
          <w:color w:val="000000"/>
          <w:sz w:val="22"/>
        </w:rPr>
        <w:t>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sans-serif" w:hAnsi="Times New Roman;sans-serif"/>
          <w:b w:val="false"/>
          <w:color w:val="000000"/>
          <w:sz w:val="22"/>
          <w:u w:val="single"/>
        </w:rPr>
        <w:t>Rescindable Amount</w:t>
      </w:r>
      <w:r>
        <w:rPr>
          <w:color w:val="000000"/>
        </w:rPr>
        <w:t>”</w:t>
      </w:r>
      <w:r>
        <w:rPr>
          <w:rFonts w:ascii="Times New Roman;sans-serif" w:hAnsi="Times New Roman;sans-serif"/>
          <w:b w:val="false"/>
          <w:color w:val="000000"/>
          <w:sz w:val="22"/>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L/C Issuer,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notice of the Administrative Agent to any Lender or any Borrower with respect to any amount owing under this subsection (b) shall be conclusive, absent manifest error.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87</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Failure to Satisfy Conditions Precedent</w:t>
      </w:r>
      <w:r>
        <w:rPr>
          <w:rFonts w:ascii="Times New Roman;sans-serif" w:hAnsi="Times New Roman;sans-serif"/>
          <w:b w:val="false"/>
          <w:color w:val="000000"/>
          <w:sz w:val="22"/>
        </w:rPr>
        <w:t xml:space="preserve">. If any Lender makes available to the Administrative Agent funds for any Loan to be made by such Lender to any Borrower as provided in the foregoing provisions of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and such funds are not made available to such Borrower by the Administrative Agent because the conditions to the applicable Credit Extension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Obligations of Revolving Lenders Several</w:t>
      </w:r>
      <w:r>
        <w:rPr>
          <w:rFonts w:ascii="Times New Roman;sans-serif" w:hAnsi="Times New Roman;sans-serif"/>
          <w:b w:val="false"/>
          <w:color w:val="000000"/>
          <w:sz w:val="22"/>
        </w:rPr>
        <w:t xml:space="preserve">. The obligations of the Lenders in each Facility hereunder to make Committed Loans with respect to such Facility, to fund participations in the applicable Swing Line Loans under such Facility and, if applicable, Letters of Credit and to make payments pursuant to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 xml:space="preserve">are several and not joint within each such Facility. The failure of any Lender to make any Committed Loan, to fund any such participation or to make any payment under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 xml:space="preserve">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sans-serif" w:hAnsi="Times New Roman;sans-serif"/>
          <w:b w:val="false"/>
          <w:color w:val="000000"/>
          <w:sz w:val="22"/>
          <w:u w:val="single"/>
        </w:rPr>
        <w:t>Section 10.04(c)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Funding Source</w:t>
      </w:r>
      <w:r>
        <w:rPr>
          <w:rFonts w:ascii="Times New Roman;sans-serif" w:hAnsi="Times New Roman;sans-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Insufficient Funds</w:t>
      </w:r>
      <w:r>
        <w:rPr>
          <w:rFonts w:ascii="Times New Roman;sans-serif" w:hAnsi="Times New Roman;sans-serif"/>
          <w:b w:val="false"/>
          <w:color w:val="000000"/>
          <w:sz w:val="22"/>
        </w:rPr>
        <w:t>.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p>
      <w:pPr>
        <w:pStyle w:val="TextBody"/>
        <w:spacing w:lineRule="auto" w:line="240" w:before="0" w:after="240"/>
        <w:ind w:left="0" w:right="0" w:firstLine="720"/>
        <w:jc w:val="both"/>
        <w:rPr/>
      </w:pPr>
      <w:r>
        <w:rPr>
          <w:rFonts w:ascii="Times New Roman;sans-serif" w:hAnsi="Times New Roman;sans-serif"/>
          <w:b/>
          <w:color w:val="000000"/>
          <w:sz w:val="22"/>
        </w:rPr>
        <w:t>2.21</w:t>
      </w:r>
      <w:r>
        <w:rPr>
          <w:rFonts w:ascii="Times New Roman;sans-serif" w:hAnsi="Times New Roman;sans-serif"/>
          <w:b/>
          <w:color w:val="000000"/>
          <w:sz w:val="22"/>
        </w:rPr>
        <w:t>Sharing of Payments by Lenders</w:t>
      </w:r>
      <w:r>
        <w:rPr>
          <w:rFonts w:ascii="Times New Roman;sans-serif" w:hAnsi="Times New Roman;sans-serif"/>
          <w:b w:val="false"/>
          <w:color w:val="000000"/>
          <w:sz w:val="22"/>
        </w:rPr>
        <w:t xml:space="preserve">. If any Lender shall, by exercising any right of setoff or counterclaim or otherwise, obtain payment in respect of any principal of or interest on any of the Revolving Committed Loans, New Vehicle Floorplan Committed Loans, or Used Vehicle Floorplan Committed Loans made by it, or the participations in L/C Obligations, Revolving Swing Line Loans, New Vehicle Floorplan Swing Line Loans or Used Vehicle Floorplan Swing Line Loans held by it resulting in such Lender’s receiving payment of a proportion of the aggregate amount of such Revolving Committed Loans, New Vehicle Floorplan Committed Loans, or Used Vehicle Floorplan Committed Loans or participations and accrued interest thereon greater than its pro rata share thereof as provided herein, then the Lender receiving such greater proportion shall (a) notify the Administrative Agent of such fact, and (b) purchase from the other applicable Lenders (in the respective Revolving Facility, New Vehicle Floorplan Facility or Used Vehicle Floorplan Facility) (for cash at face value) participations in the applicable Revolving Committed Loans, New Vehicle Floorplan Committed Loans, or Used Vehicle Floorplan Committed Loans and subparticipations in L/C Obligations, Revolving Swing Line Loans, New Vehicle Floorplan Swing Line Loans or Used Vehicle Floorplan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(ii)the provisions of this Section shall not be construed to apply to (x) any payment made by or on behalf of any Borrower pursuant to and in accordance with the express terms of this Agreement (including the application of funds arising from the existence of a Defaulting Lender, or payments made under this Agreement to a Non-Extending Lender on its Maturity Date) (y) the application of Cash Collateral provided for in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xml:space="preserve">, or (z) any payment obtained by a Lender as consideration for the assignment of or sale of a participation in any of its Revolving Committed Loans, New Vehicle Floorplan Committed Loans or Used Vehicle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Floorplan Committed Loans or subparticipations in L/C Obligations, Revolving Swing Line Loans, New Vehicle Floorplan Swing Line Loans or Used Vehicle Floorplan Swing Line Loans, as the case may be, to any assignee or participant, other than an assignment to the Company or any Subsidiary thereof (as to which the provisions of this Section shall apply).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spacing w:lineRule="auto" w:line="240" w:before="0" w:after="240"/>
        <w:ind w:left="0" w:right="0" w:firstLine="720"/>
        <w:jc w:val="both"/>
        <w:rPr/>
      </w:pPr>
      <w:r>
        <w:rPr>
          <w:rFonts w:ascii="Times New Roman;sans-serif" w:hAnsi="Times New Roman;sans-serif"/>
          <w:b/>
          <w:color w:val="000000"/>
          <w:sz w:val="22"/>
        </w:rPr>
        <w:t>2.22</w:t>
      </w:r>
      <w:r>
        <w:rPr>
          <w:rFonts w:ascii="Times New Roman;sans-serif" w:hAnsi="Times New Roman;sans-serif"/>
          <w:b/>
          <w:color w:val="000000"/>
          <w:sz w:val="22"/>
        </w:rPr>
        <w:t>Increase in Commitments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Request for Increase</w:t>
      </w:r>
      <w:r>
        <w:rPr>
          <w:rFonts w:ascii="Times New Roman;sans-serif" w:hAnsi="Times New Roman;sans-serif"/>
          <w:b w:val="false"/>
          <w:color w:val="000000"/>
          <w:sz w:val="22"/>
        </w:rPr>
        <w:t xml:space="preserve">. Provided there exists no Default, upon notice to the Administrative Agent (which shall promptly notify the applicable Lenders), the Company may from time to time after the Closing Date, request a simultaneous increase in the Aggregate Revolving Commitments, the Aggregate New Vehicle Floorplan Facility Commitments and the Aggregate Used Vehicle Floorplan Commitments by an aggregate amount (for all such requests) not exceeding the amount equal to the sum of (A) the amount that would make the Consolidated Secured Leverage Ratio equal to 2.00 to 1.00 (assuming that any increase in the Revolving Commitments is fully drawn) plus (B) $350,000,000;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any such request for an increase shall be in a minimum amount of $25,000,000, (ii) the Company may make a maximum of two such requests in any fiscal year, (iii) any increase in a Lender’s Commitments will be allocated pro rata to the Revolving Credit Facility, the New Vehicle Floorplan Facility and the Used Vehicle Floorplan Facility, (iv) the Revolving Credit Facility, the New Vehicle Floorplan Facility and the Used Vehicle Floorplan Facility shall be increased by a pro rata amount which results in approximately the same ratio of commitments existing between the Revolving Credit Facility and the Floorplan Facilities as of the Closing Date, (v) after giving effect to such increase, no more than 20% of the Aggregate Floorplan Facility Commitments may be allocated to the Aggregate Used Vehicle Floorplan Commitments and (vi) Revolving Commitments shall not exceed 20% of the Aggregate Commitments then in effect. At the time of sending such notice, the Company (in consultation with the Administrative Agent) shall specify the time period within which each Lender is requested to respond (which shall in no event be less than ten Business Days from the date of delivery of such notice to the Lenders).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Lender Elections to Increase</w:t>
      </w:r>
      <w:r>
        <w:rPr>
          <w:rFonts w:ascii="Times New Roman;sans-serif" w:hAnsi="Times New Roman;sans-serif"/>
          <w:b w:val="false"/>
          <w:color w:val="000000"/>
          <w:sz w:val="22"/>
        </w:rPr>
        <w:t>. Each Lender shall notify the Administrative Agent within such time period whether or not it agrees to increase its Revolving Commitment and Floorplan Commitment and, if so, by what amount. Any Lender not responding within such time period shall be deemed to have declined to increase its Commitment.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Notification by Administrative Agent; Additional Lenders</w:t>
      </w:r>
      <w:r>
        <w:rPr>
          <w:rFonts w:ascii="Times New Roman;sans-serif" w:hAnsi="Times New Roman;sans-serif"/>
          <w:b w:val="false"/>
          <w:color w:val="000000"/>
          <w:sz w:val="22"/>
        </w:rPr>
        <w:t>. The Administrative Agent shall notify the Company and each Lender of the Lenders’ responses to each request made hereunder. To achieve the full amount of a requested increase and subject to the approval of the Administrative Agent, the L/C Issuers and the Swing Line Lenders (which approvals shall not be unreasonably withheld or delayed), the Company may also invite additional Eligible Assignees to become Lenders pursuant to a joinder agreement in form and substance satisfactory to the Administrative Agent and its counsel.</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Effective Date and Allocations</w:t>
      </w:r>
      <w:r>
        <w:rPr>
          <w:rFonts w:ascii="Times New Roman;sans-serif" w:hAnsi="Times New Roman;sans-serif"/>
          <w:b w:val="false"/>
          <w:color w:val="000000"/>
          <w:sz w:val="22"/>
        </w:rPr>
        <w:t>. If the Aggregate Commitments are increased in accordance with this Section, the Administrative Agent and the Company shall determine the effective date (the “</w:t>
      </w:r>
      <w:r>
        <w:rPr>
          <w:rFonts w:ascii="Times New Roman;sans-serif" w:hAnsi="Times New Roman;sans-serif"/>
          <w:b w:val="false"/>
          <w:color w:val="000000"/>
          <w:sz w:val="22"/>
          <w:u w:val="single"/>
        </w:rPr>
        <w:t>Increase Effective Date</w:t>
      </w:r>
      <w:r>
        <w:rPr>
          <w:color w:val="000000"/>
        </w:rPr>
        <w:t>”</w:t>
      </w:r>
      <w:r>
        <w:rPr>
          <w:rFonts w:ascii="Times New Roman;sans-serif" w:hAnsi="Times New Roman;sans-serif"/>
          <w:b w:val="false"/>
          <w:color w:val="000000"/>
          <w:sz w:val="22"/>
        </w:rPr>
        <w:t>) and the final allocation of such increase. The Administrative Agent shall promptly notify the Company and the Lenders of the final allocation of such increase and the Increase Effective Date.</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Conditions to Effectiveness of Increase</w:t>
      </w:r>
      <w:r>
        <w:rPr>
          <w:rFonts w:ascii="Times New Roman;sans-serif" w:hAnsi="Times New Roman;sans-serif"/>
          <w:b w:val="false"/>
          <w:color w:val="000000"/>
          <w:sz w:val="22"/>
        </w:rPr>
        <w:t xml:space="preserve">. As a condition precedent to such increase, the Company shall deliver to the Administrative Agent a certificate of each Loan Party dated as of the Increase Effective Date signed by a Responsible Officer of the Company (x) certifying that such increase has been duly authorized and approved by all necessary corporate or other organizational action of the Loan Parties (and, if not previously delivered, attaching a copy of the relevant corporate or other organizational action of such Loan Parties), and (y) certifying that, before and after giving effect to such increase, (A) the representations and warranties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and the other Loan Documents are true and correct in all material respects on and as of the Increase Effective Date, except to the extent that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89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such representations and warranties specifically refer to an earlier date, in which case they are true and correct in all material respects as of such earlier date, and except that for purposes of this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xml:space="preserve">, the representations and warranties contained in subsections (a) and (b) 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clauses (a) and (b),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and (B) no Default exists;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with respect to any Increase in Commitments the proceeds of which are intended to be and are actually used to finance one or more Permitted Acquisitions which are subject to customary “certain funds provisions”, such certifications and representations (and the conditions to making the Loans to finance such Permitted Acquisition(s)) may be modified to reflect customary “certain funds provisions” as agreed to by the Administrative Agent and the Company. </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Conflicting Provisions</w:t>
      </w:r>
      <w:r>
        <w:rPr>
          <w:rFonts w:ascii="Times New Roman;sans-serif" w:hAnsi="Times New Roman;sans-serif"/>
          <w:b w:val="false"/>
          <w:color w:val="000000"/>
          <w:sz w:val="22"/>
        </w:rPr>
        <w:t xml:space="preserve">. This Section shall supersede any provisions in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10.01</w:t>
      </w:r>
      <w:r>
        <w:rPr>
          <w:color w:val="000000"/>
        </w:rPr>
        <w:t xml:space="preserve"> </w:t>
      </w:r>
      <w:r>
        <w:rPr>
          <w:rFonts w:ascii="Times New Roman;sans-serif" w:hAnsi="Times New Roman;sans-serif"/>
          <w:b w:val="false"/>
          <w:color w:val="000000"/>
          <w:sz w:val="22"/>
        </w:rPr>
        <w:t>to the contrary.</w:t>
      </w:r>
    </w:p>
    <w:p>
      <w:pPr>
        <w:pStyle w:val="TextBody"/>
        <w:spacing w:lineRule="auto" w:line="240" w:before="0" w:after="240"/>
        <w:ind w:left="0" w:right="0" w:firstLine="720"/>
        <w:jc w:val="both"/>
        <w:rPr/>
      </w:pPr>
      <w:r>
        <w:rPr>
          <w:rFonts w:ascii="Times New Roman;sans-serif" w:hAnsi="Times New Roman;sans-serif"/>
          <w:b/>
          <w:color w:val="000000"/>
          <w:sz w:val="22"/>
        </w:rPr>
        <w:t>2.23</w:t>
      </w:r>
      <w:r>
        <w:rPr>
          <w:rFonts w:ascii="Times New Roman;sans-serif" w:hAnsi="Times New Roman;sans-serif"/>
          <w:b/>
          <w:color w:val="000000"/>
          <w:sz w:val="22"/>
        </w:rPr>
        <w:t>Extension of Maturity Date</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Requests for Extension</w:t>
      </w:r>
      <w:r>
        <w:rPr>
          <w:rFonts w:ascii="Times New Roman;sans-serif" w:hAnsi="Times New Roman;sans-serif"/>
          <w:b w:val="false"/>
          <w:color w:val="000000"/>
          <w:sz w:val="22"/>
        </w:rPr>
        <w:t>. The Borrower may, no more than one time per Loan Year, by notice to the Administrative Agent (who shall promptly notify the Lenders) not earlier than 60 days and not later than 35 days prior to the Anniversary Date in such Loan Year, request that each Lender extend such Lender’s Maturity Date for an additional 364 days from the Existing Maturity Date.</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Lender Elections to Extend</w:t>
      </w:r>
      <w:r>
        <w:rPr>
          <w:rFonts w:ascii="Times New Roman;sans-serif" w:hAnsi="Times New Roman;sans-serif"/>
          <w:b w:val="false"/>
          <w:color w:val="000000"/>
          <w:sz w:val="22"/>
        </w:rPr>
        <w:t>. Each Lender, acting in its sole and individual discretion, shall, by notice to the Administrative Agent given not later than the date (the “</w:t>
      </w:r>
      <w:r>
        <w:rPr>
          <w:rFonts w:ascii="Times New Roman;sans-serif" w:hAnsi="Times New Roman;sans-serif"/>
          <w:b w:val="false"/>
          <w:color w:val="000000"/>
          <w:sz w:val="22"/>
          <w:u w:val="single"/>
        </w:rPr>
        <w:t>Notice Date</w:t>
      </w:r>
      <w:r>
        <w:rPr>
          <w:color w:val="000000"/>
        </w:rPr>
        <w:t>”</w:t>
      </w:r>
      <w:r>
        <w:rPr>
          <w:rFonts w:ascii="Times New Roman;sans-serif" w:hAnsi="Times New Roman;sans-serif"/>
          <w:b w:val="false"/>
          <w:color w:val="000000"/>
          <w:sz w:val="22"/>
        </w:rPr>
        <w:t>) that is 20 days prior to the Anniversary Date in such Loan Year, advise the Administrative Agent whether or not such Lender agrees to such extension (and each Lender that determines not to so extend its Maturity Date (a “</w:t>
      </w:r>
      <w:r>
        <w:rPr>
          <w:rFonts w:ascii="Times New Roman;sans-serif" w:hAnsi="Times New Roman;sans-serif"/>
          <w:b w:val="false"/>
          <w:color w:val="000000"/>
          <w:sz w:val="22"/>
          <w:u w:val="single"/>
        </w:rPr>
        <w:t>Non-Extending Lender</w:t>
      </w:r>
      <w:r>
        <w:rPr>
          <w:color w:val="000000"/>
        </w:rPr>
        <w:t>”</w:t>
      </w:r>
      <w:r>
        <w:rPr>
          <w:rFonts w:ascii="Times New Roman;sans-serif" w:hAnsi="Times New Roman;sans-serif"/>
          <w:b w:val="false"/>
          <w:color w:val="000000"/>
          <w:sz w:val="22"/>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Notification by Administrative Agent</w:t>
      </w:r>
      <w:r>
        <w:rPr>
          <w:rFonts w:ascii="Times New Roman;sans-serif" w:hAnsi="Times New Roman;sans-serif"/>
          <w:b w:val="false"/>
          <w:color w:val="000000"/>
          <w:sz w:val="22"/>
        </w:rPr>
        <w:t>. The Administrative Agent shall notify the Borrower of each Lender’s determination under this Section no later than the date 15 days prior to the Anniversary Date in such Loan Year (or, if such date is not a Business Day, on the next preceding Business Day).</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Additional Commitment Lenders</w:t>
      </w:r>
      <w:r>
        <w:rPr>
          <w:rFonts w:ascii="Times New Roman;sans-serif" w:hAnsi="Times New Roman;sans-serif"/>
          <w:b w:val="false"/>
          <w:color w:val="000000"/>
          <w:sz w:val="22"/>
        </w:rPr>
        <w:t>. The Borrower shall have the right to replace each Non-Extending Lender with, and add as “Lenders” under this Agreement in place thereof, one or more Eligible Assignees (each, an “</w:t>
      </w:r>
      <w:r>
        <w:rPr>
          <w:rFonts w:ascii="Times New Roman;sans-serif" w:hAnsi="Times New Roman;sans-serif"/>
          <w:b w:val="false"/>
          <w:color w:val="000000"/>
          <w:sz w:val="22"/>
          <w:u w:val="single"/>
        </w:rPr>
        <w:t>Additional Commitment Lender</w:t>
      </w:r>
      <w:r>
        <w:rPr>
          <w:color w:val="000000"/>
        </w:rPr>
        <w:t>”</w:t>
      </w:r>
      <w:r>
        <w:rPr>
          <w:rFonts w:ascii="Times New Roman;sans-serif" w:hAnsi="Times New Roman;sans-serif"/>
          <w:b w:val="false"/>
          <w:color w:val="000000"/>
          <w:sz w:val="22"/>
        </w:rPr>
        <w:t xml:space="preserve">) as provided in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of such Additional Commitment Lenders shall enter into an Assignment and Assumption pursuant to which such Additional Commitment Lender shall, effective as of the Anniversary Date in such Loan Year, undertake a Commitment (and, if any such Additional Commitment Lender is already a Lender, its Commitment shall be in addition to such Lender’s Commitment hereunder on such date).</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Minimum Extension Requirement</w:t>
      </w:r>
      <w:r>
        <w:rPr>
          <w:rFonts w:ascii="Times New Roman;sans-serif" w:hAnsi="Times New Roman;sans-serif"/>
          <w:b w:val="false"/>
          <w:color w:val="000000"/>
          <w:sz w:val="22"/>
        </w:rPr>
        <w:t>. If (and only if) the total of the Commitments of the Lenders that have agreed so to extend their Maturity Date (each, an “</w:t>
      </w:r>
      <w:r>
        <w:rPr>
          <w:rFonts w:ascii="Times New Roman;sans-serif" w:hAnsi="Times New Roman;sans-serif"/>
          <w:b w:val="false"/>
          <w:color w:val="000000"/>
          <w:sz w:val="22"/>
          <w:u w:val="single"/>
        </w:rPr>
        <w:t>Extending Lender</w:t>
      </w:r>
      <w:r>
        <w:rPr>
          <w:color w:val="000000"/>
        </w:rPr>
        <w:t>”</w:t>
      </w:r>
      <w:r>
        <w:rPr>
          <w:rFonts w:ascii="Times New Roman;sans-serif" w:hAnsi="Times New Roman;sans-serif"/>
          <w:b w:val="false"/>
          <w:color w:val="000000"/>
          <w:sz w:val="22"/>
        </w:rPr>
        <w:t>) and the additional Commitments of the Additional Commitment Lenders shall be more than 80% of the aggregate amount of the Commitments in effect immediately prior to the Anniversary Date in such Loan Year, then, effective as of the Anniversary Date in such Loan Year, the Maturity Date of each Extending Lender and of each Additional Commitment Lender shall be extended to the date falling one year after the Existing Maturity Date (except that, if such date is not a Business Day, such Maturity Date as so extended shall be the next preceding Business Day) and each Additional Commitment Lender shall thereupon become a “Lender” for all purposes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Conditions to Effectiveness of Extensions</w:t>
      </w:r>
      <w:r>
        <w:rPr>
          <w:rFonts w:ascii="Times New Roman;sans-serif" w:hAnsi="Times New Roman;sans-serif"/>
          <w:b w:val="false"/>
          <w:color w:val="000000"/>
          <w:sz w:val="22"/>
        </w:rPr>
        <w:t xml:space="preserve">. As a condition precedent to such extension, the Borrower shall deliver to the Administrative Agent a certificate of each Loan Party dated as of the Anniversary Date in such Loan Year (in sufficient copies for each Extending Lender and each Additional Commitment Lender) signed by a Responsible Officer of such Loan Party (i) certifying and attaching the resolutions adopted by such Loan Party approving or consenting to such extension and (ii) in the case of the Borrower, certifying that, before and after giving effect to such extension, (A) the representations and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warranties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and the other Loan Documents are true and correct on and as of the Anniversary Date in such Loan Year, except to the extent that such representations and warranties specifically refer to an earlier date, in which case they are true and correct as of such earlier date, and except that for purposes of this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the representations and warranties contained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and (B) no Default exists or would result therefrom. In addition, on the Maturity Date of each Non-Extending Lender, the Borrower shall prepay any Committed Loans outstanding on such date (and pay any additional amounts required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to the extent necessary to keep outstanding Committed Loans ratable with any revised Applicable Percentages of the respective Lenders effective as of such date.</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Amendment; Sharing of Payments</w:t>
      </w:r>
      <w:r>
        <w:rPr>
          <w:rFonts w:ascii="Times New Roman;sans-serif" w:hAnsi="Times New Roman;sans-serif"/>
          <w:b w:val="false"/>
          <w:color w:val="000000"/>
          <w:sz w:val="22"/>
        </w:rPr>
        <w:t xml:space="preserve">. In connection with any extension of the Maturity Date, the Borrower, the Administrative Agent and each extending Lender may make such amendments to this Agreement as the Administrative Agent determines to be reasonably necessary to evidence the extension.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shall supersede any provisions in </w:t>
      </w:r>
      <w:r>
        <w:rPr>
          <w:rFonts w:ascii="Times New Roman;sans-serif" w:hAnsi="Times New Roman;sans-serif"/>
          <w:b w:val="false"/>
          <w:color w:val="000000"/>
          <w:sz w:val="22"/>
          <w:u w:val="single"/>
        </w:rPr>
        <w:t xml:space="preserve">Section 2.13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10.01</w:t>
      </w:r>
      <w:r>
        <w:rPr>
          <w:color w:val="000000"/>
        </w:rPr>
        <w:t xml:space="preserve"> </w:t>
      </w:r>
      <w:r>
        <w:rPr>
          <w:rFonts w:ascii="Times New Roman;sans-serif" w:hAnsi="Times New Roman;sans-serif"/>
          <w:b w:val="false"/>
          <w:color w:val="000000"/>
          <w:sz w:val="22"/>
        </w:rPr>
        <w:t>to the contrary.</w:t>
      </w:r>
    </w:p>
    <w:p>
      <w:pPr>
        <w:pStyle w:val="TextBody"/>
        <w:spacing w:lineRule="auto" w:line="240" w:before="0" w:after="240"/>
        <w:ind w:left="0" w:right="0" w:firstLine="720"/>
        <w:jc w:val="both"/>
        <w:rPr/>
      </w:pPr>
      <w:r>
        <w:rPr>
          <w:rFonts w:ascii="Times New Roman;sans-serif" w:hAnsi="Times New Roman;sans-serif"/>
          <w:b/>
          <w:color w:val="000000"/>
          <w:sz w:val="22"/>
        </w:rPr>
        <w:t>2.24</w:t>
      </w:r>
      <w:r>
        <w:rPr>
          <w:rFonts w:ascii="Times New Roman;sans-serif" w:hAnsi="Times New Roman;sans-serif"/>
          <w:b/>
          <w:color w:val="000000"/>
          <w:sz w:val="22"/>
        </w:rPr>
        <w:t>New Vehicle Borrowers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Effective as of the date hereof, each Subsidiary that has executed this Agreement as a New Vehicle Borrower shall be a “</w:t>
      </w:r>
      <w:r>
        <w:rPr>
          <w:rFonts w:ascii="Times New Roman;sans-serif" w:hAnsi="Times New Roman;sans-serif"/>
          <w:b w:val="false"/>
          <w:color w:val="000000"/>
          <w:sz w:val="22"/>
          <w:u w:val="single"/>
        </w:rPr>
        <w:t>New Vehicle Borrower</w:t>
      </w:r>
      <w:r>
        <w:rPr>
          <w:color w:val="000000"/>
        </w:rPr>
        <w:t xml:space="preserve">” </w:t>
      </w:r>
      <w:r>
        <w:rPr>
          <w:rFonts w:ascii="Times New Roman;sans-serif" w:hAnsi="Times New Roman;sans-serif"/>
          <w:b w:val="false"/>
          <w:color w:val="000000"/>
          <w:sz w:val="22"/>
        </w:rPr>
        <w:t xml:space="preserve">hereunder and may receive New Vehicle Floorplan Loans for its account on the terms and conditions set forth in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 any Subsidiary that owns or operates a Ford or Lincoln dealership or (ii) any Subsidiary that is a Foreign Subsidiary shall not be required to become a New Vehicle Borrower. </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at any time, any Subsidiary engages in the sale or leasing of Vehicles, the Company shall (or, in the case of (i) any Subsidiary which owns or operates solely a Ford or Lincoln dealership or (ii) any Subsidiary that is a Foreign Subsidiary, may) designate such Subsidiary as a New Vehicle Borrower and shall deliver to the Administrative Agent,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 xml:space="preserve">or otherwise, a Joinder Agreement executed by such Subsidiary identifying such Subsidiary as a New Vehicle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New Vehicle Borrower shall not be required to execute a Joinder Agreement if such New Vehicle Borrower has executed and delivered this Agreement on the Closing Date. The parties hereto acknowledge and agree that prior to any such Subsidiary becoming entitled to utilize the New Vehicle Floorplan Facility the Administrative Agent, the New Vehicle Floorplan Swing Line Lender, and the other Lenders shall have received the documents required by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Upon satisfaction of the foregoing requirements, each of the New Vehicle Floorplan Lenders agrees to permit such New Vehicle Borrower to receive New Vehicle Floorplan Loans, hereunder, on the terms and conditions set forth herein, and each of the parties agrees that such New Vehicle Borrower otherwise shall be a Borrower for all purposes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Notwithstanding any other provision of this Agreement, each New Vehicle Borrower shall be jointly and severally liable as a primary obligor, and not merely as surety, for any and all Obligations under the New Vehicle Floorplan Facility now or hereafter owed to the Administrative Agent, the New Vehicle Floorplan Swing Line Lender and the New Vehicle Floorplan Lenders or related fees, in each case, whether voluntary or involuntary and however arising, whether direct or acquired by any Lender by assignment or succession, whether due or not due, absolute or contingent, liquidated or unliquidated, determined or undetermined (such Obligations, the “</w:t>
      </w:r>
      <w:r>
        <w:rPr>
          <w:rFonts w:ascii="Times New Roman;sans-serif" w:hAnsi="Times New Roman;sans-serif"/>
          <w:b w:val="false"/>
          <w:color w:val="000000"/>
          <w:sz w:val="22"/>
          <w:u w:val="single"/>
        </w:rPr>
        <w:t>New Vehicle Floorplan Facility Liabilities</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With respect to the New Vehicle Borrowers’ joint and several liability as provided hereunder, each New Vehicle Borrower expressly waives any and all defenses now or hereafter arising or asserted by reason of (i) any lack of legality, validity or enforceability of this Agreement, of any of the Notes, of any other Loan Document, or of any other agreement or instrument creating, providing security for, or otherwise relating to any of the Obligations or any guaranty of any of the New Vehicle Floorplan Facility Liabilities (the Loan Documents and all such other agreements and instruments being collectively referred to as the “</w:t>
      </w:r>
      <w:r>
        <w:rPr>
          <w:rFonts w:ascii="Times New Roman;sans-serif" w:hAnsi="Times New Roman;sans-serif"/>
          <w:b w:val="false"/>
          <w:color w:val="000000"/>
          <w:sz w:val="22"/>
          <w:u w:val="single"/>
        </w:rPr>
        <w:t>Related Agreements</w:t>
      </w:r>
      <w:r>
        <w:rPr>
          <w:color w:val="000000"/>
        </w:rPr>
        <w:t>”</w:t>
      </w:r>
      <w:r>
        <w:rPr>
          <w:rFonts w:ascii="Times New Roman;sans-serif" w:hAnsi="Times New Roman;sans-serif"/>
          <w:b w:val="false"/>
          <w:color w:val="000000"/>
          <w:sz w:val="22"/>
        </w:rPr>
        <w:t xml:space="preserve">); (ii) any action taken under any of the Related Agreements, any exercise of any right or power therein conferred, any failure or omission to enforce any right conferred thereby, or any waiver of any covenant or condition therein provided; (iii) any acceleration of the maturity of any of the New Vehicle Floorplan Facility Liabilities or of any other obligations or liabilities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any Person under any of the Related Agreements; (iv) any release, exchange, non-perfection, lapse in perfection, disposal, deterioration in value, or impairment of any security for any of the New Vehicle Floorplan Facility Liabilities, or for any other obligations or liabilities of any Person under any of the Related Agreements; (v) any dissolution of any Borrower, any Loan Party or any other party to a Related Agreement, or the combination or consolidation of any Borrower, any Loan Party or any other party to a Related Agreement into or with another entity or any transfer or disposition of any assets of any Borrower, any Loan Party or any other party to a Related Agreement; (vi) any extension (including without limitation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 (vii) the existence, addition, modification, termination, reduction or impairment of value, or release of any other guaranty (or security therefor) of the New Vehicle Floorplan Facility Liabilities; (viii) 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New Vehicle Floorplan Facility Liabilities, or any of the obligations or liabilities of any party to any other Related Agreement; and (ix) any other circumstance whatsoever (with or without notice to or knowledge of such New Vehicle Borrower) which may or might in any manner or to any extent vary the risks of such New Vehicle Borrower, or might otherwise constitute a legal or equitable defense available to, or discharge of, a surety or a guarantor, including without limitation any right to require or claim that resort be had to any Borrower or any other Loan Party or to any collateral in respect of the New Vehicle Floorplan Facility Liabilities. It is the express purpose and intent of the parties hereto that the joint and several liability of each New Vehicle Borrower for the New Vehicle Floorplan Facility Liabilities shall be absolute and unconditional under any and all circumstances and shall not be discharged except by payment as herein provided. Notwithstanding the foregoing, the liability of each New Vehicle Borrower with respect to its New Vehicle Floorplan Facility Liabilities shall be limited to an aggregate amount equal to the largest amount that would not render its obligations hereunder subject to avoidance under Section 548 of the Bankruptcy Code of the United States or any comparable provisions of any applicable state law.</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Each Subsidiary that is or becomes a “New Vehicle Borrower” pursuant to this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New Vehicle Floorplan Loans made by the Lenders to any such New Vehicle Borrower hereunder. Any acknowledgment, consent, direction, certification or other action which might otherwise be valid or effective only if given or taken by all Borrowers, or by any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the Company and each New Vehicle Borrower.</w:t>
      </w:r>
    </w:p>
    <w:p>
      <w:pPr>
        <w:pStyle w:val="TextBody"/>
        <w:spacing w:lineRule="auto" w:line="240" w:before="0" w:after="240"/>
        <w:ind w:left="0" w:right="0" w:firstLine="720"/>
        <w:jc w:val="both"/>
        <w:rPr/>
      </w:pPr>
      <w:r>
        <w:rPr>
          <w:rFonts w:ascii="Times New Roman;sans-serif" w:hAnsi="Times New Roman;sans-serif"/>
          <w:b/>
          <w:color w:val="000000"/>
          <w:sz w:val="22"/>
        </w:rPr>
        <w:t>2.25</w:t>
      </w:r>
      <w:r>
        <w:rPr>
          <w:rFonts w:ascii="Times New Roman;sans-serif" w:hAnsi="Times New Roman;sans-serif"/>
          <w:b/>
          <w:color w:val="000000"/>
          <w:sz w:val="22"/>
        </w:rPr>
        <w:t>Used Vehicle Borrowers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Effective as of the date hereof, each Subsidiary that has executed this Agreement shall be a “</w:t>
      </w:r>
      <w:r>
        <w:rPr>
          <w:rFonts w:ascii="Times New Roman;sans-serif" w:hAnsi="Times New Roman;sans-serif"/>
          <w:b w:val="false"/>
          <w:color w:val="000000"/>
          <w:sz w:val="22"/>
          <w:u w:val="single"/>
        </w:rPr>
        <w:t>Used Vehicle Borrower</w:t>
      </w:r>
      <w:r>
        <w:rPr>
          <w:color w:val="000000"/>
        </w:rPr>
        <w:t xml:space="preserve">” </w:t>
      </w:r>
      <w:r>
        <w:rPr>
          <w:rFonts w:ascii="Times New Roman;sans-serif" w:hAnsi="Times New Roman;sans-serif"/>
          <w:b w:val="false"/>
          <w:color w:val="000000"/>
          <w:sz w:val="22"/>
        </w:rPr>
        <w:t>hereunder and may receive Used Vehicle Floorplan Loans for its account on the terms and conditions set forth in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at any time, any Subsidiary engages in the sale or leasing of Vehicles, the Company shall designate such Subsidiary as a Used Vehicle Borrower and shall deliver to the Administrative Agent,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 xml:space="preserve">or otherwise, a Joinder Agreement executed by such Subsidiary identifying such Subsidiary as a Used Vehicle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Used Vehicle Borrower shall not be required to execute a Joinder Agreement if such Used Vehicle Borrower has executed and delivered this Agreement on the Closing Date and provided further that no Subsidiary that is a Foreign Subsidiary shall become a Used Vehicle Borrower. The parties hereto acknowledge and agree that prior to any such Subsidiary becoming entitled to utilize the Used Vehicle Floorplan Facility the Administrative Agent and the other Lenders shall have received the documents required by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xml:space="preserve">. Upon satisfaction of the foregoing requirements, each of the Used Vehicle Floorplan Lenders agrees to permit such Used Vehicle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Borrower to receive Used Vehicle Floorplan Loans, other than Used Vehicle Floorplan Swing Line Loans, hereunder, on the terms and conditions set forth herein, and each of the parties agrees that such Used Vehicle Borrower otherwise shall be a Borrower for all purposes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Notwithstanding any other provision of this Agreement, each Used Vehicle Borrower shall be jointly and severally liable as a primary obligor, and not merely as surety, for any and all Obligations under the Used Vehicle Floorplan Facility now or hereafter owed to the Administrative Agent and the Used Vehicle Floorplan Lenders with respect to Used Vehicle Floorplan Committed Loans or related fees, in each case, whether voluntary or involuntary and however arising, whether direct or acquired by any Lender by assignment or succession, whether due or not due, absolute or contingent, liquidated or unliquidated, determined or undetermined (such Obligations, the “</w:t>
      </w:r>
      <w:r>
        <w:rPr>
          <w:rFonts w:ascii="Times New Roman;sans-serif" w:hAnsi="Times New Roman;sans-serif"/>
          <w:b w:val="false"/>
          <w:color w:val="000000"/>
          <w:sz w:val="22"/>
          <w:u w:val="single"/>
        </w:rPr>
        <w:t>Used Vehicle Floorplan Facility Liabilities</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With respect to the Used Vehicle Borrowers’ joint and several liability as provided hereunder, each Used Vehicle Borrower expressly waives any and all defenses now or hereafter arising or asserted by reason of (i) any lack of legality, validity or enforceability of this Agreement or any of the Related Agreement; (ii) any action taken under any of the Related Agreements, any exercise of any right or power therein conferred, any failure or omission to enforce any right conferred thereby, or any waiver of any covenant or condition therein provided; (iii) any acceleration of the maturity of any of the Used Vehicle Floorplan Facility Liabilities or of any other obligations or liabilities of any Person under any of the Related Agreements; (iv) any release, exchange, non-perfection, lapse in perfection, disposal, deterioration in value, or impairment of any security for any of the Used Vehicle Floorplan Facility Liabilities, or for any other obligations or liabilities of any Person under any of the Related Agreements; (v) any dissolution of any Borrower, any Loan Party or any other party to a Related Agreement, or the combination or consolidation of any Borrower, any Loan Party or any other party to a Related Agreement into or with another entity or any transfer or disposition of any assets of any Borrower, any Loan Party or any other party to a Related Agreement; (vi) any extension (including without limitation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 (vii) the existence, addition, modification, termination, reduction or impairment of value, or release of any other guaranty (or security therefor) of the Used Vehicle Floorplan Facility Liabilities; (viii) 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Used Vehicle Floorplan Facility Liabilities, or any of the obligations or liabilities of any party to any other Related Agreement; and (ix) any other circumstance whatsoever (with or without notice to or knowledge of such Used Vehicle Borrower) which may or might in any manner or to any extent vary the risks of such Used Vehicle Borrower, or might otherwise constitute a legal or equitable defense available to, or discharge of, a surety or a guarantor, including without limitation any right to require or claim that resort be had to any Borrower or any other Loan Party or to any collateral in respect of the Used Vehicle Floorplan Facility Liabilities. It is the express purpose and intent of the parties hereto that the joint and several liability of each Used Vehicle Borrower for the Used Vehicle Floorplan Facility Liabilities shall be absolute and unconditional under any and all circumstances and shall not be discharged except by payment as herein provided. Notwithstanding the foregoing, the liability of each Used Vehicle Borrower (other than the Company) with respect to its Used Vehicle Floorplan Facility Liabilities shall be limited to an aggregate amount equal to the largest amount that would not render its obligations hereunder subject to avoidance under Section 548 of the Bankruptcy Code of the United States or any comparable provisions of any applicable state law.</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Each Subsidiary that is or becomes a “Used Vehicle Borrower” pursuant to this </w:t>
      </w:r>
      <w:r>
        <w:rPr>
          <w:rFonts w:ascii="Times New Roman;sans-serif" w:hAnsi="Times New Roman;sans-serif"/>
          <w:b w:val="false"/>
          <w:color w:val="000000"/>
          <w:sz w:val="22"/>
          <w:u w:val="single"/>
        </w:rPr>
        <w:t>Section 2.25</w:t>
      </w:r>
      <w:r>
        <w:rPr>
          <w:color w:val="000000"/>
        </w:rPr>
        <w:t xml:space="preserve"> </w:t>
      </w:r>
      <w:r>
        <w:rPr>
          <w:rFonts w:ascii="Times New Roman;sans-serif" w:hAnsi="Times New Roman;sans-serif"/>
          <w:b w:val="false"/>
          <w:color w:val="000000"/>
          <w:sz w:val="22"/>
        </w:rPr>
        <w:t xml:space="preserve">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Used Vehicle Floorplan Committed Loans made by the Lenders to any such Used Vehicle Borrower hereunder. Any acknowledgment, consent, direction, certification or other action which might otherwise be valid or effective only if given or taken by all Borrowers, or by any Borrower acting singly, shall be valid and effective if given or taken only by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whether or not any such other Borrower joins therein. Any notice, demand, consent, acknowledgement, direction, certification or other communication delivered to the Company in accordance with the terms of this Agreement shall be deemed to have been delivered to each Used Vehicle Borrower.</w:t>
      </w:r>
    </w:p>
    <w:p>
      <w:pPr>
        <w:pStyle w:val="TextBody"/>
        <w:spacing w:lineRule="auto" w:line="240" w:before="0" w:after="240"/>
        <w:ind w:left="0" w:right="0" w:firstLine="720"/>
        <w:jc w:val="both"/>
        <w:rPr/>
      </w:pPr>
      <w:r>
        <w:rPr>
          <w:rFonts w:ascii="Times New Roman;sans-serif" w:hAnsi="Times New Roman;sans-serif"/>
          <w:b/>
          <w:color w:val="000000"/>
          <w:sz w:val="22"/>
        </w:rPr>
        <w:t>2.26</w:t>
      </w:r>
      <w:r>
        <w:rPr>
          <w:rFonts w:ascii="Times New Roman;sans-serif" w:hAnsi="Times New Roman;sans-serif"/>
          <w:b/>
          <w:color w:val="000000"/>
          <w:sz w:val="22"/>
        </w:rPr>
        <w:t>Cash Collateral</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Certain Credit Support Events</w:t>
      </w:r>
      <w:r>
        <w:rPr>
          <w:rFonts w:ascii="Times New Roman;sans-serif" w:hAnsi="Times New Roman;sans-serif"/>
          <w:b w:val="false"/>
          <w:color w:val="000000"/>
          <w:sz w:val="22"/>
        </w:rPr>
        <w:t xml:space="preserve">. Upon the request of the Administrative Agent or an L/C Issuer (i) if an L/C Issuer has honored any full or partial drawing request under any Letter of Credit and such drawing has resulted in an L/C Borrowing, or (ii) if, as of the Letter of Credit Expiration Date, any L/C Obligation for any reason remains outstanding, the Borrowers shall, in each case, immediately Cash Collateralize the then Outstanding Amount of all L/C Obligations (or in the case of clause (i), the amount of such L/C Borrowing). At any time that there shall exist a Defaulting Lender, immediately upon the request of the Administrative Agent, any L/C Issuer or any Swing Line Lender, the Borrowers, jointly and severally, shall deliver to the Administrative Agent Cash Collateral in an amount sufficient to cover all Fronting Exposure (after giving effect to </w:t>
      </w:r>
      <w:r>
        <w:rPr>
          <w:rFonts w:ascii="Times New Roman;sans-serif" w:hAnsi="Times New Roman;sans-serif"/>
          <w:b w:val="false"/>
          <w:color w:val="000000"/>
          <w:sz w:val="22"/>
          <w:u w:val="single"/>
        </w:rPr>
        <w:t>Section 2.27(a)(iv)</w:t>
      </w:r>
      <w:r>
        <w:rPr>
          <w:color w:val="000000"/>
        </w:rPr>
        <w:t xml:space="preserve"> </w:t>
      </w:r>
      <w:r>
        <w:rPr>
          <w:rFonts w:ascii="Times New Roman;sans-serif" w:hAnsi="Times New Roman;sans-serif"/>
          <w:b w:val="false"/>
          <w:color w:val="000000"/>
          <w:sz w:val="22"/>
        </w:rPr>
        <w:t>and any Cash Collateral provided by the Defaulting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xml:space="preserve">. All Cash Collateral (other than credit support not constituting funds subject to deposit) shall be maintained in blocked, non-interest bearing deposit accounts at Bank of America. The Borrowers, and to the extent provided by any Lender, such Lender, hereby grants to (and subjects to the control of) the Administrative Agent, for the benefit of the Administrative Agent, the L/C Issuer and the Lenders (including the Swing Line Lenders), and agrees to maintain, a first priority security interest in all such cash, deposit accounts and all balances therein so provided as collateral pursuant hereto, and in all proceeds of the foregoing, all as security for the obligations to which such Cash Collateral may be applied pursuant to </w:t>
      </w:r>
      <w:r>
        <w:rPr>
          <w:rFonts w:ascii="Times New Roman;sans-serif" w:hAnsi="Times New Roman;sans-serif"/>
          <w:b w:val="false"/>
          <w:color w:val="000000"/>
          <w:sz w:val="22"/>
          <w:u w:val="single"/>
        </w:rPr>
        <w:t>Section 2.26(c)</w:t>
      </w:r>
      <w:r>
        <w:rPr>
          <w:rFonts w:ascii="Times New Roman;sans-serif" w:hAnsi="Times New Roman;sans-serif"/>
          <w:b w:val="false"/>
          <w:color w:val="000000"/>
          <w:sz w:val="22"/>
        </w:rPr>
        <w:t>. If at any time the Administrative Agent determines that Cash Collateral is subject to any right or claim of any Person other than the Administrative Agent or an L/C Issuer as herein provided, or that the total amount of such Cash Collateral is less than the applicable Fronting Exposure and other obligations secured thereby, the Borrowers or the relevant Defaulting Lender will, promptly upon demand by the Administrative Agent, pay or provide to the Administrative Agent additional Cash Collateral in an amount sufficient to eliminate such deficiency.</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Application</w:t>
      </w:r>
      <w:r>
        <w:rPr>
          <w:rFonts w:ascii="Times New Roman;sans-serif" w:hAnsi="Times New Roman;sans-serif"/>
          <w:b w:val="false"/>
          <w:color w:val="000000"/>
          <w:sz w:val="22"/>
        </w:rPr>
        <w:t xml:space="preserve">. Notwithstanding anything to the contrary contained in this Agreement, Cash Collateral provided under any of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Sections 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color w:val="000000"/>
        </w:rPr>
        <w:t xml:space="preserve"> </w:t>
      </w:r>
      <w:r>
        <w:rPr>
          <w:rFonts w:ascii="Times New Roman;sans-serif" w:hAnsi="Times New Roman;sans-serif"/>
          <w:b w:val="false"/>
          <w:color w:val="000000"/>
          <w:sz w:val="22"/>
        </w:rPr>
        <w:t>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ans-serif" w:hAnsi="Times New Roman;sans-serif"/>
          <w:b w:val="false"/>
          <w:color w:val="000000"/>
          <w:sz w:val="22"/>
          <w:u w:val="single"/>
        </w:rPr>
        <w:t>Section 10.06(b)(vi)</w:t>
      </w:r>
      <w:r>
        <w:rPr>
          <w:rFonts w:ascii="Times New Roman;sans-serif" w:hAnsi="Times New Roman;sans-serif"/>
          <w:b w:val="false"/>
          <w:color w:val="000000"/>
          <w:sz w:val="22"/>
        </w:rPr>
        <w:t xml:space="preserve">)) or (ii) the Administrative Agent’s good faith determination that there exists excess Cash Collateral;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(x) that Cash Collateral furnished by or on behalf of a Loan Party shall not be released during the continuance of a Default or Event of Default (and following application as provided in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may be otherwise applied in accordance with </w:t>
      </w:r>
      <w:r>
        <w:rPr>
          <w:rFonts w:ascii="Times New Roman;sans-serif" w:hAnsi="Times New Roman;sans-serif"/>
          <w:b w:val="false"/>
          <w:color w:val="000000"/>
          <w:sz w:val="22"/>
          <w:u w:val="single"/>
        </w:rPr>
        <w:t>Section 8.06)</w:t>
      </w:r>
      <w:r>
        <w:rPr>
          <w:rFonts w:ascii="Times New Roman;sans-serif" w:hAnsi="Times New Roman;sans-serif"/>
          <w:b w:val="false"/>
          <w:color w:val="000000"/>
          <w:sz w:val="22"/>
        </w:rPr>
        <w:t>, and (y) the Person providing Cash Collateral and the applicable L/C Issuer or applicable Swing Line Lender, as applicable, may agree that Cash Collateral shall not be released but instead held to support future anticipated Fronting Exposure or other obligations.</w:t>
      </w:r>
    </w:p>
    <w:p>
      <w:pPr>
        <w:pStyle w:val="TextBody"/>
        <w:spacing w:lineRule="auto" w:line="240" w:before="0" w:after="240"/>
        <w:ind w:left="0" w:right="0" w:firstLine="720"/>
        <w:jc w:val="both"/>
        <w:rPr/>
      </w:pPr>
      <w:r>
        <w:rPr>
          <w:rFonts w:ascii="Times New Roman;sans-serif" w:hAnsi="Times New Roman;sans-serif"/>
          <w:b/>
          <w:color w:val="000000"/>
          <w:sz w:val="22"/>
        </w:rPr>
        <w:t>2.27</w:t>
      </w:r>
      <w:r>
        <w:rPr>
          <w:rFonts w:ascii="Times New Roman;sans-serif" w:hAnsi="Times New Roman;sans-serif"/>
          <w:b/>
          <w:color w:val="000000"/>
          <w:sz w:val="22"/>
        </w:rPr>
        <w:t>Defaulting Lenders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94</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That Defaulting Lender’s right to approve or disapprove any amendment, waiver or consent with respect to this Agreement shall be restricted as set forth in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and in the definition of Required Lenders.</w:t>
      </w:r>
    </w:p>
    <w:p>
      <w:pPr>
        <w:pStyle w:val="TextBody"/>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Reallocation of Payments</w:t>
      </w:r>
      <w:r>
        <w:rPr>
          <w:rFonts w:ascii="Times New Roman;sans-serif" w:hAnsi="Times New Roman;sans-serif"/>
          <w:b w:val="false"/>
          <w:color w:val="000000"/>
          <w:sz w:val="22"/>
        </w:rPr>
        <w:t xml:space="preserve">. Any payment of principal, interest, fees or other amounts received by the Administrative Agent for the account of that Defaulting Lender (whether voluntary or mandatory, at maturity, pursuant to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or otherwise, and including any amounts made available to the Administrative Agent by that Defaulting Lender pursuant to </w:t>
      </w:r>
      <w:r>
        <w:rPr>
          <w:rFonts w:ascii="Times New Roman;sans-serif" w:hAnsi="Times New Roman;sans-serif"/>
          <w:b w:val="false"/>
          <w:color w:val="000000"/>
          <w:sz w:val="22"/>
          <w:u w:val="single"/>
        </w:rPr>
        <w:t>Section 10.08</w:t>
      </w:r>
      <w:r>
        <w:rPr>
          <w:rFonts w:ascii="Times New Roman;sans-serif" w:hAnsi="Times New Roman;sans-serif"/>
          <w:b w:val="false"/>
          <w:color w:val="000000"/>
          <w:sz w:val="22"/>
        </w:rPr>
        <w:t xml:space="preserve">), shall be applied at such time or times as may be determined by the Administrative Agent as follows: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 the payment of any amounts owing by that Defaulting Lender to the Administrative Agent hereunder; </w:t>
      </w:r>
      <w:r>
        <w:rPr>
          <w:rFonts w:ascii="Times New Roman;sans-serif" w:hAnsi="Times New Roman;sans-serif"/>
          <w:b w:val="false"/>
          <w:i/>
          <w:color w:val="000000"/>
          <w:sz w:val="22"/>
        </w:rPr>
        <w:t>second</w:t>
      </w:r>
      <w:r>
        <w:rPr>
          <w:rFonts w:ascii="Times New Roman;sans-serif" w:hAnsi="Times New Roman;sans-serif"/>
          <w:b w:val="false"/>
          <w:color w:val="000000"/>
          <w:sz w:val="22"/>
        </w:rPr>
        <w:t xml:space="preserve">, to the payment on a pro rata basis of any amounts owing by that Defaulting Lender to the applicable L/C Issuer or Swing Line Lender hereunder; </w:t>
      </w:r>
      <w:r>
        <w:rPr>
          <w:rFonts w:ascii="Times New Roman;sans-serif" w:hAnsi="Times New Roman;sans-serif"/>
          <w:b w:val="false"/>
          <w:i/>
          <w:color w:val="000000"/>
          <w:sz w:val="22"/>
        </w:rPr>
        <w:t>third</w:t>
      </w:r>
      <w:r>
        <w:rPr>
          <w:rFonts w:ascii="Times New Roman;sans-serif" w:hAnsi="Times New Roman;sans-serif"/>
          <w:b w:val="false"/>
          <w:color w:val="000000"/>
          <w:sz w:val="22"/>
        </w:rPr>
        <w:t xml:space="preserve">, if so determined by the Administrative Agent or requested by the applicable L/C Issuer or Swing Line Lender, to be held as Cash Collateral for future funding obligations of that Defaulting Lender of any participation in any Swing Line Loan or Letter of Credit; </w:t>
      </w:r>
      <w:r>
        <w:rPr>
          <w:rFonts w:ascii="Times New Roman;sans-serif" w:hAnsi="Times New Roman;sans-serif"/>
          <w:b w:val="false"/>
          <w:i/>
          <w:color w:val="000000"/>
          <w:sz w:val="22"/>
        </w:rPr>
        <w:t>fourth</w:t>
      </w:r>
      <w:r>
        <w:rPr>
          <w:rFonts w:ascii="Times New Roman;sans-serif" w:hAnsi="Times New Roman;sans-serif"/>
          <w:b w:val="false"/>
          <w:color w:val="000000"/>
          <w:sz w:val="22"/>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ans-serif" w:hAnsi="Times New Roman;sans-serif"/>
          <w:b w:val="false"/>
          <w:i/>
          <w:color w:val="000000"/>
          <w:sz w:val="22"/>
        </w:rPr>
        <w:t>fifth</w:t>
      </w:r>
      <w:r>
        <w:rPr>
          <w:rFonts w:ascii="Times New Roman;sans-serif" w:hAnsi="Times New Roman;sans-serif"/>
          <w:b w:val="false"/>
          <w:color w:val="000000"/>
          <w:sz w:val="22"/>
        </w:rPr>
        <w:t xml:space="preserve">, if so determined by the Administrative Agent and the Company, to be held in a non-interest bearing deposit account and released in order to satisfy obligations of that Defaulting Lender to fund Loans under this Agreement; </w:t>
      </w:r>
      <w:r>
        <w:rPr>
          <w:rFonts w:ascii="Times New Roman;sans-serif" w:hAnsi="Times New Roman;sans-serif"/>
          <w:b w:val="false"/>
          <w:i/>
          <w:color w:val="000000"/>
          <w:sz w:val="22"/>
        </w:rPr>
        <w:t>sixth</w:t>
      </w:r>
      <w:r>
        <w:rPr>
          <w:rFonts w:ascii="Times New Roman;sans-serif" w:hAnsi="Times New Roman;sans-serif"/>
          <w:b w:val="false"/>
          <w:color w:val="000000"/>
          <w:sz w:val="22"/>
        </w:rPr>
        <w:t xml:space="preserve">, to the payment of any amounts owing to the Lenders, the L/C Issuers or the Swing Line Lenders as a result of any judgment of a court of competent jurisdiction obtained by any Lender, L/C Issuer or Swing Line Lender against that Defaulting Lender as a result of that Defaulting Lender’s breach of its obligations under this Agreement; </w:t>
      </w:r>
      <w:r>
        <w:rPr>
          <w:rFonts w:ascii="Times New Roman;sans-serif" w:hAnsi="Times New Roman;sans-serif"/>
          <w:b w:val="false"/>
          <w:i/>
          <w:color w:val="000000"/>
          <w:sz w:val="22"/>
        </w:rPr>
        <w:t>seventh</w:t>
      </w:r>
      <w:r>
        <w:rPr>
          <w:rFonts w:ascii="Times New Roman;sans-serif" w:hAnsi="Times New Roman;sans-serif"/>
          <w:b w:val="false"/>
          <w:color w:val="000000"/>
          <w:sz w:val="22"/>
        </w:rPr>
        <w:t xml:space="preserve">, so long as no Default or Event of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Times New Roman;sans-serif" w:hAnsi="Times New Roman;sans-serif"/>
          <w:b w:val="false"/>
          <w:i/>
          <w:color w:val="000000"/>
          <w:sz w:val="22"/>
        </w:rPr>
        <w:t>eighth</w:t>
      </w:r>
      <w:r>
        <w:rPr>
          <w:rFonts w:ascii="Times New Roman;sans-serif" w:hAnsi="Times New Roman;sans-serif"/>
          <w:b w:val="false"/>
          <w:color w:val="000000"/>
          <w:sz w:val="22"/>
        </w:rPr>
        <w:t xml:space="preserve">, to that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(x) such payment is a payment of the principal amount of any Loans under any Facility or L/C Borrowings in respect of which that Defaulting Lender has not fully funded its appropriate share and (y) such Loans or L/C Borrowings were made at a time when the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were satisfied or waived, such payment shall be applied solely to pay the Loans of, and L/C Borrowings owed to, all non-Defaulting Lenders under the applicable Facility on a pro rata basis (and ratably among all applicable Facilities computed in accordance with the Defaulting Lenders’ respective funding deficiencies) prior to being applied to the payment of any Loans of, or L/C Borrowings owed to, that Defaulting Lender under the applicable Facility.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2"/>
          <w:u w:val="single"/>
        </w:rPr>
        <w:t>Section 2.27(a)(ii)</w:t>
      </w:r>
      <w:r>
        <w:rPr>
          <w:color w:val="000000"/>
        </w:rPr>
        <w:t xml:space="preserve"> </w:t>
      </w:r>
      <w:r>
        <w:rPr>
          <w:rFonts w:ascii="Times New Roman;sans-serif" w:hAnsi="Times New Roman;sans-serif"/>
          <w:b w:val="false"/>
          <w:color w:val="000000"/>
          <w:sz w:val="22"/>
        </w:rPr>
        <w:t>shall be deemed paid to and redirected by that Defaulting Lender, and each Lender irrevocably consents hereto.</w:t>
      </w:r>
    </w:p>
    <w:p>
      <w:pPr>
        <w:pStyle w:val="TextBody"/>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 xml:space="preserve">. That Defaulting Lender (x) shall not be entitled to receive any commitment fee pursuant to </w:t>
      </w:r>
      <w:r>
        <w:rPr>
          <w:rFonts w:ascii="Times New Roman;sans-serif" w:hAnsi="Times New Roman;sans-serif"/>
          <w:b w:val="false"/>
          <w:color w:val="000000"/>
          <w:sz w:val="22"/>
          <w:u w:val="single"/>
        </w:rPr>
        <w:t>Section 2.17(a)</w:t>
      </w:r>
      <w:r>
        <w:rPr>
          <w:color w:val="000000"/>
        </w:rPr>
        <w:t xml:space="preserve"> </w:t>
      </w:r>
      <w:r>
        <w:rPr>
          <w:rFonts w:ascii="Times New Roman;sans-serif" w:hAnsi="Times New Roman;sans-serif"/>
          <w:b w:val="false"/>
          <w:color w:val="000000"/>
          <w:sz w:val="22"/>
        </w:rPr>
        <w:t xml:space="preserve">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Times New Roman;sans-serif" w:hAnsi="Times New Roman;sans-serif"/>
          <w:b w:val="false"/>
          <w:color w:val="000000"/>
          <w:sz w:val="22"/>
          <w:u w:val="single"/>
        </w:rPr>
        <w:t>Section 2.03(h)</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Reallocation of Applicable Percentages to Reduce Fronting Exposure</w:t>
      </w:r>
      <w:r>
        <w:rPr>
          <w:rFonts w:ascii="Times New Roman;sans-serif" w:hAnsi="Times New Roman;sans-serif"/>
          <w:b w:val="false"/>
          <w:color w:val="000000"/>
          <w:sz w:val="22"/>
        </w:rPr>
        <w:t xml:space="preserve">. During any period in which there is a Defaulting Lender, for purposes of computing the amount of the obligation of each non-Defaulting Lender to acquire, refinance or fund participations in Letters of Credit, Revolving Swing Line Loans, New Vehicle Floorplan Swing Line Loans and Used Vehicle Floorplan Swing Line Loans pursuant to </w:t>
      </w:r>
      <w:r>
        <w:rPr>
          <w:rFonts w:ascii="Times New Roman;sans-serif" w:hAnsi="Times New Roman;sans-serif"/>
          <w:b w:val="false"/>
          <w:color w:val="000000"/>
          <w:sz w:val="22"/>
          <w:u w:val="single"/>
        </w:rPr>
        <w:t>Sections 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2.12</w:t>
      </w:r>
      <w:r>
        <w:rPr>
          <w:rFonts w:ascii="Times New Roman;sans-serif" w:hAnsi="Times New Roman;sans-serif"/>
          <w:b w:val="false"/>
          <w:color w:val="000000"/>
          <w:sz w:val="22"/>
        </w:rPr>
        <w:t xml:space="preserve">, the “Applicable Percentage” of each non-Defaulting Lender shall be computed without giving effect to the Commitment of such Defaulting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 each such reallocation shall be given effect only if, at the initial date thereof, no Default or Event of Default shall have occurred and be continuing; (ii) in all cases, the aggregate obligation of each non-Defaulting Lender to acquire, refinance or fund participations in Letters of Credit or Revolving Swing Line Loans shall not exceed the positive difference, if any, of (1) the Revolving Commitment of such non-</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aggregate Outstanding Amount of the Revolving Committed Loans of that Lender, (ii) in all cases, the aggregate obligation of each non-Defaulting Lender to acquire, refinance or fund participations in New Vehicle Floorplan Swing Line Loans shall not exceed the positive difference, if any, of (1) the New Vehicle Floorplan Commitment of such non-Defaulting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aggregate Outstanding Amount of the New Vehicle Floorplan Committed Loans of such Lender, and (iii) in all cases, the aggregate obligation of each non-Defaulting Lender to acquire, refinance or fund participations in Used Vehicle Floorplan Swing Line Loans shall not exceed the positive difference, if any, of (1) the Used Vehicle Floorplan Commitment of such non-Defaulting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aggregate Outstanding Amount of the Used Vehicle Floorplan Committed Loans of such Lender. Subject to </w:t>
      </w:r>
      <w:r>
        <w:rPr>
          <w:rFonts w:ascii="Times New Roman;sans-serif" w:hAnsi="Times New Roman;sans-serif"/>
          <w:b w:val="false"/>
          <w:color w:val="000000"/>
          <w:sz w:val="22"/>
          <w:u w:val="single"/>
        </w:rPr>
        <w:t>Section 10.21</w:t>
      </w:r>
      <w:r>
        <w:rPr>
          <w:rFonts w:ascii="Times New Roman;sans-serif" w:hAnsi="Times New Roman;sans-serif"/>
          <w:b w:val="false"/>
          <w:color w:val="000000"/>
          <w:sz w:val="22"/>
        </w:rPr>
        <w:t xml:space="preserve">,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reallocation described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Company,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whereupon that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any Borrower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spacing w:lineRule="auto" w:line="240" w:before="0" w:after="240"/>
        <w:jc w:val="center"/>
        <w:rPr/>
      </w:pPr>
      <w:r>
        <w:rPr>
          <w:rFonts w:ascii="Times New Roman;sans-serif" w:hAnsi="Times New Roman;sans-serif"/>
          <w:b/>
          <w:color w:val="000000"/>
          <w:sz w:val="22"/>
        </w:rPr>
        <w:t>ARTICLE III.</w:t>
      </w:r>
      <w:r>
        <w:rPr>
          <w:color w:val="000000"/>
        </w:rPr>
        <w:t xml:space="preserve"> </w:t>
      </w:r>
      <w:r>
        <w:rPr>
          <w:rFonts w:ascii="Times New Roman;sans-serif" w:hAnsi="Times New Roman;sans-serif"/>
          <w:b/>
          <w:color w:val="000000"/>
          <w:sz w:val="22"/>
        </w:rPr>
        <w:t>TAXES, YIELD PROTECTION AND ILLEGALITY</w:t>
      </w:r>
    </w:p>
    <w:p>
      <w:pPr>
        <w:pStyle w:val="TextBody"/>
        <w:spacing w:lineRule="auto" w:line="240" w:before="0" w:after="240"/>
        <w:ind w:left="0" w:right="0" w:firstLine="720"/>
        <w:jc w:val="both"/>
        <w:rPr/>
      </w:pPr>
      <w:r>
        <w:rPr>
          <w:rFonts w:ascii="Times New Roman;sans-serif" w:hAnsi="Times New Roman;sans-serif"/>
          <w:b/>
          <w:color w:val="000000"/>
          <w:sz w:val="22"/>
        </w:rPr>
        <w:t>3.01</w:t>
      </w:r>
      <w:r>
        <w:rPr>
          <w:rFonts w:ascii="Times New Roman;sans-serif" w:hAnsi="Times New Roman;sans-serif"/>
          <w:b/>
          <w:color w:val="000000"/>
          <w:sz w:val="22"/>
        </w:rPr>
        <w:t>Taxes</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Payments Free of Taxes; Obligation to Withhold; Payments on Account of Taxes.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below.</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 xml:space="preserve">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Party shall be increased as necessary so that after any required withholding or the making of all required deductions (including deductions applicable to additional sums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applicable Recipient receives an amount equal to the sum it would have received had no such withholding or deduction been made. Notwithstanding the foregoing, if any Loan Party determines, in its good faith discretion, that the Administrative Agent did not or does not intend to withhold or deduct any Taxes that any Loan Party or the Administrative Agent is required to withhold or deduct from any payment then any Loan Party shall be entitled (after notification to the Administrative Agent) to make such deductions or withholdings.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 xml:space="preserve">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applicable Recipient receives an amount equal to the sum it would have received had no such withholding or deduction been made.</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Payment of Other Taxes by the Borrowers</w:t>
      </w:r>
      <w:r>
        <w:rPr>
          <w:rFonts w:ascii="Times New Roman;sans-serif" w:hAnsi="Times New Roman;sans-serif"/>
          <w:b w:val="false"/>
          <w:color w:val="000000"/>
          <w:sz w:val="22"/>
        </w:rPr>
        <w:t xml:space="preserve">. Without limiting the provisions of subsection (a) above, the Company and each other Borrower shall timely pay to the relevant Governmental Authority in accordance with applicable law, or at the option of the Administrative Agent timely reimburse it for the payment of, any Other Taxes.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Tax Indemnifications.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(i)The Company and each other Borrower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The Company and each other Borrower</w:t>
      </w:r>
      <w:r>
        <w:rPr>
          <w:color w:val="000000"/>
        </w:rPr>
        <w:t xml:space="preserve"> </w:t>
      </w:r>
      <w:r>
        <w:rPr>
          <w:rFonts w:ascii="Times New Roman;sans-serif" w:hAnsi="Times New Roman;sans-serif"/>
          <w:b w:val="false"/>
          <w:color w:val="000000"/>
          <w:sz w:val="22"/>
        </w:rPr>
        <w:t xml:space="preserve">shall, and does hereby, jointly and severally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Times New Roman;sans-serif" w:hAnsi="Times New Roman;sans-serif"/>
          <w:b w:val="false"/>
          <w:color w:val="000000"/>
          <w:sz w:val="22"/>
          <w:u w:val="single"/>
        </w:rPr>
        <w:t>Section 3.01(c)(ii)</w:t>
      </w:r>
      <w:r>
        <w:rPr>
          <w:color w:val="000000"/>
        </w:rPr>
        <w:t xml:space="preserve"> </w:t>
      </w:r>
      <w:r>
        <w:rPr>
          <w:rFonts w:ascii="Times New Roman;sans-serif" w:hAnsi="Times New Roman;sans-serif"/>
          <w:b w:val="false"/>
          <w:color w:val="000000"/>
          <w:sz w:val="22"/>
        </w:rPr>
        <w:t xml:space="preserve">below; provided, that the Company and each other Borrower shall not be required to indemnify the Administrative Agent for any amount attributable to the Administrative Agent’s gross negligence. Upon receipt of such indemnity payment and upon the request of the Company, the Administrative Agent hereby agrees to assign to the Borrower any rights for compensation against such defaulting Lender or L/C Issuer (other than the right of set off pursuant to the last sentence of </w:t>
      </w:r>
      <w:r>
        <w:rPr>
          <w:rFonts w:ascii="Times New Roman;sans-serif" w:hAnsi="Times New Roman;sans-serif"/>
          <w:b w:val="false"/>
          <w:color w:val="000000"/>
          <w:sz w:val="22"/>
          <w:u w:val="single"/>
        </w:rPr>
        <w:t>Section 3.01(c)(ii)</w:t>
      </w:r>
      <w:r>
        <w:rPr>
          <w:color w:val="000000"/>
        </w:rPr>
        <w:t xml:space="preserve"> </w:t>
      </w:r>
      <w:r>
        <w:rPr>
          <w:rFonts w:ascii="Times New Roman;sans-serif" w:hAnsi="Times New Roman;sans-serif"/>
          <w:b w:val="false"/>
          <w:color w:val="000000"/>
          <w:sz w:val="22"/>
        </w:rPr>
        <w:t>below) with respect to the amount it has been indemnified by the Company or other Borrower.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the Borrowers to do so), (y) the Administrative Agent and the Borrowers, as applicable, against any Taxes attributable to such Lender’s failure to comply with the provisions of </w:t>
      </w:r>
      <w:r>
        <w:rPr>
          <w:rFonts w:ascii="Times New Roman;sans-serif" w:hAnsi="Times New Roman;sans-serif"/>
          <w:b w:val="false"/>
          <w:color w:val="000000"/>
          <w:sz w:val="22"/>
          <w:u w:val="single"/>
        </w:rPr>
        <w:t>Section 10.06(d)</w:t>
      </w:r>
      <w:r>
        <w:rPr>
          <w:color w:val="000000"/>
        </w:rPr>
        <w:t xml:space="preserve"> </w:t>
      </w:r>
      <w:r>
        <w:rPr>
          <w:rFonts w:ascii="Times New Roman;sans-serif" w:hAnsi="Times New Roman;sans-serif"/>
          <w:b w:val="false"/>
          <w:color w:val="000000"/>
          <w:sz w:val="22"/>
        </w:rPr>
        <w:t xml:space="preserve">relating to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97</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Upon request by the Company, any other Borrower or the Administrative Agent, as the case may be, after any payment of Taxes by the Company, any other Borrower or by the Administrative Agent to a Governmental Authority as provided in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Company or such Borrower shall deliver to the Administrative Agent or the Administrative Agent shall deliver to the Company or such Borrower, as the case may be, the original or a certified copy of a receipt issued by such Governmental Authority evidencing such payment, a copy of any return required by Laws to report such payment or other evidence of such payment reasonably satisfactory to the Company or such Borrower or the Administrative Agent, as the case may be.</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Status of Lenders; Tax Documentation.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or times prescribed by applicable law, such properly completed and executed documentation reasonably requested by the Company or the Administrative Agent or prescribed by applicable law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2"/>
          <w:u w:val="single"/>
        </w:rPr>
        <w:t>Section 3.01(e)(ii)(A)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(ii)(D)</w:t>
      </w:r>
      <w:r>
        <w:rPr>
          <w:color w:val="000000"/>
        </w:rPr>
        <w:t xml:space="preserve"> </w:t>
      </w:r>
      <w:r>
        <w:rPr>
          <w:rFonts w:ascii="Times New Roman;sans-serif" w:hAnsi="Times New Roman;sans-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(ii)Without limiting the generality of the foregoing, in the event that any Borrower is a U.S. Person,</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(I)in the case of a Foreign Lender claiming the benefits of an income tax treaty to which the United States is a party (x) with respect to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(II)executed copies of IRS Form W-8ECI;</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(III)in the case of a Foreign Lender claiming the benefits of the exemption for portfolio interest under Section 881(c) of the Code, (x) a certificate substantially in the form of </w:t>
      </w:r>
      <w:r>
        <w:rPr>
          <w:rFonts w:ascii="Times New Roman;sans-serif" w:hAnsi="Times New Roman;sans-serif"/>
          <w:b w:val="false"/>
          <w:color w:val="000000"/>
          <w:sz w:val="22"/>
          <w:u w:val="single"/>
        </w:rPr>
        <w:t>Exhibit O-1</w:t>
      </w:r>
      <w:r>
        <w:rPr>
          <w:color w:val="000000"/>
        </w:rPr>
        <w:t xml:space="preserve"> </w:t>
      </w:r>
      <w:r>
        <w:rPr>
          <w:rFonts w:ascii="Times New Roman;sans-serif" w:hAnsi="Times New Roman;sans-serif"/>
          <w:b w:val="false"/>
          <w:color w:val="000000"/>
          <w:sz w:val="22"/>
        </w:rPr>
        <w:t>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(y) executed copies of IRS Form W-8BEN-E (or W-8BEN, as applicable); or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(IV)to the extent a Foreign Lender is not the beneficial owner, executed copies of IRS Form W-8IMY, accompanied by IRS Form W-8ECI, IRS Form W-8BEN-E (or W-8BEN, as applicable), a U.S. Tax Compliance Certificate substantially in the form of </w:t>
      </w:r>
      <w:r>
        <w:rPr>
          <w:rFonts w:ascii="Times New Roman;sans-serif" w:hAnsi="Times New Roman;sans-serif"/>
          <w:b w:val="false"/>
          <w:color w:val="000000"/>
          <w:sz w:val="22"/>
          <w:u w:val="single"/>
        </w:rPr>
        <w:t>Exhibit O-2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Exhibit O-3</w:t>
      </w:r>
      <w:r>
        <w:rPr>
          <w:rFonts w:ascii="Times New Roman;sans-serif" w:hAnsi="Times New Roman;sans-serif"/>
          <w:b w:val="false"/>
          <w:color w:val="000000"/>
          <w:sz w:val="22"/>
        </w:rPr>
        <w:t xml:space="preserve">,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2"/>
          <w:u w:val="single"/>
        </w:rPr>
        <w:t>Exhibit O-4</w:t>
      </w:r>
      <w:r>
        <w:rPr>
          <w:color w:val="000000"/>
        </w:rPr>
        <w:t xml:space="preserve"> </w:t>
      </w:r>
      <w:r>
        <w:rPr>
          <w:rFonts w:ascii="Times New Roman;sans-serif" w:hAnsi="Times New Roman;sans-serif"/>
          <w:b w:val="false"/>
          <w:color w:val="000000"/>
          <w:sz w:val="22"/>
        </w:rPr>
        <w:t>on behalf of each such direct and indirect partner;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effective date of this Agreement, the Borrowers and the Administrative Agent shall treat (and the Lenders hereby authorize the Administrative Agent to treat) the Loans hereunder and this Agreement as not qualifying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 “grandfathered obligation” within the meaning of Treasury Regulation Section 1.1471-2(b)(2)(i).</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(iii)Each Lender agrees that if any form or certification it previously delivered pursuant to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expires or becomes obsolete or inaccurate in any respect, it shall update such form or certification or promptly notify the Company and the Administrative Agent in writing of its legal inability to do so.</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w:t>
      </w:r>
      <w:r>
        <w:rPr>
          <w:color w:val="000000"/>
        </w:rPr>
        <w:t xml:space="preserve"> </w:t>
      </w:r>
      <w:r>
        <w:rPr>
          <w:rFonts w:ascii="Times New Roman;sans-serif" w:hAnsi="Times New Roman;sans-serif"/>
          <w:b w:val="false"/>
          <w:color w:val="000000"/>
          <w:sz w:val="22"/>
        </w:rPr>
        <w:t xml:space="preserve">that it has received a refund of any Taxes as to which it has been indemnified by the Company or any other Borrower or with respect to which the Company or any Borrower has paid additional amounts pursuant to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it shall pay to the Company or such Borrower an amount equal to such refund (but only to the extent of indemnity payments made, or additional amounts paid, by the Company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and each other Borrower, upon the request of the Recipient, agrees to repay the amount paid over to the Company or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Company or any other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Company, any other Borrower, or any other Person.</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or an L/C Issuer, the termination of the Commitments and the repayment, satisfaction or discharge of all other Obligations.</w:t>
      </w:r>
    </w:p>
    <w:p>
      <w:pPr>
        <w:pStyle w:val="TextBody"/>
        <w:spacing w:lineRule="auto" w:line="240" w:before="0" w:after="240"/>
        <w:ind w:left="0" w:right="0" w:firstLine="720"/>
        <w:jc w:val="both"/>
        <w:rPr/>
      </w:pPr>
      <w:r>
        <w:rPr>
          <w:rFonts w:ascii="Times New Roman;sans-serif" w:hAnsi="Times New Roman;sans-serif"/>
          <w:b/>
          <w:color w:val="000000"/>
          <w:sz w:val="22"/>
        </w:rPr>
        <w:t>3.02</w:t>
      </w:r>
      <w:r>
        <w:rPr>
          <w:rFonts w:ascii="Times New Roman;sans-serif" w:hAnsi="Times New Roman;sans-serif"/>
          <w:b/>
          <w:color w:val="000000"/>
          <w:sz w:val="22"/>
        </w:rPr>
        <w:t>Illegality</w:t>
      </w:r>
      <w:r>
        <w:rPr>
          <w:rFonts w:ascii="Times New Roman;sans-serif" w:hAnsi="Times New Roman;sans-serif"/>
          <w:b w:val="false"/>
          <w:color w:val="000000"/>
          <w:sz w:val="22"/>
        </w:rPr>
        <w:t xml:space="preserve">. If any Lender determines that any Law has made it unlawful, or that any Governmental Authority has asserted that it is unlawful, for any Lender or its applicable Lending Office to perform any of its obligations hereunder or make, maintain or fund or charge any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Company through the Administrative Agent, (i) any obligation of such Lender to issue, make, maintain, fund or charge interest with respect to any Credit Extension or continue Eurodollar Rate Loans or to convert Base Rate Committed Loans to Eurodollar Rate Committed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Company that the circumstances giving rise to such determination no longer exist. Upon receipt of such notice, (x) the Company and each other Borrower (jointly and severally)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Company and each other Borrower (jointly and severally) shall also pay accrued interest on the amount so prepaid or converted.</w:t>
      </w:r>
    </w:p>
    <w:p>
      <w:pPr>
        <w:pStyle w:val="TextBody"/>
        <w:spacing w:lineRule="auto" w:line="240" w:before="0" w:after="240"/>
        <w:ind w:left="0" w:right="0" w:firstLine="720"/>
        <w:jc w:val="both"/>
        <w:rPr/>
      </w:pPr>
      <w:r>
        <w:rPr>
          <w:rFonts w:ascii="Times New Roman;sans-serif" w:hAnsi="Times New Roman;sans-serif"/>
          <w:b/>
          <w:color w:val="000000"/>
          <w:sz w:val="22"/>
        </w:rPr>
        <w:t>3.03</w:t>
      </w:r>
      <w:r>
        <w:rPr>
          <w:rFonts w:ascii="Times New Roman;sans-serif" w:hAnsi="Times New Roman;sans-serif"/>
          <w:b/>
          <w:color w:val="000000"/>
          <w:sz w:val="22"/>
        </w:rPr>
        <w:t>Inability to Determine Rates</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in connection with any request for a Eurodollar Rate Loan or a conversion to or continuation thereof, (i) the Administrative Agent determines that (A) Dollar deposits are not being offered to banks in the London interbank Eurodollar market for the applicable amount and Interest Period of such Eurodollar Rate Loan, or (B) (x) adequate and reasonable means do not exist for determining the Eurodollar Rate for any requested Interest Period with respect to a proposed Eurodollar Rate Loan or in connection with an existing or proposed Base Rate Loan and (y) the circumstances described in </w:t>
      </w:r>
      <w:r>
        <w:rPr>
          <w:rFonts w:ascii="Times New Roman;sans-serif" w:hAnsi="Times New Roman;sans-serif"/>
          <w:b w:val="false"/>
          <w:color w:val="000000"/>
          <w:sz w:val="22"/>
          <w:u w:val="single"/>
        </w:rPr>
        <w:t>Section 3.03(c)(i)</w:t>
      </w:r>
      <w:r>
        <w:rPr>
          <w:color w:val="000000"/>
        </w:rPr>
        <w:t xml:space="preserve"> </w:t>
      </w:r>
      <w:r>
        <w:rPr>
          <w:rFonts w:ascii="Times New Roman;sans-serif" w:hAnsi="Times New Roman;sans-serif"/>
          <w:b w:val="false"/>
          <w:color w:val="000000"/>
          <w:sz w:val="22"/>
        </w:rPr>
        <w:t xml:space="preserve">do not apply (in each case with respect to this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Impacted Loans</w:t>
      </w:r>
      <w:r>
        <w:rPr>
          <w:color w:val="000000"/>
        </w:rPr>
        <w:t>”</w:t>
      </w:r>
      <w:r>
        <w:rPr>
          <w:rFonts w:ascii="Times New Roman;sans-serif" w:hAnsi="Times New Roman;sans-serif"/>
          <w:b w:val="false"/>
          <w:color w:val="000000"/>
          <w:sz w:val="22"/>
        </w:rPr>
        <w:t xml:space="preserve">), or (ii)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Company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(or, in the case of a determination by the Required Lenders described in clause (ii) of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 until the Administrative Agent upon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in the amount specified therein.</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Notwithstanding the foregoing, if the Administrative Agent has made the determination described in clause (i) of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 the Administrative Agent, in consultation with the Company and the affected Lenders, may establish an alternative interest rate for the Impacted Loans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in which case, such alternative rate of interest shall apply with respect to the Impacted Loans until (1) the Administrative Agent revokes the notice delivered with respect to the Impacted Loans under clause (i) of the first sentence of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 (2) the Administrative Agent or the Required Lenders notify the Administrative Agent and the Company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Notwithstanding anything to the contrary in this Agreement or any other Loan Document: </w:t>
      </w:r>
    </w:p>
    <w:p>
      <w:pPr>
        <w:pStyle w:val="TextBody"/>
        <w:spacing w:lineRule="auto" w:line="288" w:before="240" w:after="283"/>
        <w:jc w:val="both"/>
        <w:rPr/>
      </w:pPr>
      <w:r>
        <w:rPr>
          <w:rFonts w:ascii="Times New Roman;sans-serif" w:hAnsi="Times New Roman;sans-serif"/>
          <w:b w:val="false"/>
          <w:i/>
          <w:color w:val="000000"/>
          <w:sz w:val="22"/>
        </w:rPr>
        <w:t>(i)     </w:t>
      </w:r>
      <w:r>
        <w:rPr>
          <w:rFonts w:ascii="Times New Roman;sans-serif" w:hAnsi="Times New Roman;sans-serif"/>
          <w:b w:val="false"/>
          <w:color w:val="000000"/>
          <w:sz w:val="22"/>
        </w:rPr>
        <w:t>On March 5, 2021 the Financial Conduct Authority (“</w:t>
      </w:r>
      <w:r>
        <w:rPr>
          <w:rFonts w:ascii="Times New Roman;sans-serif" w:hAnsi="Times New Roman;sans-serif"/>
          <w:b w:val="false"/>
          <w:i/>
          <w:color w:val="000000"/>
          <w:sz w:val="22"/>
          <w:u w:val="single"/>
        </w:rPr>
        <w:t>FCA</w:t>
      </w:r>
      <w:r>
        <w:rPr>
          <w:color w:val="000000"/>
        </w:rPr>
        <w:t>”</w:t>
      </w:r>
      <w:r>
        <w:rPr>
          <w:rFonts w:ascii="Times New Roman;sans-serif" w:hAnsi="Times New Roman;sans-serif"/>
          <w:b w:val="false"/>
          <w:color w:val="000000"/>
          <w:sz w:val="22"/>
        </w:rPr>
        <w:t>), the regulatory supervisor of LIBOR’s administrator (“</w:t>
      </w:r>
      <w:r>
        <w:rPr>
          <w:rFonts w:ascii="Times New Roman;sans-serif" w:hAnsi="Times New Roman;sans-serif"/>
          <w:b w:val="false"/>
          <w:i/>
          <w:color w:val="000000"/>
          <w:sz w:val="22"/>
          <w:u w:val="single"/>
        </w:rPr>
        <w:t>IBA</w:t>
      </w:r>
      <w:r>
        <w:rPr>
          <w:color w:val="000000"/>
        </w:rPr>
        <w:t>”</w:t>
      </w:r>
      <w:r>
        <w:rPr>
          <w:rFonts w:ascii="Times New Roman;sans-serif" w:hAnsi="Times New Roman;sans-serif"/>
          <w:b w:val="false"/>
          <w:color w:val="000000"/>
          <w:sz w:val="22"/>
        </w:rPr>
        <w:t xml:space="preserve">),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101</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pStyle w:val="TextBody"/>
        <w:spacing w:lineRule="auto" w:line="288" w:before="240" w:after="283"/>
        <w:jc w:val="both"/>
        <w:rPr/>
      </w:pPr>
      <w:r>
        <w:rPr>
          <w:rFonts w:ascii="Times New Roman;sans-serif" w:hAnsi="Times New Roman;sans-serif"/>
          <w:b w:val="false"/>
          <w:i/>
          <w:color w:val="000000"/>
          <w:sz w:val="22"/>
        </w:rPr>
        <w:t xml:space="preserve">(ii)    (x) </w:t>
      </w:r>
      <w:r>
        <w:rPr>
          <w:rFonts w:ascii="Times New Roman;sans-serif" w:hAnsi="Times New Roman;sans-serif"/>
          <w:b w:val="false"/>
          <w:color w:val="000000"/>
          <w:sz w:val="22"/>
        </w:rPr>
        <w:t>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 </w:t>
      </w:r>
    </w:p>
    <w:p>
      <w:pPr>
        <w:pStyle w:val="TextBody"/>
        <w:spacing w:lineRule="auto" w:line="288" w:before="24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(y) 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 </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pStyle w:val="TextBody"/>
        <w:spacing w:lineRule="auto" w:line="288" w:before="240" w:after="283"/>
        <w:jc w:val="both"/>
        <w:rPr/>
      </w:pPr>
      <w:r>
        <w:rPr>
          <w:rFonts w:ascii="Times New Roman;sans-serif" w:hAnsi="Times New Roman;sans-serif"/>
          <w:b w:val="false"/>
          <w:i/>
          <w:color w:val="000000"/>
          <w:sz w:val="22"/>
        </w:rPr>
        <w:t>(iv)     </w:t>
      </w:r>
      <w:r>
        <w:rPr>
          <w:rFonts w:ascii="Times New Roman;sans-serif" w:hAnsi="Times New Roman;sans-serif"/>
          <w:b w:val="false"/>
          <w:color w:val="000000"/>
          <w:sz w:val="22"/>
        </w:rPr>
        <w:t xml:space="preserve">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w:t>
      </w:r>
    </w:p>
    <w:p>
      <w:pPr>
        <w:pStyle w:val="TextBody"/>
        <w:spacing w:lineRule="auto" w:line="328" w:before="240" w:after="283"/>
        <w:jc w:val="both"/>
        <w:rPr/>
      </w:pPr>
      <w:r>
        <w:rPr>
          <w:rFonts w:ascii="Times New Roman;sans-serif" w:hAnsi="Times New Roman;sans-serif"/>
          <w:b w:val="false"/>
          <w:i/>
          <w:color w:val="000000"/>
          <w:sz w:val="22"/>
        </w:rPr>
        <w:t>(v)    </w:t>
      </w:r>
      <w:r>
        <w:rPr>
          <w:rFonts w:ascii="Times New Roman;sans-serif" w:hAnsi="Times New Roman;sans-serif"/>
          <w:b w:val="false"/>
          <w:color w:val="000000"/>
          <w:sz w:val="22"/>
        </w:rPr>
        <w:t xml:space="preserve">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102</w:t>
                      </w:r>
                    </w:p>
                  </w:txbxContent>
                </v:textbox>
              </v:rect>
            </w:pict>
          </mc:Fallback>
        </mc:AlternateContent>
      </w:r>
    </w:p>
    <w:p>
      <w:pPr>
        <w:pStyle w:val="TextBody"/>
        <w:spacing w:lineRule="auto" w:line="32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may be made in its sole discretion and without consent from any other party hereto, except, in each case, as expressly required pursuant to this Section 3.03(c). </w:t>
      </w:r>
    </w:p>
    <w:p>
      <w:pPr>
        <w:pStyle w:val="TextBody"/>
        <w:spacing w:lineRule="auto" w:line="328" w:before="240" w:after="283"/>
        <w:jc w:val="both"/>
        <w:rPr/>
      </w:pPr>
      <w:r>
        <w:rPr>
          <w:rFonts w:ascii="Times New Roman;sans-serif" w:hAnsi="Times New Roman;sans-serif"/>
          <w:b w:val="false"/>
          <w:i/>
          <w:color w:val="000000"/>
          <w:sz w:val="22"/>
        </w:rPr>
        <w:t>(vi)    </w:t>
      </w:r>
      <w:r>
        <w:rPr>
          <w:rFonts w:ascii="Times New Roman;sans-serif" w:hAnsi="Times New Roman;sans-serif"/>
          <w:b w:val="false"/>
          <w:color w:val="000000"/>
          <w:sz w:val="22"/>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pStyle w:val="TextBody"/>
        <w:spacing w:lineRule="auto" w:line="328" w:before="240" w:after="283"/>
        <w:rPr/>
      </w:pPr>
      <w:r>
        <w:rPr>
          <w:rFonts w:ascii="Times New Roman;sans-serif" w:hAnsi="Times New Roman;sans-serif"/>
          <w:b w:val="false"/>
          <w:i/>
          <w:color w:val="000000"/>
          <w:sz w:val="22"/>
          <w:u w:val="single"/>
        </w:rPr>
        <w:t>Definitions</w:t>
      </w:r>
      <w:r>
        <w:rPr>
          <w:rFonts w:ascii="Times New Roman;sans-serif" w:hAnsi="Times New Roman;sans-serif"/>
          <w:b w:val="false"/>
          <w:color w:val="000000"/>
          <w:sz w:val="22"/>
        </w:rPr>
        <w:t>.</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Available Tenor</w:t>
      </w:r>
      <w:r>
        <w:rPr>
          <w:color w:val="000000"/>
        </w:rPr>
        <w:t xml:space="preserve">” </w:t>
      </w:r>
      <w:r>
        <w:rPr>
          <w:rFonts w:ascii="Times New Roman;sans-serif" w:hAnsi="Times New Roman;sans-serif"/>
          <w:b w:val="false"/>
          <w:color w:val="000000"/>
          <w:sz w:val="22"/>
        </w:rPr>
        <w:t>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Benchmark</w:t>
      </w:r>
      <w:r>
        <w:rPr>
          <w:color w:val="000000"/>
        </w:rPr>
        <w:t xml:space="preserve">” </w:t>
      </w:r>
      <w:r>
        <w:rPr>
          <w:rFonts w:ascii="Times New Roman;sans-serif" w:hAnsi="Times New Roman;sans-serif"/>
          <w:b w:val="false"/>
          <w:color w:val="000000"/>
          <w:sz w:val="22"/>
        </w:rPr>
        <w:t xml:space="preserve">means, initially, LIBOR;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Benchmark Replacement</w:t>
      </w:r>
      <w:r>
        <w:rPr>
          <w:color w:val="000000"/>
        </w:rPr>
        <w:t xml:space="preserve">” </w:t>
      </w:r>
      <w:r>
        <w:rPr>
          <w:rFonts w:ascii="Times New Roman;sans-serif" w:hAnsi="Times New Roman;sans-serif"/>
          <w:b w:val="false"/>
          <w:color w:val="000000"/>
          <w:sz w:val="22"/>
        </w:rPr>
        <w:t>means:</w:t>
      </w:r>
    </w:p>
    <w:p>
      <w:pPr>
        <w:pStyle w:val="TextBody"/>
        <w:spacing w:lineRule="auto" w:line="32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(1)For purposes of Section 3.03(c)(i), the first alternative set forth below that can be determined by the Administrative Agent:</w:t>
      </w:r>
    </w:p>
    <w:p>
      <w:pPr>
        <w:pStyle w:val="TextBody"/>
        <w:spacing w:lineRule="auto" w:line="32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(a)the sum of: (i) Term SOFR and (ii) 0.11448% (11.448 basis points) for an Available Tenor of one-month’s duration, or</w:t>
      </w:r>
    </w:p>
    <w:p>
      <w:pPr>
        <w:pStyle w:val="TextBody"/>
        <w:spacing w:lineRule="auto" w:line="32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(b)the sum of: (i) Daily Simple SOFR and (ii) 0.11448% (11.448 basis points); </w:t>
      </w:r>
    </w:p>
    <w:p>
      <w:pPr>
        <w:pStyle w:val="TextBody"/>
        <w:spacing w:lineRule="auto" w:line="328" w:before="240" w:after="283"/>
        <w:ind w:left="0" w:right="0" w:firstLine="720"/>
        <w:jc w:val="both"/>
        <w:rPr/>
      </w:pPr>
      <w:r>
        <w:rPr>
          <w:rFonts w:ascii="Times New Roman;sans-serif" w:hAnsi="Times New Roman;sans-serif"/>
          <w:b w:val="false"/>
          <w:i/>
          <w:color w:val="000000"/>
          <w:sz w:val="22"/>
          <w:u w:val="single"/>
        </w:rPr>
        <w:t>provided</w:t>
      </w:r>
      <w:r>
        <w:rPr>
          <w:color w:val="000000"/>
        </w:rPr>
        <w:t xml:space="preserve"> </w:t>
      </w:r>
      <w:r>
        <w:rPr>
          <w:rFonts w:ascii="Times New Roman;sans-serif" w:hAnsi="Times New Roman;sans-serif"/>
          <w:b w:val="false"/>
          <w:color w:val="000000"/>
          <w:sz w:val="22"/>
        </w:rPr>
        <w:t>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pStyle w:val="TextBody"/>
        <w:spacing w:lineRule="auto" w:line="32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For purposes of Section 3.03(c)(ii),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103</w:t>
                      </w:r>
                    </w:p>
                  </w:txbxContent>
                </v:textbox>
              </v:rect>
            </w:pict>
          </mc:Fallback>
        </mc:AlternateContent>
      </w:r>
    </w:p>
    <w:p>
      <w:pPr>
        <w:pStyle w:val="TextBody"/>
        <w:spacing w:lineRule="auto" w:line="32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recommendations made by a Relevant Governmental Body, for U.S. dollar-denominated syndicated credit facilities at such time; </w:t>
      </w:r>
    </w:p>
    <w:p>
      <w:pPr>
        <w:pStyle w:val="TextBody"/>
        <w:spacing w:lineRule="auto" w:line="328" w:before="240" w:after="283"/>
        <w:jc w:val="both"/>
        <w:rPr/>
      </w:pPr>
      <w:r>
        <w:rPr>
          <w:rFonts w:ascii="Times New Roman;sans-serif" w:hAnsi="Times New Roman;sans-serif"/>
          <w:b w:val="false"/>
          <w:i/>
          <w:color w:val="000000"/>
          <w:sz w:val="22"/>
          <w:u w:val="single"/>
        </w:rPr>
        <w:t>provided</w:t>
      </w:r>
      <w:r>
        <w:rPr>
          <w:color w:val="000000"/>
        </w:rPr>
        <w:t xml:space="preserve"> </w:t>
      </w:r>
      <w:r>
        <w:rPr>
          <w:rFonts w:ascii="Times New Roman;sans-serif" w:hAnsi="Times New Roman;sans-serif"/>
          <w:b w:val="false"/>
          <w:color w:val="000000"/>
          <w:sz w:val="22"/>
        </w:rPr>
        <w:t>that, if the Benchmark Replacement as determined pursuant to clause (1) or (2) above would be less than zero, the Benchmark Replacement will be deemed to be zero for the purposes of this Agreement and the other Loan Documents.</w:t>
      </w:r>
    </w:p>
    <w:p>
      <w:pPr>
        <w:pStyle w:val="TextBody"/>
        <w:spacing w:lineRule="auto" w:line="328" w:before="240" w:after="283"/>
        <w:ind w:left="0" w:right="0" w:firstLine="720"/>
        <w:jc w:val="both"/>
        <w:rPr/>
      </w:pPr>
      <w:r>
        <w:rPr>
          <w:rFonts w:ascii="Times New Roman;sans-serif" w:hAnsi="Times New Roman;sans-serif"/>
          <w:b w:val="false"/>
          <w:color w:val="000000"/>
          <w:sz w:val="22"/>
        </w:rPr>
        <w:t xml:space="preserve">Any Benchmark Replacement shall be applied in a manner consistent with market practice; </w:t>
      </w:r>
      <w:r>
        <w:rPr>
          <w:rFonts w:ascii="Times New Roman;sans-serif" w:hAnsi="Times New Roman;sans-serif"/>
          <w:b w:val="false"/>
          <w:i/>
          <w:color w:val="000000"/>
          <w:sz w:val="22"/>
          <w:u w:val="single"/>
        </w:rPr>
        <w:t>provided</w:t>
      </w:r>
      <w:r>
        <w:rPr>
          <w:color w:val="000000"/>
        </w:rPr>
        <w:t xml:space="preserve"> </w:t>
      </w:r>
      <w:r>
        <w:rPr>
          <w:rFonts w:ascii="Times New Roman;sans-serif" w:hAnsi="Times New Roman;sans-serif"/>
          <w:b w:val="false"/>
          <w:color w:val="000000"/>
          <w:sz w:val="22"/>
        </w:rPr>
        <w:t>that to the extent such market practice is not administratively feasible for the Administrative Agent, such Benchmark Replacement shall be applied in a manner as otherwise reasonably determined by the Administrative Agent.</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Benchmark Replacement Conforming Changes</w:t>
      </w:r>
      <w:r>
        <w:rPr>
          <w:color w:val="000000"/>
        </w:rPr>
        <w:t xml:space="preserve">” </w:t>
      </w:r>
      <w:r>
        <w:rPr>
          <w:rFonts w:ascii="Times New Roman;sans-serif" w:hAnsi="Times New Roman;sans-serif"/>
          <w:b w:val="false"/>
          <w:color w:val="000000"/>
          <w:sz w:val="22"/>
        </w:rPr>
        <w:t>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Benchmark Transition Event</w:t>
      </w:r>
      <w:r>
        <w:rPr>
          <w:color w:val="000000"/>
        </w:rPr>
        <w:t xml:space="preserve">” </w:t>
      </w:r>
      <w:r>
        <w:rPr>
          <w:rFonts w:ascii="Times New Roman;sans-serif" w:hAnsi="Times New Roman;sans-serif"/>
          <w:b w:val="false"/>
          <w:color w:val="000000"/>
          <w:sz w:val="22"/>
        </w:rPr>
        <w:t xml:space="preserve">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 </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Daily Simple SOFR</w:t>
      </w:r>
      <w:r>
        <w:rPr>
          <w:color w:val="000000"/>
        </w:rPr>
        <w:t xml:space="preserve">” </w:t>
      </w:r>
      <w:r>
        <w:rPr>
          <w:rFonts w:ascii="Times New Roman;sans-serif" w:hAnsi="Times New Roman;sans-serif"/>
          <w:b w:val="false"/>
          <w:color w:val="000000"/>
          <w:sz w:val="22"/>
        </w:rPr>
        <w:t>with respect to any applicable determination date means the secured overnight financing rate (“</w:t>
      </w:r>
      <w:r>
        <w:rPr>
          <w:rFonts w:ascii="Times New Roman;sans-serif" w:hAnsi="Times New Roman;sans-serif"/>
          <w:b w:val="false"/>
          <w:i/>
          <w:color w:val="000000"/>
          <w:sz w:val="22"/>
          <w:u w:val="single"/>
        </w:rPr>
        <w:t>SOFR</w:t>
      </w:r>
      <w:r>
        <w:rPr>
          <w:color w:val="000000"/>
        </w:rPr>
        <w:t>”</w:t>
      </w:r>
      <w:r>
        <w:rPr>
          <w:rFonts w:ascii="Times New Roman;sans-serif" w:hAnsi="Times New Roman;sans-serif"/>
          <w:b w:val="false"/>
          <w:color w:val="000000"/>
          <w:sz w:val="22"/>
        </w:rPr>
        <w:t>) published on such date by the Federal Reserve Bank of New York, as the administrator of the benchmark (or a successor administrator) on the Federal Reserve Bank of New York’s website (or any successor source).</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Early Opt-in Effective Date</w:t>
      </w:r>
      <w:r>
        <w:rPr>
          <w:color w:val="000000"/>
        </w:rPr>
        <w:t xml:space="preserve">” </w:t>
      </w:r>
      <w:r>
        <w:rPr>
          <w:rFonts w:ascii="Times New Roman;sans-serif" w:hAnsi="Times New Roman;sans-serif"/>
          <w:b w:val="false"/>
          <w:color w:val="000000"/>
          <w:sz w:val="22"/>
        </w:rPr>
        <w:t xml:space="preserve">means, with respect to any Early Opt-in Election, the sixth (6th) Business Day after the date notice of such Early Opt-in Election is provided to the Lenders, so long as the Administrative Agent has not received, by 5:00 p.m. (New York City time) on the fifth (5th) Business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104</w:t>
                      </w:r>
                    </w:p>
                  </w:txbxContent>
                </v:textbox>
              </v:rect>
            </w:pict>
          </mc:Fallback>
        </mc:AlternateContent>
      </w:r>
    </w:p>
    <w:p>
      <w:pPr>
        <w:pStyle w:val="TextBody"/>
        <w:spacing w:lineRule="auto" w:line="32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Day after the date notice of such Early Opt-in Election is provided to the Lenders, written notice of objection to such Early Opt-in Election from Lenders comprising the Required Lenders.</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Early Opt-in Election</w:t>
      </w:r>
      <w:r>
        <w:rPr>
          <w:color w:val="000000"/>
        </w:rPr>
        <w:t xml:space="preserve">” </w:t>
      </w:r>
      <w:r>
        <w:rPr>
          <w:rFonts w:ascii="Times New Roman;sans-serif" w:hAnsi="Times New Roman;sans-serif"/>
          <w:b w:val="false"/>
          <w:color w:val="000000"/>
          <w:sz w:val="22"/>
        </w:rPr>
        <w:t>means the occurrence of:</w:t>
      </w:r>
    </w:p>
    <w:p>
      <w:pPr>
        <w:pStyle w:val="TextBody"/>
        <w:spacing w:lineRule="auto" w:line="32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Section 3.03(c), are being executed or amended (as applicable) to incorporate or adopt a new benchmark interest rate to replace LIBOR, and </w:t>
      </w:r>
    </w:p>
    <w:p>
      <w:pPr>
        <w:pStyle w:val="TextBody"/>
        <w:spacing w:lineRule="auto" w:line="32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joint election by the Administrative Agent and the Borrower to replace LIBOR with a Benchmark Replacement and the provision by the Administrative Agent of written notice of such election to the Lenders.</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Other Rate Early Opt-in</w:t>
      </w:r>
      <w:r>
        <w:rPr>
          <w:color w:val="000000"/>
        </w:rPr>
        <w:t xml:space="preserve">” </w:t>
      </w:r>
      <w:r>
        <w:rPr>
          <w:rFonts w:ascii="Times New Roman;sans-serif" w:hAnsi="Times New Roman;sans-serif"/>
          <w:b w:val="false"/>
          <w:color w:val="000000"/>
          <w:sz w:val="22"/>
        </w:rPr>
        <w:t>means the Administrative Agent and the Borrower have elected to replace LIBOR with a Benchmark Replacement other than a SOFR-based rate pursuant to (1) an Early Opt-in Election and (2) Section 3.03(c)(ii) and paragraph (2) of the definition of “Benchmark Replacement”.</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Relevant Governmental Body</w:t>
      </w:r>
      <w:r>
        <w:rPr>
          <w:color w:val="000000"/>
        </w:rPr>
        <w:t xml:space="preserve">” </w:t>
      </w:r>
      <w:r>
        <w:rPr>
          <w:rFonts w:ascii="Times New Roman;sans-serif" w:hAnsi="Times New Roman;sans-serif"/>
          <w:b w:val="false"/>
          <w:color w:val="000000"/>
          <w:sz w:val="22"/>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SOFR Early Opt-in</w:t>
      </w:r>
      <w:r>
        <w:rPr>
          <w:color w:val="000000"/>
        </w:rPr>
        <w:t xml:space="preserve">” </w:t>
      </w:r>
      <w:r>
        <w:rPr>
          <w:rFonts w:ascii="Times New Roman;sans-serif" w:hAnsi="Times New Roman;sans-serif"/>
          <w:b w:val="false"/>
          <w:color w:val="000000"/>
          <w:sz w:val="22"/>
        </w:rPr>
        <w:t>means the Administrative Agent and the Borrower have elected to replace LIBOR pursuant to (1) an Early Opt-in Election and (2) Section 3.03(c)(i) and paragraph (1) of the definition of “Benchmark Replacement”.</w:t>
      </w:r>
    </w:p>
    <w:p>
      <w:pPr>
        <w:pStyle w:val="TextBody"/>
        <w:spacing w:lineRule="auto" w:line="328" w:before="240" w:after="283"/>
        <w:ind w:left="0" w:right="0" w:firstLine="720"/>
        <w:jc w:val="both"/>
        <w:rPr/>
      </w:pPr>
      <w:r>
        <w:rPr>
          <w:color w:val="000000"/>
        </w:rPr>
        <w:t>“</w:t>
      </w:r>
      <w:r>
        <w:rPr>
          <w:rFonts w:ascii="Times New Roman;sans-serif" w:hAnsi="Times New Roman;sans-serif"/>
          <w:b w:val="false"/>
          <w:i/>
          <w:color w:val="000000"/>
          <w:sz w:val="22"/>
          <w:u w:val="single"/>
        </w:rPr>
        <w:t>Term SOFR</w:t>
      </w:r>
      <w:r>
        <w:rPr>
          <w:color w:val="000000"/>
        </w:rPr>
        <w:t xml:space="preserve">” </w:t>
      </w:r>
      <w:r>
        <w:rPr>
          <w:rFonts w:ascii="Times New Roman;sans-serif" w:hAnsi="Times New Roman;sans-serif"/>
          <w:b w:val="false"/>
          <w:color w:val="000000"/>
          <w:sz w:val="22"/>
        </w:rPr>
        <w:t>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pStyle w:val="TextBody"/>
        <w:spacing w:before="240" w:after="283"/>
        <w:ind w:left="0" w:right="0" w:firstLine="720"/>
        <w:rPr/>
      </w:pPr>
      <w:r>
        <w:rPr/>
      </w:r>
    </w:p>
    <w:p>
      <w:pPr>
        <w:pStyle w:val="TextBody"/>
        <w:spacing w:lineRule="auto" w:line="240" w:before="0" w:after="240"/>
        <w:ind w:left="0" w:right="0" w:firstLine="720"/>
        <w:jc w:val="both"/>
        <w:rPr/>
      </w:pPr>
      <w:r>
        <w:rPr>
          <w:rFonts w:ascii="Times New Roman;sans-serif" w:hAnsi="Times New Roman;sans-serif"/>
          <w:b/>
          <w:color w:val="000000"/>
          <w:sz w:val="22"/>
        </w:rPr>
        <w:t>3.04</w:t>
      </w:r>
      <w:r>
        <w:rPr>
          <w:rFonts w:ascii="Times New Roman;sans-serif" w:hAnsi="Times New Roman;sans-serif"/>
          <w:b/>
          <w:color w:val="000000"/>
          <w:sz w:val="22"/>
        </w:rPr>
        <w:t>Increased Costs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Increased Costs Generally</w:t>
      </w:r>
      <w:r>
        <w:rPr>
          <w:rFonts w:ascii="Times New Roman;sans-serif" w:hAnsi="Times New Roman;sans-serif"/>
          <w:b w:val="false"/>
          <w:color w:val="000000"/>
          <w:sz w:val="22"/>
        </w:rPr>
        <w:t>. If any Change in Law shall:</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sans-serif" w:hAnsi="Times New Roman;sans-serif"/>
          <w:b w:val="false"/>
          <w:color w:val="000000"/>
          <w:sz w:val="22"/>
          <w:u w:val="single"/>
        </w:rPr>
        <w:t>Section 3.04(e)</w:t>
      </w:r>
      <w:r>
        <w:rPr>
          <w:rFonts w:ascii="Times New Roman;sans-serif" w:hAnsi="Times New Roman;sans-serif"/>
          <w:b w:val="false"/>
          <w:color w:val="000000"/>
          <w:sz w:val="22"/>
        </w:rPr>
        <w:t>) or any L/C Issuer;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105</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(iii)impose on any Lender or any L/C Issuer or the London interbank market any other condition, cost or expense (other than Taxes) affecting this Agreement or Eurodollar Rate Loans made by such Lender or any Letter of Credit or participation therein;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of making, converting,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Company and each other Borrower (jointly and severally) will pay to such Lender or such L/C Issuer, as the case may be, such additional amount or amounts as will compensate such Lender or such L/C Issuer, as the case may be, for such additional costs incurred or reduction suffered.</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Capital Requirements</w:t>
      </w:r>
      <w:r>
        <w:rPr>
          <w:rFonts w:ascii="Times New Roman;sans-serif" w:hAnsi="Times New Roman;sans-serif"/>
          <w:b w:val="false"/>
          <w:color w:val="000000"/>
          <w:sz w:val="22"/>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L/C Issuer’s holding company could have achieved but for such Change in Law (taking into consideration such Lender’s or such L/C Issuer’s policies and the policies of such Lender’s or such L/C Issuer’s holding company with respect to capital adequacy), then from time to time the Company and each other Borrower (jointly and severally) will pay to such Lender or such L/C Issuer, as the case may be, such additional amount or amounts as will compensate such Lender or such L/C Issuer or such Lender’s or such L/C Issuer’s holding company for any such reduction suffered.</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Certificates for Reimbursement</w:t>
      </w:r>
      <w:r>
        <w:rPr>
          <w:rFonts w:ascii="Times New Roman;sans-serif" w:hAnsi="Times New Roman;sans-serif"/>
          <w:b w:val="false"/>
          <w:color w:val="000000"/>
          <w:sz w:val="22"/>
        </w:rPr>
        <w:t>. A certificate of a Lender or an L/C Issuer setting forth the amount or amounts necessary to compensate such Lender or such L/C Issuer or its holding company, as the case may be, as specified in subsection (a) or (b) of this Section and delivered to the Company shall be conclusive absent manifest error. The Company and each other Borrower shall pay such Lender or such L/C Issuer, as the case may be, the amount shown as due on any such certificate within 10 days after receipt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Delay in Requests</w:t>
      </w:r>
      <w:r>
        <w:rPr>
          <w:rFonts w:ascii="Times New Roman;sans-serif" w:hAnsi="Times New Roman;sans-serif"/>
          <w:b w:val="false"/>
          <w:color w:val="000000"/>
          <w:sz w:val="22"/>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neither the Company nor any other Borrower shall be required to compensate a Lender or such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Reserves on Eurodollar Rate Loans</w:t>
      </w:r>
      <w:r>
        <w:rPr>
          <w:rFonts w:ascii="Times New Roman;sans-serif" w:hAnsi="Times New Roman;sans-serif"/>
          <w:b w:val="false"/>
          <w:color w:val="000000"/>
          <w:sz w:val="22"/>
        </w:rPr>
        <w:t>. The Company and each other Borrower, jointly and severally, shall pay to each Lender, as long as such Lender shall be required to maintain reserves with respect to liabilities or assets consisting of or including Eurocurrency funds or deposits (currently known as “</w:t>
      </w:r>
      <w:r>
        <w:rPr>
          <w:rFonts w:ascii="Times New Roman;sans-serif" w:hAnsi="Times New Roman;sans-serif"/>
          <w:b w:val="false"/>
          <w:color w:val="000000"/>
          <w:sz w:val="22"/>
          <w:u w:val="single"/>
        </w:rPr>
        <w:t>Eurocurrency liabilities</w:t>
      </w:r>
      <w:r>
        <w:rPr>
          <w:color w:val="000000"/>
        </w:rPr>
        <w:t>”</w:t>
      </w:r>
      <w:r>
        <w:rPr>
          <w:rFonts w:ascii="Times New Roman;sans-serif" w:hAnsi="Times New Roman;sans-serif"/>
          <w:b w:val="false"/>
          <w:color w:val="000000"/>
          <w:sz w:val="22"/>
        </w:rPr>
        <w:t xml:space="preserve">), additional interest on the unpaid principal amount of each Eurodollar Rate Loan equal to the actual costs of such reserves allocated to such Loan by such Lender (as determined by such Lender in good faith, which determination shall be conclusive absent manifest error), which shall be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due and payable on each date on which interest is payable on such Loan,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the Company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pStyle w:val="TextBody"/>
        <w:spacing w:lineRule="auto" w:line="240" w:before="0" w:after="240"/>
        <w:ind w:left="0" w:right="0" w:firstLine="720"/>
        <w:jc w:val="both"/>
        <w:rPr/>
      </w:pPr>
      <w:r>
        <w:rPr>
          <w:rFonts w:ascii="Times New Roman;sans-serif" w:hAnsi="Times New Roman;sans-serif"/>
          <w:b/>
          <w:color w:val="000000"/>
          <w:sz w:val="22"/>
        </w:rPr>
        <w:t>3.05</w:t>
      </w:r>
      <w:r>
        <w:rPr>
          <w:rFonts w:ascii="Times New Roman;sans-serif" w:hAnsi="Times New Roman;sans-serif"/>
          <w:b/>
          <w:color w:val="000000"/>
          <w:sz w:val="22"/>
        </w:rPr>
        <w:t>Mitigation Obligations; Replacement of Lenders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Designation of a Different Lending Office</w:t>
      </w:r>
      <w:r>
        <w:rPr>
          <w:rFonts w:ascii="Times New Roman;sans-serif" w:hAnsi="Times New Roman;sans-serif"/>
          <w:b w:val="false"/>
          <w:color w:val="000000"/>
          <w:sz w:val="22"/>
        </w:rPr>
        <w:t xml:space="preserve">. Each Lender may make any Credit Extension to the Borrowers through any Lending Office, provided that the exercise of this option shall not affect the obligation of the Borrowers to repay the Credit Extension in accordance with the terms of this Agreement. If any Lender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the Company or any other Borrower is required to pay any Indemnified Taxes or additional amounts to any Lender, any L/C Issuer, or any Governmental Authority for the account of any Lender or any L/C Issuer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or if any Lender gives a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as the case may be, in the future, or eliminate the need for the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as applicable, and (ii) in each case, would not subject such Lender or such L/C Issuer, as the case may be, to any unreimbursed cost or expense and would not otherwise be disadvantageous to such Lender or such L/C Issuer, as the case may be. The Company and each other Borrower (jointly and severally) hereby agrees to pay all reasonable costs and expenses incurred by any Lender or any L/C Issuer in connection with any such designation or assignment.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Replacement of Lenders</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if the Company or any other Borrower is required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and, in each case, such Lender has declined or is unable to designate a different lending office in accordance with </w:t>
      </w:r>
      <w:r>
        <w:rPr>
          <w:rFonts w:ascii="Times New Roman;sans-serif" w:hAnsi="Times New Roman;sans-serif"/>
          <w:b w:val="false"/>
          <w:color w:val="000000"/>
          <w:sz w:val="22"/>
          <w:u w:val="single"/>
        </w:rPr>
        <w:t>Section 3.05(a)</w:t>
      </w:r>
      <w:r>
        <w:rPr>
          <w:rFonts w:ascii="Times New Roman;sans-serif" w:hAnsi="Times New Roman;sans-serif"/>
          <w:b w:val="false"/>
          <w:color w:val="000000"/>
          <w:sz w:val="22"/>
        </w:rPr>
        <w:t xml:space="preserve">, the Company may replace such Lender in accordance with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3.06</w:t>
      </w:r>
      <w:r>
        <w:rPr>
          <w:rFonts w:ascii="Times New Roman;sans-serif" w:hAnsi="Times New Roman;sans-serif"/>
          <w:b/>
          <w:color w:val="000000"/>
          <w:sz w:val="22"/>
        </w:rPr>
        <w:t>Survival</w:t>
      </w:r>
      <w:r>
        <w:rPr>
          <w:rFonts w:ascii="Times New Roman;sans-serif" w:hAnsi="Times New Roman;sans-serif"/>
          <w:b w:val="false"/>
          <w:color w:val="000000"/>
          <w:sz w:val="22"/>
        </w:rPr>
        <w:t xml:space="preserve">. All of the Company’s and each other Borrower’s obligations under this </w:t>
      </w:r>
      <w:r>
        <w:rPr>
          <w:rFonts w:ascii="Times New Roman;sans-serif" w:hAnsi="Times New Roman;sans-serif"/>
          <w:b w:val="false"/>
          <w:color w:val="000000"/>
          <w:sz w:val="22"/>
          <w:u w:val="single"/>
        </w:rPr>
        <w:t>Article III</w:t>
      </w:r>
      <w:r>
        <w:rPr>
          <w:color w:val="000000"/>
        </w:rPr>
        <w:t xml:space="preserve"> </w:t>
      </w:r>
      <w:r>
        <w:rPr>
          <w:rFonts w:ascii="Times New Roman;sans-serif" w:hAnsi="Times New Roman;sans-serif"/>
          <w:b w:val="false"/>
          <w:color w:val="000000"/>
          <w:sz w:val="22"/>
        </w:rPr>
        <w:t>shall survive termination of the Aggregate Commitments, repayment of all other Obligations hereunder, and resignation of the Administrative Agent.</w:t>
      </w:r>
    </w:p>
    <w:p>
      <w:pPr>
        <w:pStyle w:val="TextBody"/>
        <w:spacing w:lineRule="auto" w:line="240" w:before="0" w:after="240"/>
        <w:jc w:val="center"/>
        <w:rPr/>
      </w:pPr>
      <w:r>
        <w:rPr>
          <w:rFonts w:ascii="Times New Roman;sans-serif" w:hAnsi="Times New Roman;sans-serif"/>
          <w:b/>
          <w:color w:val="000000"/>
          <w:sz w:val="22"/>
        </w:rPr>
        <w:t>ARTICLE IV.</w:t>
      </w:r>
      <w:r>
        <w:rPr>
          <w:color w:val="000000"/>
        </w:rPr>
        <w:t xml:space="preserve"> </w:t>
      </w:r>
      <w:r>
        <w:rPr>
          <w:rFonts w:ascii="Times New Roman;sans-serif" w:hAnsi="Times New Roman;sans-serif"/>
          <w:b/>
          <w:color w:val="000000"/>
          <w:sz w:val="22"/>
        </w:rPr>
        <w:t>CONDITIONS PRECEDENT TO CREDIT EXTENSIONS</w:t>
      </w:r>
    </w:p>
    <w:p>
      <w:pPr>
        <w:pStyle w:val="TextBody"/>
        <w:spacing w:lineRule="auto" w:line="240" w:before="0" w:after="240"/>
        <w:ind w:left="0" w:right="0" w:firstLine="720"/>
        <w:jc w:val="both"/>
        <w:rPr/>
      </w:pPr>
      <w:r>
        <w:rPr>
          <w:rFonts w:ascii="Times New Roman;sans-serif" w:hAnsi="Times New Roman;sans-serif"/>
          <w:b/>
          <w:color w:val="000000"/>
          <w:sz w:val="22"/>
        </w:rPr>
        <w:t>4.01</w:t>
      </w:r>
      <w:r>
        <w:rPr>
          <w:rFonts w:ascii="Times New Roman;sans-serif" w:hAnsi="Times New Roman;sans-serif"/>
          <w:b/>
          <w:color w:val="000000"/>
          <w:sz w:val="22"/>
        </w:rPr>
        <w:t>Conditions of Initial Credit Extension</w:t>
      </w:r>
      <w:r>
        <w:rPr>
          <w:rFonts w:ascii="Times New Roman;sans-serif" w:hAnsi="Times New Roman;sans-serif"/>
          <w:b w:val="false"/>
          <w:color w:val="000000"/>
          <w:sz w:val="22"/>
        </w:rPr>
        <w:t>. The effectiveness of this Agreement and the amendment and restatement of the Existing Credit Agreement is subject to satisfaction of the following conditions precedent: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(i)executed counterparts of (A) this Agreement sufficient in number for distribution to the Administrative Agent and its counsel, each Lender and the Company and (B) (1) the Security Agreement, (2) the Pledge Agreement, (3) the Escrow and Security Agreement and (4) each Guaranty required to be delivered in connection herewith, in each case, sufficient in number for distribution to the Administrative Agent, the Administrative Agent’s counsel and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(ii)(A) a Revolving Note executed by the Company in favor of each Lender requesting a Revolving Note, (B) a New Vehicle Floorplan Note executed by the New Vehicle Borrowers in favor of each Lender requesting a New Vehicle Floorplan Note, and (C) a Used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Vehicle Floorplan Note executed by the Used Vehicle Borrowers in favor of each Lender requesting a Used Vehicle Floorplan Note;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(iv)such documents and certifications as the Administrative Agent may reasonably require to evidence that each Loan Party is duly organized or formed, and that each Loan Party is validly existing, in good standing and qualified to engage in business in the respective jurisdictions specified in </w:t>
      </w:r>
      <w:r>
        <w:rPr>
          <w:rFonts w:ascii="Times New Roman;sans-serif" w:hAnsi="Times New Roman;sans-serif"/>
          <w:b w:val="false"/>
          <w:color w:val="000000"/>
          <w:sz w:val="22"/>
          <w:u w:val="single"/>
        </w:rPr>
        <w:t>Schedule 4.01</w:t>
      </w:r>
      <w:r>
        <w:rPr>
          <w:rFonts w:ascii="Times New Roman;sans-serif" w:hAnsi="Times New Roman;sans-serif"/>
          <w:b w:val="false"/>
          <w:color w:val="000000"/>
          <w:sz w:val="22"/>
        </w:rPr>
        <w:t>, which includes each jurisdiction where its ownership, lease or operation of properties or the conduct of its business requires such qualification, except to the extent that failure to do so could not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(v)a favorable opinion of Jones Day, counsel to the Loan Parties, addressed to the Administrative Agent and each Lender, in the form attached as </w:t>
      </w:r>
      <w:r>
        <w:rPr>
          <w:rFonts w:ascii="Times New Roman;sans-serif" w:hAnsi="Times New Roman;sans-serif"/>
          <w:b w:val="false"/>
          <w:color w:val="000000"/>
          <w:sz w:val="22"/>
          <w:u w:val="single"/>
        </w:rPr>
        <w:t>Exhibit L</w:t>
      </w:r>
      <w:r>
        <w:rPr>
          <w:rFonts w:ascii="Times New Roman;sans-serif" w:hAnsi="Times New Roman;sans-serif"/>
          <w:b w:val="false"/>
          <w:color w:val="000000"/>
          <w:sz w:val="22"/>
        </w:rPr>
        <w: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(vi)a favorable opinion of local counsel to the Loan Parties in Florida and North Carolina, addressed to the Administrative Agent and each Lender in form and substance reasonably satisfactory to the Administrative Agent;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(viii)a certificate signed by a Responsible Officer of the Company certifying (A) that the conditions specified in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 and (B) that there has been no event or circumstance since the date of the Audited Financial Statements that has had or could be reasonably expected to have, either individually or in the aggregate, a Material Adverse Effect and (C) as to the absence of any action, suit, investigation or proceeding pending or, to the knowledge of the Company, threatened in any court or before any arbitrator or Governmental Authority that could reasonably be expected to have a Material Adverse Effect;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(ix)a certificate signed by the chief financial officer, treasurer or chief accounting officer of the Company, certifying that the Company individually is Solvent and the Loan Parties taken as a whole are Solvent, in each case after giving effect to this Agreement and the other Loan Documents and the Indebtedness pursuant hereto and thereto;</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(x)a duly completed Compliance Certificate in form and substance satisfactory to the Administrative Agent as of the last day of the fiscal quarter of the Company ended on June 30, 2019, signed by a Responsible Officer of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(xi)a duly completed Revolving Borrowing Base Certificate in form and substance reasonably satisfactory to the Administrative Agent dated as of the Closing Date certifying as to the Revolving Borrowing Base as of June 30, 2019, signed by a Responsible Officer of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(xii)a duly completed Used Vehicle Floorplan Borrowing Base Certificate, in form and substance reasonably satisfactory to the Administrative Agent dated as of the Closing Date certifying as to the Used Vehicle Floorplan Borrowing Base as of August 31, 2019, signed by a Responsible Officer of the Company;</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108</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(xiii)a certificate of a Responsible Officer of the Company evidencing that no consents or waivers are required pursuant to any Franchise Agreement or Framework Agreement that have not been obtained;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(xiv)duly executed consents and waivers required pursuant to any Franchise Agreement or Framework Agreement (if 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(xv)a certificate of a Responsible Officer of the Company certifying that there have been no changes to the indenture delivered on and as in effect as of July 25, 2016 except (a) the addition of more guarantors and (b) changes reflected in supplements or amendments publicly filed with the SEC in accordance with SEC requirements;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(xvi)evidence that all insurance required to be maintained pursuant to the Loan Documents has been obtained and is in effect, including endorsements naming the Administrative Agent (on behalf of the Secured Parties ) as an additional insured or lender’s loss payee, as the case may be, on all insurance policies maintained with respect to properties of the Company or any Loan Party constituting part of the Collateral;</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(xvii)consolidated balance sheets for the Company and each Subsidiary as at the end of June 30, 2019, and the related consolidated statements of income or operations, all in reasonable detail prepared by management of the Company or such Subsidiary, including designations of New Vehicle and Used Vehicle inventories and associated lien payoffs;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(xviii)forecasts (including assumptions) prepared by the management of the Company of consolidated balance sheets, income statements and cash flow statements for the Company and its Subsidiaries, in each case in form and substance reasonably satisfactory to the Administrative Agent for each of the first five fiscal years following the Closing Date;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(xix)delivery by the Company and each applicable Loan Party owning any Equity Interests required to be pledged (if any) pursuant to this Agreement or the Pledge Agreement of all stock certificates evidencing such pledged Equity Interests, accompanied in each case by duly executed stock powers (or other appropriate transfer documents) in blank affixed thereto and (y) delivery by the Company and each other applicable Loan Party owning any Equity Interests required to be delivered in escrow pursuant to the Escrow and Security Agreement of all stock certificates evidencing such Equity Interests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(xx)UCC financing statements for filing in all places required by applicable law to perfect the Liens of the Administrative Agent for the benefit of the Secured Parties under the Security Instruments as a perfected Lien as to items of Collateral in which a security interest may be perfected by the filing of financing statements;</w:t>
      </w:r>
    </w:p>
    <w:p>
      <w:pPr>
        <w:pStyle w:val="TextBody"/>
        <w:spacing w:lineRule="auto" w:line="240" w:before="0" w:after="240"/>
        <w:ind w:left="0" w:right="0" w:firstLine="720"/>
        <w:jc w:val="both"/>
        <w:rPr/>
      </w:pPr>
      <w:r>
        <w:rPr>
          <w:rFonts w:ascii="Times New Roman;sans-serif" w:hAnsi="Times New Roman;sans-serif"/>
          <w:b w:val="false"/>
          <w:color w:val="000000"/>
          <w:sz w:val="22"/>
        </w:rPr>
        <w:t>(xxi)UCC search results with respect to the Borrowers showing only Liens acceptable to the Administrative Agent (or pursuant to which arrangements reasonably satisfactory to the Administrative Agent shall have been made to remove any unacceptable Liens promptly after the Closing Date);</w:t>
      </w:r>
      <w:r>
        <w:rPr>
          <w:color w:val="000000"/>
        </w:rPr>
        <w:t xml:space="preserv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(xxii)a certificate signed by a Responsible Officer of the Company certifying as to the identity of any Unrestricted Subsidiaries and that such Subsidiaries meet the requirements to be Unrestricted Subsidiaries;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(xxiii)with respect to any Eligible Borrowing Base Real Estate that is reflected in the Revolving Borrowing Base Certificate delivered pursuant to clause (xi) above, each of the following, in form and substance reasonably acceptable to the Administrative Agent: (A) a FIRREA-conforming appraisal, (B) a Phase I (and, if reasonably requested by the Administrative Agent, a Phase II) environmental report for such property, and (C) such other reports or certifications as related to such Eligible Borrowing Base Real Estate as the Administrative Agent may reasonably request;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109</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(xxiv)Landlord Waivers, if any, that have been received by the Company or any Subsidiary on or prior to the Closing Date;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(xxv)copies of any executed Service Loaner Intercreditor Agreement with respect to any Permitted Service Loaner Indebtedness and the FMCC Intercreditor Agreement; in each case as in effect as the date hereof, and if required pursuant to the terms hereof, any additional Service Loaner Intercreditor Agreements;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(xxvi)a completed environmental questionnaire covering all Loan Parties’ properties (whether leased or owned);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(xxvii)a form FR U-1 executed by the Company and a duly authorized representative of the Administrative Agent;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(xxviii)such other assurances, certificates, documents, consents or opinions as the Administrative Agent, any L/C Issuer, the Revolving Swing Line Lender, the New Vehicle Floorplan Swing Line Lender, the Used Vehicle Floorplan Swing Line Lender or the Required Lenders reasonably may require.</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 Upon the reasonable request of any Lender made at least ten (10)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five (5) Business Days prior to the Closing Date and (ii) at least five (5) Business Days prior to the Closing Date, any Loan Party that qualifies as a “legal entity customer” under the Beneficial Ownership Regulation shall have delivered, to each Lender that so requests, a Beneficial Ownership Certification in relation to such Loan Party.</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fees required to be paid on or before the Closing Date shall have been paid.</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Unless waived by the Administrative Agent, the Company shall have paid all accrued fees, charges and disbursements of counsel to the Administrative Agent (directly to such counsel if requested by the Administrative Agent) to the extent invoiced prior to or on the Closing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such additional amounts of such fees, charges and disbursements as shall constitute its reasonable estimate of such fees, charges and disbursements incurred or to be incurred by it through the closing proceedings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estimate shall not thereafter preclude a final settling of accounts between the Company and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Without limiting the generality of the provisions of the last paragraph of </w:t>
      </w:r>
      <w:r>
        <w:rPr>
          <w:rFonts w:ascii="Times New Roman;sans-serif" w:hAnsi="Times New Roman;sans-serif"/>
          <w:b w:val="false"/>
          <w:color w:val="000000"/>
          <w:sz w:val="22"/>
          <w:u w:val="single"/>
        </w:rPr>
        <w:t>Section 9.03</w:t>
      </w:r>
      <w:r>
        <w:rPr>
          <w:rFonts w:ascii="Times New Roman;sans-serif" w:hAnsi="Times New Roman;sans-serif"/>
          <w:b w:val="false"/>
          <w:color w:val="000000"/>
          <w:sz w:val="22"/>
        </w:rPr>
        <w:t xml:space="preserve">, for purposes of determining compliance with the conditions specified in this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spacing w:lineRule="auto" w:line="240" w:before="0" w:after="240"/>
        <w:ind w:left="0" w:right="0" w:firstLine="720"/>
        <w:jc w:val="both"/>
        <w:rPr/>
      </w:pPr>
      <w:r>
        <w:rPr>
          <w:rFonts w:ascii="Times New Roman;sans-serif" w:hAnsi="Times New Roman;sans-serif"/>
          <w:b/>
          <w:color w:val="000000"/>
          <w:sz w:val="22"/>
        </w:rPr>
        <w:t>4.02</w:t>
      </w:r>
      <w:r>
        <w:rPr>
          <w:rFonts w:ascii="Times New Roman;sans-serif" w:hAnsi="Times New Roman;sans-serif"/>
          <w:b/>
          <w:color w:val="000000"/>
          <w:sz w:val="22"/>
        </w:rPr>
        <w:t>Conditions to all Credit Extensions other than New Vehicle Floorplan Swing Line Borrowings pursuant to a Payment Commitment, a Payoff Letter Commitment or the Floorplan On-Line System</w:t>
      </w:r>
      <w:r>
        <w:rPr>
          <w:rFonts w:ascii="Times New Roman;sans-serif" w:hAnsi="Times New Roman;sans-serif"/>
          <w:b w:val="false"/>
          <w:color w:val="000000"/>
          <w:sz w:val="22"/>
        </w:rPr>
        <w:t>. The obligation of each Lender to honor any Request for Credit Extension (other than pursuant to (x) a Request for Credit Extension requesting only a conversion of Loans to the other Type, (y) a Payment Commitment, or (z) a Payoff Letter Commitment) is subject to the following conditions precedent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 respect to any Request for Credit Extension for Committed Loans the proceeds of which are intended to be and are actually used to finance one or more Permitted Acquisitions which are subject to customary “certain funds provisions”, the conditions to making such Committed Loans may be modified to reflect customary “certain funds provisions” as agreed to by the Administrative Agent and the Company):</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representations and warranties of the Company and each other Loan Party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or any other Loan Document, or which are contained in any document furnished at any time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under or in connection herewith or therewith, shall be true and correct in all material respects (or in all respects in the case of any representation and warranty qualified by materiality or Material Adverse Effect)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the representations and warranties contained in subsections (a) and (b) 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clauses (a) and (b),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Default shall exist or would result from such proposed Credit Extension or from the application of the proceeds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Administrative Agent and, if applicable, the applicable L/C Issuer, the Revolving Swing Line Lender or the Used Vehicle Floorplan Swing Line Lender shall have received, to the extent otherwise required under </w:t>
      </w:r>
      <w:r>
        <w:rPr>
          <w:rFonts w:ascii="Times New Roman;sans-serif" w:hAnsi="Times New Roman;sans-serif"/>
          <w:b w:val="false"/>
          <w:color w:val="000000"/>
          <w:sz w:val="22"/>
          <w:u w:val="single"/>
        </w:rPr>
        <w:t>Section 2.02, 2.03, 2.04, 2.11 or 2.12</w:t>
      </w:r>
      <w:r>
        <w:rPr>
          <w:rFonts w:ascii="Times New Roman;sans-serif" w:hAnsi="Times New Roman;sans-serif"/>
          <w:b w:val="false"/>
          <w:color w:val="000000"/>
          <w:sz w:val="22"/>
        </w:rPr>
        <w:t>, a Request for Credit Extension in accordance with the requirements hereof.</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In the case of any Revolving Borrowing, the Total Revolving Outstandings after giving effect to such Request for Credit Extension shall not exceed the lesser of the Aggregate Revolving Commitments or the Revolving Borrowing Base on such date.</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If the applicable Borrower is a New Vehicle Borrower, then the conditions of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to the designation of such Borrower as a New Vehicle Borrower shall have been met to the satisfaction of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If the applicable Borrower is a Used Vehicle Borrower, then the conditions of </w:t>
      </w:r>
      <w:r>
        <w:rPr>
          <w:rFonts w:ascii="Times New Roman;sans-serif" w:hAnsi="Times New Roman;sans-serif"/>
          <w:b w:val="false"/>
          <w:color w:val="000000"/>
          <w:sz w:val="22"/>
          <w:u w:val="single"/>
        </w:rPr>
        <w:t>Section 2.25</w:t>
      </w:r>
      <w:r>
        <w:rPr>
          <w:color w:val="000000"/>
        </w:rPr>
        <w:t xml:space="preserve"> </w:t>
      </w:r>
      <w:r>
        <w:rPr>
          <w:rFonts w:ascii="Times New Roman;sans-serif" w:hAnsi="Times New Roman;sans-serif"/>
          <w:b w:val="false"/>
          <w:color w:val="000000"/>
          <w:sz w:val="22"/>
        </w:rPr>
        <w:t>to the designation of such Borrower as a Used Vehicle Borrower shall have been met.</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In the case of any Used Vehicle Floorplan Borrowing, the Total Used Vehicle Floorplan Outstandings after giving effect to such Request for Credit Extensions shall not exceed the lesser of the Aggregate Used Vehicle Floorplan Commitments or the Used Vehicle Floorplan Borrowing Base on such date.</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Each Request for Credit Extension (other than a Request for Credit Extension requesting only a conversion of Loans to the other Type) submitted by the Company shall be deemed to be a representation and warranty that the conditions specified in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 on and as of the date of the applicable Credit Extension.</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Notwithstanding the conditions specified in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with respect to the portion of any Credit Extension that is used solely to finance any part of the Miller Acquisition,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shall not apply with respect to such Credit Extension, but the following conditions shall apply:</w:t>
      </w:r>
    </w:p>
    <w:p>
      <w:pPr>
        <w:pStyle w:val="TextBody"/>
        <w:spacing w:lineRule="auto" w:line="240" w:before="0" w:after="240"/>
        <w:ind w:left="0" w:right="0" w:firstLine="720"/>
        <w:jc w:val="both"/>
        <w:rPr/>
      </w:pPr>
      <w:r>
        <w:rPr>
          <w:rFonts w:ascii="Times New Roman;sans-serif" w:hAnsi="Times New Roman;sans-serif"/>
          <w:b w:val="false"/>
          <w:color w:val="000000"/>
          <w:sz w:val="22"/>
        </w:rPr>
        <w:t>(i)The Administrative Agent shall have received all documents, and evidence reasonably satisfactory to the Administrative Agent that all other actions have been taken, in each case required by Sections 2.24, 2.25 and 6.14 of the Credit Agreement with respect to any Subsidiary that (a) did not execute the Credit Agreement on the Closing Date as a New Vehicle Borrower and Used Vehicle Borrower and (b) will acquire assets in connection with the Miller Acquisition or whose Equity Interests will be acquired in connection with the Miller Acquisition (each a “</w:t>
      </w:r>
      <w:r>
        <w:rPr>
          <w:rFonts w:ascii="Times New Roman;sans-serif" w:hAnsi="Times New Roman;sans-serif"/>
          <w:b w:val="false"/>
          <w:color w:val="000000"/>
          <w:sz w:val="22"/>
          <w:u w:val="single"/>
        </w:rPr>
        <w:t>Miller Restricted Subsidiary</w:t>
      </w:r>
      <w:r>
        <w:rPr>
          <w:color w:val="000000"/>
        </w:rPr>
        <w:t>”</w:t>
      </w:r>
      <w:r>
        <w:rPr>
          <w:rFonts w:ascii="Times New Roman;sans-serif" w:hAnsi="Times New Roman;sans-serif"/>
          <w:b w:val="false"/>
          <w:color w:val="000000"/>
          <w:sz w:val="22"/>
        </w:rPr>
        <w:t>), each in form and substance satisfactory to the Administrative Agent and each of the Lenders.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Administrative Agent shall have received the following, each of which (in the case of clauses (D) and (L) shall be originals or telecopies (followed promptly by originals) unless otherwise specified, each of which (in the case of clauses (B), (E), (F), (G), (H), and (L)) shall be properly executed by a Responsible Officer of the signing Loan Party, each dated the date of such Credit Extension (or, in the case of certificates of governmental officials or the items referred to in clauses (C) and (I) through (J) below, a recent date before the date of such Credit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Extension) and each in form and substance satisfactory to the Administrative Agent and each of the Lenders: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(A)evidence that all insurance required to be maintained with respect to each Miller Restricted Subsidiary pursuant to the Loan Documents has been obtained and is in effect, including endorsements naming the Administrative Agent (on behalf of the Secured Parties) as an additional insured or lender’s loss payee, as the case may be, on all insurance policies maintained with respect to properties of such Miller Restricted Subsidiary constituting part of the Collateral;</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(B)such certificates of resolutions or other action, incumbency certificates and/or other certificates of Responsible Officers of each Miller Restricted Subsidiary as the Administrative Agent may require evidencing the identity, authority and capacity of each Responsible Officer thereof authorized to act as a Responsible Officer in connection with the Loan Documents to which such Miller Restricted Subsidiary is a party;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(C)such documents and certifications as the Administrative Agent may reasonably require to evidence that each Miller Restricted Subsidiary is duly organized or formed, and that such Miller Restricted Subsidiary is validly existing, in good standing and qualified to engage in business in the jurisdiction of its organization or formation, and each other jurisdiction where its ownership, lease or operation of properties or the conduct of its business requires such qualification, except to the extent that failure to do so could not reasonably be expected to have a Material Adverse Effect;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(D)favorable opinions of Jones Day, counsel to the Loan Parties, and, if requested by the Administrative Agent in its sole discretion, of local counsel to the Loan Parties in each state where a Miller Restricted Subsidiary is organized, in each case addressed to the Administrative Agent and each Lender, in form and substance reasonably satisfactory to the Administrative Agent;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 certificate signed by a Responsible Officer of the Company certifying that the conditions specified in Sections 4.02(i)(iii) and (iv) have been satisfied);</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(F)in connection with the first Credit Extension that is used in whole or in part to finance any part of the Miller Acquisition, a Pro Forma Compliance Certificate in form and substance satisfactory to the Administrative Agent demonstrating compliance with the financial covenants as of the last day of the fiscal quarter of the Company most recently ended prior to the date of execution of the Miller Acquisition Documents for which financial statements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the Credit Agreement, giving pro forma effect to the Miller Acquisition and the Acquisition Indebtedness (assuming the entire principal amount thereof is fully funded) signed by a Responsible Officer of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(G)in connection with the first Credit Extension that is used in whole or in part to finance any part of the Miller Acquisition, a duly completed Pro Forma Revolving Borrowing Base Certificate in form and substance reasonably satisfactory to the Administrative Agent dated as of the date of such Credit Extension certifying as to the Revolving Borrowing Base as of September 30, 2021, giving pro forma effect to the Miller Acquisition and the Acquisition Indebtedness (assuming the entire principal amount thereof is fully funded) signed by a Responsible Officer of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(H)in connection with the first Credit Extension that is used in whole or in part to finance any part of the Miller Acquisition, a duly completed Pro Forma Used Vehicle Floorplan Borrowing Base Certificate, in form and substance reasonably satisfactory to the Administrative Agent dated as of the date of such Credit Extension certifying as to the Used Vehicle Floorplan Borrowing Base as of the last day of the most recently ending month, giving pro forma effect to the Miller Acquisition and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Acquisition Indebtedness (assuming the entire principal amount thereof is fully funded) signed by a Responsible Officer of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(I)in connection with the first Credit Extension that is used in whole or in part to finance any part of the Miller Acquisition, pro forma consolidated balance sheets for the Company and each Subsidiary as of [___________], 2021, and the related consolidated statements of income or operations, all in reasonable detail prepared by management of the Company, giving pro forma effect to the Miller Acquisition and the Acquisition Indebtedness (assuming the entire principal amount thereof is fully funded);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(J)UCC search results with respect to all sellers under the Miller Acquisition Documents and all Miller Restricted Subsidiaries showing only Liens permitted hereunder (or pursuant to which arrangements reasonably satisfactory to the Administrative Agent shall have been made to remove any Liens not permitted hereunder on or prior to the date of such Credit Extension);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(K)with respect to any Eligible Borrowing Base Real Estate that is reflected in the Revolving Borrowing Base Certificate delivered pursuant to clause (G) above, each of the following, in form and substance reasonably acceptable to the Administrative Agent: (A) a FIRREA-conforming appraisal, (B) a Phase I (and, if reasonably requested by the Administrative Agent, a Phase II) environmental report for such property, and (C) such other reports or certifications as related to such Eligible Borrowing Base Real Estate as the Administrative Agent may reasonably request;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(L)if any Miller Restricted Subsidiary has a service loaner program with any Manufacturer or financial affiliate of a Manufacturer, a Service Loaner Intercreditor Agreement with respect to such program;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(M)evidence satisfactory to the Administrative Agent that the transactions with respect to the respective business associated with each real property to be financed by the Real Estate Credit Facility on the date of such Credit Extension shall have been consummated on or prior to such date in accordance with the Miller Acquisition Documents in all material respects and all applicable requirements of law, without giving effect to any amendments, consents or waivers by the Company that are materially adverse to the Administrative Agent or the Lenders without the prior written consent of the Administrative Agent (such consent not to be unreasonably withheld, delayed or conditioned) (it being understood that (x) any reduction in the purchase price of, or consideration for, the Miller Acquisition is not material and adverse to the interests of the Administrative Agent or the Lenders, so long as such reduction in the cash consideration is less than 10.0% of the original purchase price and (y) any amendment to the definition of “Material Adverse Effect” or “Acquired Companies MAE” is materially adverse to the interests of Administrative Agent and the Lenders).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Specified Acquisition Agreement Representations shall be true and correct on the date of such Credit Extension, both immediately before and after giving effect to the Miller Acquisition and the Acquisition Indebtedness.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Specified Representations shall be true and correct on the date of such Credit Extension in all material respects, both immediately before and after giving effect to the Miller Acquisition and the Acquisition Indebtedness.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(v)No Specified Event of Default shall have occurred and be continuing as of the date of such Credit Extension, both immediately before and after giving effect to the Miller Acquisition and the Acquisition Indebtedness.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(vi)There has been no event or circumstance since the date of execution of the Miller Acquisition Documents that has had or could be reasonably expected to have, either individually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in the aggregate, a Material Adverse Effect or Acquired Companies MAE (each as defined in the Miller Acquisition Documents).</w:t>
      </w:r>
    </w:p>
    <w:p>
      <w:pPr>
        <w:pStyle w:val="TextBody"/>
        <w:spacing w:lineRule="auto" w:line="240" w:before="0" w:after="240"/>
        <w:ind w:left="0" w:right="0" w:firstLine="720"/>
        <w:jc w:val="both"/>
        <w:rPr/>
      </w:pPr>
      <w:r>
        <w:rPr>
          <w:rFonts w:ascii="Times New Roman;sans-serif" w:hAnsi="Times New Roman;sans-serif"/>
          <w:b w:val="false"/>
          <w:color w:val="000000"/>
          <w:sz w:val="22"/>
        </w:rPr>
        <w:t>(vii)(A) Upon the reasonable request of any Lender made at least ten (10) Business Days prior to the date of such Credit Extension, each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(3) Business Days prior to the date of such Credit Extension and (B) at least three (3) Business Days prior to the date of such Credit Extension, any Loan Party that qualifies as a “legal entity customer” under the Beneficial Ownership Regulation shall have delivered, to each Lender that so requests, a Beneficial Ownership Certification in relation to such Loan Party.</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color w:val="000000"/>
          <w:sz w:val="22"/>
        </w:rPr>
        <w:t>4.03</w:t>
      </w:r>
      <w:r>
        <w:rPr>
          <w:rFonts w:ascii="Times New Roman;sans-serif" w:hAnsi="Times New Roman;sans-serif"/>
          <w:b/>
          <w:color w:val="000000"/>
          <w:sz w:val="22"/>
        </w:rPr>
        <w:t>Conditions to all New Vehicle Floorplan Swing Line Borrowings pursuant to a Payment Commitment, a Payoff Letter Commitment or the Floorplan On-Line System</w:t>
      </w:r>
      <w:r>
        <w:rPr>
          <w:rFonts w:ascii="Times New Roman;sans-serif" w:hAnsi="Times New Roman;sans-serif"/>
          <w:b w:val="false"/>
          <w:color w:val="000000"/>
          <w:sz w:val="22"/>
        </w:rPr>
        <w:t>. The obligation of the New Vehicle Floorplan Swing Line Lender to honor any request for a New Vehicle Floorplan Borrowing pursuant to a Payment Commitment, a Payoff Letter Commitment or the Floorplan On-Line System is subject to the following conditions precedent: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to the extent required pursuant to the terms of such Payment Commitment, Payoff Letter Commitment or Floorplan On-Line System, as the case may be, the New Vehicle Floorplan Swing Line Lender shall have received a manufacturer/distributor invoice, cash draft, electronic record, depository transfer check, sight draft, or such other documentation as may be specified in such Payment Commitment, Payoff Letter Commitment or Floorplan On-Line System, identifying the Vehicles delivered or to be delivered to the applicable New Vehicle Borrower; and</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other conditions precedent set forth in such Payment Commitment, Payoff Letter Commitment or Floorplan On-Line System.</w:t>
      </w:r>
    </w:p>
    <w:p>
      <w:pPr>
        <w:pStyle w:val="TextBody"/>
        <w:spacing w:lineRule="auto" w:line="240" w:before="0" w:after="240"/>
        <w:jc w:val="center"/>
        <w:rPr/>
      </w:pPr>
      <w:r>
        <w:rPr>
          <w:rFonts w:ascii="Times New Roman;sans-serif" w:hAnsi="Times New Roman;sans-serif"/>
          <w:b/>
          <w:color w:val="000000"/>
          <w:sz w:val="22"/>
        </w:rPr>
        <w:t>ARTICLE V.</w:t>
      </w:r>
      <w:r>
        <w:rPr>
          <w:color w:val="000000"/>
        </w:rPr>
        <w:t xml:space="preserve"> </w:t>
      </w:r>
      <w:r>
        <w:rPr>
          <w:rFonts w:ascii="Times New Roman;sans-serif" w:hAnsi="Times New Roman;sans-serif"/>
          <w:b/>
          <w:color w:val="000000"/>
          <w:sz w:val="22"/>
        </w:rPr>
        <w:t>REPRESENTATIONS AND WARRANTIES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Company and each Vehicle Borrower represents and warrants to the Administrative Agent and the Lenders that:</w:t>
      </w:r>
    </w:p>
    <w:p>
      <w:pPr>
        <w:pStyle w:val="TextBody"/>
        <w:spacing w:lineRule="auto" w:line="240" w:before="0" w:after="240"/>
        <w:ind w:left="0" w:right="0" w:firstLine="720"/>
        <w:jc w:val="both"/>
        <w:rPr/>
      </w:pPr>
      <w:r>
        <w:rPr>
          <w:rFonts w:ascii="Times New Roman;sans-serif" w:hAnsi="Times New Roman;sans-serif"/>
          <w:b/>
          <w:color w:val="000000"/>
          <w:sz w:val="22"/>
        </w:rPr>
        <w:t>5.01</w:t>
      </w:r>
      <w:r>
        <w:rPr>
          <w:rFonts w:ascii="Times New Roman;sans-serif" w:hAnsi="Times New Roman;sans-serif"/>
          <w:b/>
          <w:color w:val="000000"/>
          <w:sz w:val="22"/>
        </w:rPr>
        <w:t>Existence, Qualification and Power</w:t>
      </w:r>
      <w:r>
        <w:rPr>
          <w:rFonts w:ascii="Times New Roman;sans-serif" w:hAnsi="Times New Roman;sans-serif"/>
          <w:b w:val="false"/>
          <w:color w:val="000000"/>
          <w:sz w:val="22"/>
        </w:rPr>
        <w:t>. Each Loan Party and each Subsidiary (other than the Specified Insurance Subsidiaries) thereof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5.02</w:t>
      </w:r>
      <w:r>
        <w:rPr>
          <w:rFonts w:ascii="Times New Roman;sans-serif" w:hAnsi="Times New Roman;sans-serif"/>
          <w:b/>
          <w:color w:val="000000"/>
          <w:sz w:val="22"/>
        </w:rPr>
        <w:t>Authorization; No Contravention</w:t>
      </w:r>
      <w:r>
        <w:rPr>
          <w:rFonts w:ascii="Times New Roman;sans-serif" w:hAnsi="Times New Roman;sans-serif"/>
          <w:b w:val="false"/>
          <w:color w:val="000000"/>
          <w:sz w:val="22"/>
        </w:rPr>
        <w:t>.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the case of clause (b)(i) or (c), to the extent such contravention, conflict or violation would not reasonably be expected to have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5.03</w:t>
      </w:r>
      <w:r>
        <w:rPr>
          <w:rFonts w:ascii="Times New Roman;sans-serif" w:hAnsi="Times New Roman;sans-serif"/>
          <w:b/>
          <w:color w:val="000000"/>
          <w:sz w:val="22"/>
        </w:rPr>
        <w:t>Governmental Authorization; Other Consents</w:t>
      </w:r>
      <w:r>
        <w:rPr>
          <w:rFonts w:ascii="Times New Roman;sans-serif" w:hAnsi="Times New Roman;sans-serif"/>
          <w:b w:val="false"/>
          <w:color w:val="000000"/>
          <w:sz w:val="22"/>
        </w:rPr>
        <w:t xml:space="preserve">. No registration with, or consent or approval of, or other action by, any federal, state or other Governmental Authority is or will be required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execution, delivery and performance of this Agreement or any other Loan Document, the execution and delivery of the Notes or repayment of the Borrowings hereunder.</w:t>
      </w:r>
    </w:p>
    <w:p>
      <w:pPr>
        <w:pStyle w:val="TextBody"/>
        <w:spacing w:lineRule="auto" w:line="240" w:before="0" w:after="240"/>
        <w:ind w:left="0" w:right="0" w:firstLine="720"/>
        <w:jc w:val="both"/>
        <w:rPr/>
      </w:pPr>
      <w:r>
        <w:rPr>
          <w:rFonts w:ascii="Times New Roman;sans-serif" w:hAnsi="Times New Roman;sans-serif"/>
          <w:b/>
          <w:color w:val="000000"/>
          <w:sz w:val="22"/>
        </w:rPr>
        <w:t>5.04</w:t>
      </w:r>
      <w:r>
        <w:rPr>
          <w:rFonts w:ascii="Times New Roman;sans-serif" w:hAnsi="Times New Roman;sans-serif"/>
          <w:b/>
          <w:color w:val="000000"/>
          <w:sz w:val="22"/>
        </w:rPr>
        <w:t>Binding Effect</w:t>
      </w:r>
      <w:r>
        <w:rPr>
          <w:rFonts w:ascii="Times New Roman;sans-serif" w:hAnsi="Times New Roman;sans-serif"/>
          <w:b w:val="false"/>
          <w:color w:val="000000"/>
          <w:sz w:val="22"/>
        </w:rPr>
        <w:t>. This Agreement and each of the Loan Documents have been duly executed and delivered by each Loan Party which is a party thereto and constitute legal, valid and binding obligations of each Loan Party party thereto enforceable in accordance with their respective terms, subject, as to the enforcement of remedies, to applicable bankruptcy, reorganization, insolvency, moratorium and similar Laws affecting creditors’ rights generally and general principles of equity.</w:t>
      </w:r>
    </w:p>
    <w:p>
      <w:pPr>
        <w:pStyle w:val="TextBody"/>
        <w:spacing w:lineRule="auto" w:line="240" w:before="0" w:after="240"/>
        <w:ind w:left="0" w:right="0" w:firstLine="720"/>
        <w:jc w:val="both"/>
        <w:rPr/>
      </w:pPr>
      <w:r>
        <w:rPr>
          <w:rFonts w:ascii="Times New Roman;sans-serif" w:hAnsi="Times New Roman;sans-serif"/>
          <w:b/>
          <w:color w:val="000000"/>
          <w:sz w:val="22"/>
        </w:rPr>
        <w:t>5.05</w:t>
      </w:r>
      <w:r>
        <w:rPr>
          <w:rFonts w:ascii="Times New Roman;sans-serif" w:hAnsi="Times New Roman;sans-serif"/>
          <w:b/>
          <w:color w:val="000000"/>
          <w:sz w:val="22"/>
        </w:rPr>
        <w:t>Financial Statements; No Material Adverse Effect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Audited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unaudited consolidated balance sheets of the Company and its Subsidiaries dated June 30, 2019,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subject, in the case of clauses (i) and (ii), to the absence of footnotes and to normal year-end audit adjustments.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Since the date of the Audited Financial Statements, there has been no event or circumstance, either individually or in the aggregate, that has had or could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5.06</w:t>
      </w:r>
      <w:r>
        <w:rPr>
          <w:rFonts w:ascii="Times New Roman;sans-serif" w:hAnsi="Times New Roman;sans-serif"/>
          <w:b/>
          <w:color w:val="000000"/>
          <w:sz w:val="22"/>
        </w:rPr>
        <w:t>Litigation</w:t>
      </w:r>
      <w:r>
        <w:rPr>
          <w:rFonts w:ascii="Times New Roman;sans-serif" w:hAnsi="Times New Roman;sans-serif"/>
          <w:b w:val="false"/>
          <w:color w:val="000000"/>
          <w:sz w:val="22"/>
        </w:rPr>
        <w:t xml:space="preserve">. There are no actions, suits, proceedings, claims or disputes pending or, to the knowledge of the Company after due and diligent investigation, threatened or contemplated, at law, in equity, in arbitration or before any Governmental Authority, by or against the Company or any of its Subsidiaries or against any of their properties or revenues that (a) purport to affect or pertain to this Agreement or any other Loan Document, or any of the transactions contemplated hereby, or (b) except as specifically disclosed in </w:t>
      </w:r>
      <w:r>
        <w:rPr>
          <w:rFonts w:ascii="Times New Roman;sans-serif" w:hAnsi="Times New Roman;sans-serif"/>
          <w:b w:val="false"/>
          <w:color w:val="000000"/>
          <w:sz w:val="22"/>
          <w:u w:val="single"/>
        </w:rPr>
        <w:t>Schedule 5.06</w:t>
      </w:r>
      <w:r>
        <w:rPr>
          <w:rFonts w:ascii="Times New Roman;sans-serif" w:hAnsi="Times New Roman;sans-serif"/>
          <w:b w:val="false"/>
          <w:color w:val="000000"/>
          <w:sz w:val="22"/>
        </w:rPr>
        <w:t>, either individually or in the aggregate, could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5.07</w:t>
      </w:r>
      <w:r>
        <w:rPr>
          <w:rFonts w:ascii="Times New Roman;sans-serif" w:hAnsi="Times New Roman;sans-serif"/>
          <w:b/>
          <w:color w:val="000000"/>
          <w:sz w:val="22"/>
        </w:rPr>
        <w:t>No Default</w:t>
      </w:r>
      <w:r>
        <w:rPr>
          <w:rFonts w:ascii="Times New Roman;sans-serif" w:hAnsi="Times New Roman;sans-serif"/>
          <w:b w:val="false"/>
          <w:color w:val="000000"/>
          <w:sz w:val="22"/>
        </w:rPr>
        <w:t>. Neither any Loan Party nor any Subsidiary thereof (other than the Specified Insurance Subsidiaries)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spacing w:lineRule="auto" w:line="240" w:before="0" w:after="240"/>
        <w:ind w:left="0" w:right="0" w:firstLine="720"/>
        <w:jc w:val="both"/>
        <w:rPr/>
      </w:pPr>
      <w:r>
        <w:rPr>
          <w:rFonts w:ascii="Times New Roman;sans-serif" w:hAnsi="Times New Roman;sans-serif"/>
          <w:b/>
          <w:color w:val="000000"/>
          <w:sz w:val="22"/>
        </w:rPr>
        <w:t>5.08</w:t>
      </w:r>
      <w:r>
        <w:rPr>
          <w:rFonts w:ascii="Times New Roman;sans-serif" w:hAnsi="Times New Roman;sans-serif"/>
          <w:b/>
          <w:color w:val="000000"/>
          <w:sz w:val="22"/>
        </w:rPr>
        <w:t>Ownership of Property; Liens</w:t>
      </w:r>
      <w:r>
        <w:rPr>
          <w:rFonts w:ascii="Times New Roman;sans-serif" w:hAnsi="Times New Roman;sans-serif"/>
          <w:b w:val="false"/>
          <w:color w:val="000000"/>
          <w:sz w:val="22"/>
        </w:rPr>
        <w:t xml:space="preserve">. (a) Each of the Company and each Subsidiary (other than the Specified Insurance Subsidiaries) has good record and marketable title in fee simple to, or valid leasehold interests in, all real property necessary or used in the ordinary conduct of its business, and (b) each of the Company and each Subsidiary (other than the Specified Insurance Subsidiaries) owns all property necessary in the operation of its business, except in each case for such defects in title or such failure to own or lease property as could not, individually or in the aggregate, reasonably be expected to have a Material Adverse Effect. The property of the Company and its Subsidiaries is subject to no Liens, other than Liens permitted by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5.09</w:t>
      </w:r>
      <w:r>
        <w:rPr>
          <w:rFonts w:ascii="Times New Roman;sans-serif" w:hAnsi="Times New Roman;sans-serif"/>
          <w:b/>
          <w:color w:val="000000"/>
          <w:sz w:val="22"/>
        </w:rPr>
        <w:t>Environmental Compliance</w:t>
      </w:r>
      <w:r>
        <w:rPr>
          <w:rFonts w:ascii="Times New Roman;sans-serif" w:hAnsi="Times New Roman;sans-serif"/>
          <w:b w:val="false"/>
          <w:color w:val="000000"/>
          <w:sz w:val="22"/>
        </w:rPr>
        <w:t xml:space="preserve">. The Company and each of its Subsidiaries (other than the Specified Insurance Subsidiaries) has complied in all respects with all Environmental Laws except where the failure to comply could not be expected to have a Material Adverse Effect. Neither the Company nor any of its Subsidiaries (other than the Specified Insurance Subsidiaries) has received written notice of any failure so to comply except where the failure to comply could not be expected to have a Material Adverse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 Neither the Company nor any of its Subsidiaries (other than the Specified Insurance Subsidiaries) manages any hazardous wastes, hazardous substances, hazardous materials, toxic substances or toxic pollutants in a manner that violates any regulations promulgated pursuant to Environmental Laws except for any such violation that could not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5.10</w:t>
      </w:r>
      <w:r>
        <w:rPr>
          <w:rFonts w:ascii="Times New Roman;sans-serif" w:hAnsi="Times New Roman;sans-serif"/>
          <w:b/>
          <w:color w:val="000000"/>
          <w:sz w:val="22"/>
        </w:rPr>
        <w:t>Insurance</w:t>
      </w:r>
      <w:r>
        <w:rPr>
          <w:rFonts w:ascii="Times New Roman;sans-serif" w:hAnsi="Times New Roman;sans-serif"/>
          <w:b w:val="false"/>
          <w:color w:val="000000"/>
          <w:sz w:val="22"/>
        </w:rPr>
        <w:t>. The properties of the Company and its Subsidiaries (other than the Specified Insurance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Company or the applicable Subsidiary operates.</w:t>
      </w:r>
    </w:p>
    <w:p>
      <w:pPr>
        <w:pStyle w:val="TextBody"/>
        <w:spacing w:lineRule="auto" w:line="240" w:before="0" w:after="240"/>
        <w:ind w:left="0" w:right="0" w:firstLine="720"/>
        <w:jc w:val="both"/>
        <w:rPr/>
      </w:pPr>
      <w:r>
        <w:rPr>
          <w:rFonts w:ascii="Times New Roman;sans-serif" w:hAnsi="Times New Roman;sans-serif"/>
          <w:b/>
          <w:color w:val="000000"/>
          <w:sz w:val="22"/>
        </w:rPr>
        <w:t>5.11</w:t>
      </w:r>
      <w:r>
        <w:rPr>
          <w:rFonts w:ascii="Times New Roman;sans-serif" w:hAnsi="Times New Roman;sans-serif"/>
          <w:b/>
          <w:color w:val="000000"/>
          <w:sz w:val="22"/>
        </w:rPr>
        <w:t>Taxes</w:t>
      </w:r>
      <w:r>
        <w:rPr>
          <w:rFonts w:ascii="Times New Roman;sans-serif" w:hAnsi="Times New Roman;sans-serif"/>
          <w:b w:val="false"/>
          <w:color w:val="000000"/>
          <w:sz w:val="22"/>
        </w:rPr>
        <w:t>. The Company and its Subsidiaries (other than the Specified Insurance Subsidiaries) have filed all Federal, state and other material tax returns required to be filed, and have paid, or have made adequate provision for payment of, all Federal and material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or other appropriate provisions have been provided in accordance with GAAP. There is no proposed tax assessment against the Company or any Subsidiary (other than a Specified Insurance Subsidiary) that would, if made,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5.12</w:t>
      </w:r>
      <w:r>
        <w:rPr>
          <w:rFonts w:ascii="Times New Roman;sans-serif" w:hAnsi="Times New Roman;sans-serif"/>
          <w:b/>
          <w:color w:val="000000"/>
          <w:sz w:val="22"/>
        </w:rPr>
        <w:t>ERISA Compliance</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or, in the case of a Pension Plan that is maintained pursuant to the adoption of a master or prototype or volume submitter document, the sponsor of such master or prototype or volume submitter document has obtained from the Internal Revenue Service a favorable opinion letter stating that the form of such master or prototype or volume submitter document is acceptable for the establishment of a tax-qualified plan under Section 401(a) of the Code. To the best knowledge of the Company, nothing has occurred that would prevent or cause the loss of such tax-qualified status.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 ERISA Event has occurred that would reasonably be expected to result in a material liability, and neither the Company nor any ERISA Affiliate is aware of any fact, event or circumstance that could reasonably be expected to constitute or result in an ERISA event that would result in a material liability. Except to the extent the following would not reasonably be expected to have a Material Adverse Effect, (i) the Borrower and each ERISA Affiliate has met all applicable requirements under the Pension Funding Rules in respect of each Pension Plan, and no waiver of the minimum funding standards under the Pension Funding Rules has been applied for or obtained; (ii)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(iii) neither the Company nor any ERISA Affiliate has incurred any liability to the PBGC other than for the payment of premiums, and there are no premium payments which have become due that are unpaid; (iv) neither the Company nor any ERISA Affiliate has engaged in a transaction that could be subject to Section 4069 or Section 4212(c) of ERISA; and (v) no Pension Plan has been terminated by the plan administrator thereof nor by the PBGC, and no event or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circumstance has occurred or exists that could reasonably be expected to cause the PBGC to institute proceedings under Title IV of ERISA to terminate any Pension Plan.</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Neither the Company or any ERISA Affiliate maintains or contributes to, or has any unsatisfied obligation to contribute to, or liability under, any active or terminated Pension Plan other than (A) on the Closing Date, those listed on </w:t>
      </w:r>
      <w:r>
        <w:rPr>
          <w:rFonts w:ascii="Times New Roman;sans-serif" w:hAnsi="Times New Roman;sans-serif"/>
          <w:b w:val="false"/>
          <w:color w:val="000000"/>
          <w:sz w:val="22"/>
          <w:u w:val="single"/>
        </w:rPr>
        <w:t>Schedule 5.12(d)</w:t>
      </w:r>
      <w:r>
        <w:rPr>
          <w:color w:val="000000"/>
        </w:rPr>
        <w:t xml:space="preserve"> </w:t>
      </w:r>
      <w:r>
        <w:rPr>
          <w:rFonts w:ascii="Times New Roman;sans-serif" w:hAnsi="Times New Roman;sans-serif"/>
          <w:b w:val="false"/>
          <w:color w:val="000000"/>
          <w:sz w:val="22"/>
        </w:rPr>
        <w:t>hereto and (B) thereafter, Pension Plans not otherwise prohibited by this Agreement.</w:t>
      </w:r>
    </w:p>
    <w:p>
      <w:pPr>
        <w:pStyle w:val="TextBody"/>
        <w:spacing w:lineRule="auto" w:line="240" w:before="0" w:after="240"/>
        <w:ind w:left="0" w:right="0" w:firstLine="720"/>
        <w:jc w:val="both"/>
        <w:rPr/>
      </w:pPr>
      <w:r>
        <w:rPr>
          <w:rFonts w:ascii="Times New Roman;sans-serif" w:hAnsi="Times New Roman;sans-serif"/>
          <w:b/>
          <w:color w:val="000000"/>
          <w:sz w:val="22"/>
        </w:rPr>
        <w:t>5.13</w:t>
      </w:r>
      <w:r>
        <w:rPr>
          <w:rFonts w:ascii="Times New Roman;sans-serif" w:hAnsi="Times New Roman;sans-serif"/>
          <w:b/>
          <w:color w:val="000000"/>
          <w:sz w:val="22"/>
        </w:rPr>
        <w:t>Subsidiaries; Addresses; Equity Interests</w:t>
      </w:r>
      <w:r>
        <w:rPr>
          <w:rFonts w:ascii="Times New Roman;sans-serif" w:hAnsi="Times New Roman;sans-serif"/>
          <w:b w:val="false"/>
          <w:color w:val="000000"/>
          <w:sz w:val="22"/>
        </w:rPr>
        <w:t xml:space="preserve">. As of the Closing Date, the Company has no Subsidiaries other than those specifically disclosed in Part (a) of </w:t>
      </w:r>
      <w:r>
        <w:rPr>
          <w:rFonts w:ascii="Times New Roman;sans-serif" w:hAnsi="Times New Roman;sans-serif"/>
          <w:b w:val="false"/>
          <w:color w:val="000000"/>
          <w:sz w:val="22"/>
          <w:u w:val="single"/>
        </w:rPr>
        <w:t>Schedule 5.13</w:t>
      </w:r>
      <w:r>
        <w:rPr>
          <w:rFonts w:ascii="Times New Roman;sans-serif" w:hAnsi="Times New Roman;sans-serif"/>
          <w:b w:val="false"/>
          <w:color w:val="000000"/>
          <w:sz w:val="22"/>
        </w:rPr>
        <w:t xml:space="preserve">, and all of the outstanding Equity Interests in such Subsidiaries have been validly issued, and, to the extent applicable, are fully paid and nonassessable, and are owned by a Loan Party in the percentages specified on Part (a) of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 xml:space="preserve">free and clear of all Liens (except for Liens permitted by </w:t>
      </w:r>
      <w:r>
        <w:rPr>
          <w:rFonts w:ascii="Times New Roman;sans-serif" w:hAnsi="Times New Roman;sans-serif"/>
          <w:b w:val="false"/>
          <w:color w:val="000000"/>
          <w:sz w:val="22"/>
          <w:u w:val="single"/>
        </w:rPr>
        <w:t>Section 7.02(a),</w:t>
      </w:r>
      <w:r>
        <w:rPr>
          <w:color w:val="000000"/>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and transfer restrictions contained in the Franchise Agreements and the Framework Agreements). As of the Closing Date, the addresses set forth in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 xml:space="preserve">are each Loan Party’s place of business and each Loan Party is formed or incorporated only in the state shown for it on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hereto.</w:t>
      </w:r>
    </w:p>
    <w:p>
      <w:pPr>
        <w:pStyle w:val="TextBody"/>
        <w:spacing w:lineRule="auto" w:line="240" w:before="0" w:after="240"/>
        <w:ind w:left="0" w:right="0" w:firstLine="720"/>
        <w:jc w:val="both"/>
        <w:rPr/>
      </w:pPr>
      <w:r>
        <w:rPr>
          <w:rFonts w:ascii="Times New Roman;sans-serif" w:hAnsi="Times New Roman;sans-serif"/>
          <w:b/>
          <w:color w:val="000000"/>
          <w:sz w:val="22"/>
        </w:rPr>
        <w:t>5.14</w:t>
      </w:r>
      <w:r>
        <w:rPr>
          <w:rFonts w:ascii="Times New Roman;sans-serif" w:hAnsi="Times New Roman;sans-serif"/>
          <w:b/>
          <w:color w:val="000000"/>
          <w:sz w:val="22"/>
        </w:rPr>
        <w:t>Margin Regulations; Investment Company Act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Neither the Company nor any Vehicle Borrower is engaged or will engage, principally or as one of its important activities (other than in connection with Restricted Payments constituting share repurchases permitted pursuant to </w:t>
      </w:r>
      <w:r>
        <w:rPr>
          <w:rFonts w:ascii="Times New Roman;sans-serif" w:hAnsi="Times New Roman;sans-serif"/>
          <w:b w:val="false"/>
          <w:color w:val="000000"/>
          <w:sz w:val="22"/>
          <w:u w:val="single"/>
        </w:rPr>
        <w:t>Section 7.10(a)(i)-(iii)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in the business of purchasing or carrying margin stock (within the meaning of Regulation U issued by the FRB), or extending credit for the purpose of purchasing or carrying margin stock.</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None of the Company, any Person Controlling the Company, or any Subsidiary is or is required to be registered as an “investment company” under the Investment Company Act of 1940.</w:t>
      </w:r>
    </w:p>
    <w:p>
      <w:pPr>
        <w:pStyle w:val="TextBody"/>
        <w:spacing w:lineRule="auto" w:line="240" w:before="0" w:after="240"/>
        <w:ind w:left="0" w:right="0" w:firstLine="720"/>
        <w:jc w:val="both"/>
        <w:rPr/>
      </w:pPr>
      <w:r>
        <w:rPr>
          <w:rFonts w:ascii="Times New Roman;sans-serif" w:hAnsi="Times New Roman;sans-serif"/>
          <w:b/>
          <w:color w:val="000000"/>
          <w:sz w:val="22"/>
        </w:rPr>
        <w:t>5.15</w:t>
      </w:r>
      <w:r>
        <w:rPr>
          <w:rFonts w:ascii="Times New Roman;sans-serif" w:hAnsi="Times New Roman;sans-serif"/>
          <w:b/>
          <w:color w:val="000000"/>
          <w:sz w:val="22"/>
        </w:rPr>
        <w:t>Disclosure</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     Neither this Agreement, the other Loan Documents, nor any other document delivered by or with the knowledge and consent of the Company on behalf of the Company or any Subsidiary in connection with the transactions contemplated hereby and the negotiation of this Agreement or in connection with any Loan Document or included therein contained or contains when furnished any material misstatement of fact or omitted or omits to state any fact necessary to make the statements therein, in the light of the circumstances under which they were made, not materially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projected financial information, the Borrowers represent only that such information was prepared in good faith based upon assumptions believed to be reasonable at the time prepared, it being understood that projections by their nature are uncertain and no assurance is given that the results reflected in such projections will be achieved. </w:t>
      </w:r>
    </w:p>
    <w:p>
      <w:pPr>
        <w:pStyle w:val="TextBody"/>
        <w:spacing w:lineRule="auto" w:line="240" w:before="0" w:after="240"/>
        <w:ind w:left="0" w:right="0" w:firstLine="540"/>
        <w:jc w:val="both"/>
        <w:rPr>
          <w:rFonts w:ascii="Times New Roman;sans-serif" w:hAnsi="Times New Roman;sans-serif"/>
          <w:b w:val="false"/>
          <w:color w:val="000000"/>
          <w:sz w:val="22"/>
        </w:rPr>
      </w:pPr>
      <w:r>
        <w:rPr>
          <w:rFonts w:ascii="Times New Roman;sans-serif" w:hAnsi="Times New Roman;sans-serif"/>
          <w:b w:val="false"/>
          <w:color w:val="000000"/>
          <w:sz w:val="22"/>
        </w:rPr>
        <w:t>(b)As of the Closing Date, the information included in the Beneficial Ownership Certification, if applicable, is true and correct in all respects.</w:t>
      </w:r>
    </w:p>
    <w:p>
      <w:pPr>
        <w:pStyle w:val="TextBody"/>
        <w:spacing w:lineRule="auto" w:line="240" w:before="0" w:after="240"/>
        <w:ind w:left="0" w:right="0" w:firstLine="720"/>
        <w:jc w:val="both"/>
        <w:rPr/>
      </w:pPr>
      <w:r>
        <w:rPr>
          <w:rFonts w:ascii="Times New Roman;sans-serif" w:hAnsi="Times New Roman;sans-serif"/>
          <w:b/>
          <w:color w:val="000000"/>
          <w:sz w:val="22"/>
        </w:rPr>
        <w:t>5.16</w:t>
      </w:r>
      <w:r>
        <w:rPr>
          <w:rFonts w:ascii="Times New Roman;sans-serif" w:hAnsi="Times New Roman;sans-serif"/>
          <w:b/>
          <w:color w:val="000000"/>
          <w:sz w:val="22"/>
        </w:rPr>
        <w:t>Compliance with Laws</w:t>
      </w:r>
      <w:r>
        <w:rPr>
          <w:rFonts w:ascii="Times New Roman;sans-serif" w:hAnsi="Times New Roman;sans-serif"/>
          <w:b w:val="false"/>
          <w:color w:val="000000"/>
          <w:sz w:val="22"/>
        </w:rPr>
        <w:t>. Each of the Company and each Subsidiary thereof (other than the Specified Insurance Subsidiaries)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5.17</w:t>
      </w:r>
      <w:r>
        <w:rPr>
          <w:rFonts w:ascii="Times New Roman;sans-serif" w:hAnsi="Times New Roman;sans-serif"/>
          <w:b/>
          <w:color w:val="000000"/>
          <w:sz w:val="22"/>
        </w:rPr>
        <w:t>Intellectual Property; Licenses, Etc</w:t>
      </w:r>
      <w:r>
        <w:rPr>
          <w:rFonts w:ascii="Times New Roman;sans-serif" w:hAnsi="Times New Roman;sans-serif"/>
          <w:b w:val="false"/>
          <w:color w:val="000000"/>
          <w:sz w:val="22"/>
        </w:rPr>
        <w:t>. The Company and its Subsidiaries (other than the Specified Insurance Subsidiaries) own, or possess the right to use, all of the trademarks, service marks, trade names, copyrights, patents, patent rights, franchises, licenses and other intellectual property rights (collectively, “</w:t>
      </w:r>
      <w:r>
        <w:rPr>
          <w:rFonts w:ascii="Times New Roman;sans-serif" w:hAnsi="Times New Roman;sans-serif"/>
          <w:b w:val="false"/>
          <w:color w:val="000000"/>
          <w:sz w:val="22"/>
          <w:u w:val="single"/>
        </w:rPr>
        <w:t>IP Rights</w:t>
      </w:r>
      <w:r>
        <w:rPr>
          <w:color w:val="000000"/>
        </w:rPr>
        <w:t>”</w:t>
      </w:r>
      <w:r>
        <w:rPr>
          <w:rFonts w:ascii="Times New Roman;sans-serif" w:hAnsi="Times New Roman;sans-serif"/>
          <w:b w:val="false"/>
          <w:color w:val="000000"/>
          <w:sz w:val="22"/>
        </w:rPr>
        <w:t xml:space="preserve">) that are reasonably necessary for the operation of their respective businesses, without conflict with the rights of any other Person, except to the extent such conflict would not reasonably be expected to result in a Material Adverse Effect. No slogan or other advertising device, product, process, method, substance, part or other material now employed, or now contemplated to be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employed, by the Company or any Subsidiary infringes upon any rights held by any other Person in a manner that would reasonably be expected to result in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5.18</w:t>
      </w:r>
      <w:r>
        <w:rPr>
          <w:rFonts w:ascii="Times New Roman;sans-serif" w:hAnsi="Times New Roman;sans-serif"/>
          <w:b/>
          <w:color w:val="000000"/>
          <w:sz w:val="22"/>
        </w:rPr>
        <w:t>Location of Vehicles and Books and Records</w:t>
      </w:r>
      <w:r>
        <w:rPr>
          <w:rFonts w:ascii="Times New Roman;sans-serif" w:hAnsi="Times New Roman;sans-serif"/>
          <w:b w:val="false"/>
          <w:color w:val="000000"/>
          <w:sz w:val="22"/>
        </w:rPr>
        <w:t xml:space="preserve">. As of the Closing Date, the locations (and addresses) set forth in </w:t>
      </w:r>
      <w:r>
        <w:rPr>
          <w:rFonts w:ascii="Times New Roman;sans-serif" w:hAnsi="Times New Roman;sans-serif"/>
          <w:b w:val="false"/>
          <w:color w:val="000000"/>
          <w:sz w:val="22"/>
          <w:u w:val="single"/>
        </w:rPr>
        <w:t>Schedule 5.18</w:t>
      </w:r>
      <w:r>
        <w:rPr>
          <w:color w:val="000000"/>
        </w:rPr>
        <w:t xml:space="preserve"> </w:t>
      </w:r>
      <w:r>
        <w:rPr>
          <w:rFonts w:ascii="Times New Roman;sans-serif" w:hAnsi="Times New Roman;sans-serif"/>
          <w:b w:val="false"/>
          <w:color w:val="000000"/>
          <w:sz w:val="22"/>
        </w:rPr>
        <w:t>are all the locations at which the Company and its Subsidiaries keep the Vehicles held as inventory, except for times when such Vehicles may, in the ordinary course of business, be (a) in transit between locations, (b) in transit for “dealer trades”, (c) being test driven by potential customers or (d) being repaired at a repair shop, and in each such instance described in clauses (a) through (d) the Company maintains records with the location of the Vehicle and, where applicable, the name of, and such other relevant information as is standard in the industry with respect to, the dealer involved in such a dealer trade (or the customer test driving such Vehicle). Each of the Company and each Subsidiary (other than the Specified Insurance Subsidiaries) maintains proper books of record and account, in which full, true and correct entries in conformity with GAAP consistently applied have been made of all financial transactions and matters involving the assets and business of the Company or such Subsidiary, as the case may be.</w:t>
      </w:r>
    </w:p>
    <w:p>
      <w:pPr>
        <w:pStyle w:val="TextBody"/>
        <w:spacing w:lineRule="auto" w:line="240" w:before="0" w:after="240"/>
        <w:ind w:left="0" w:right="0" w:firstLine="720"/>
        <w:jc w:val="both"/>
        <w:rPr/>
      </w:pPr>
      <w:r>
        <w:rPr>
          <w:rFonts w:ascii="Times New Roman;sans-serif" w:hAnsi="Times New Roman;sans-serif"/>
          <w:b/>
          <w:color w:val="000000"/>
          <w:sz w:val="22"/>
        </w:rPr>
        <w:t>5.19</w:t>
      </w:r>
      <w:r>
        <w:rPr>
          <w:rFonts w:ascii="Times New Roman;sans-serif" w:hAnsi="Times New Roman;sans-serif"/>
          <w:b/>
          <w:color w:val="000000"/>
          <w:sz w:val="22"/>
        </w:rPr>
        <w:t>Franchise Agreements and Framework Agreements</w:t>
      </w:r>
      <w:r>
        <w:rPr>
          <w:rFonts w:ascii="Times New Roman;sans-serif" w:hAnsi="Times New Roman;sans-serif"/>
          <w:b w:val="false"/>
          <w:color w:val="000000"/>
          <w:sz w:val="22"/>
        </w:rPr>
        <w:t xml:space="preserve">. As of the Closing Date, neither the Company nor any of its Subsidiaries is a party to any dealer Franchise Agreements, or any Framework Agreements, other than those listed in </w:t>
      </w:r>
      <w:r>
        <w:rPr>
          <w:rFonts w:ascii="Times New Roman;sans-serif" w:hAnsi="Times New Roman;sans-serif"/>
          <w:b w:val="false"/>
          <w:color w:val="000000"/>
          <w:sz w:val="22"/>
          <w:u w:val="single"/>
        </w:rPr>
        <w:t>Schedule 5.19</w:t>
      </w:r>
      <w:r>
        <w:rPr>
          <w:rFonts w:ascii="Times New Roman;sans-serif" w:hAnsi="Times New Roman;sans-serif"/>
          <w:b w:val="false"/>
          <w:color w:val="000000"/>
          <w:sz w:val="22"/>
        </w:rPr>
        <w:t xml:space="preserve">, which schedule shows the manufacturer and the Loan Party which is a party to each such agreement, the date such agreement was entered into and the expiration date (if any) of each such agreement. Each of the Franchise Agreements and Framework Agreements is currently in full force and effect, and as of the Closing Date no Loan Party has received any notice of termination with respect to any such agreements; and, except as disclosed on </w:t>
      </w:r>
      <w:r>
        <w:rPr>
          <w:rFonts w:ascii="Times New Roman;sans-serif" w:hAnsi="Times New Roman;sans-serif"/>
          <w:b w:val="false"/>
          <w:color w:val="000000"/>
          <w:sz w:val="22"/>
          <w:u w:val="single"/>
        </w:rPr>
        <w:t>Schedule 5.19</w:t>
      </w:r>
      <w:r>
        <w:rPr>
          <w:rFonts w:ascii="Times New Roman;sans-serif" w:hAnsi="Times New Roman;sans-serif"/>
          <w:b w:val="false"/>
          <w:color w:val="000000"/>
          <w:sz w:val="22"/>
        </w:rPr>
        <w:t>, no Loan Party is aware of any event which with notice, lapse of time, or both would allow any manufacturer which is a party to any of the Franchise Agreements or Framework Agreements to terminate any such agreements. There exists no present condition or state of facts or circumstances in regard to said Franchise Agreements or Framework Agreements, in the aggregate, which could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5.20</w:t>
      </w:r>
      <w:r>
        <w:rPr>
          <w:rFonts w:ascii="Times New Roman;sans-serif" w:hAnsi="Times New Roman;sans-serif"/>
          <w:b/>
          <w:color w:val="000000"/>
          <w:sz w:val="22"/>
        </w:rPr>
        <w:t>Engaged in Business of Vehicle Sales and Related Businesses</w:t>
      </w:r>
      <w:r>
        <w:rPr>
          <w:rFonts w:ascii="Times New Roman;sans-serif" w:hAnsi="Times New Roman;sans-serif"/>
          <w:b w:val="false"/>
          <w:color w:val="000000"/>
          <w:sz w:val="22"/>
        </w:rPr>
        <w:t xml:space="preserve">. Neither the Company nor any other Borrower is engaged in any business in any material respect other than the business of (a) selling Vehicles and business activities that are reasonably related or incidental thereto, including, without limitation, the offering and/or selling of parts and service, including vehicle repair and maintenance services, replacement parts, and collision repair services, and finance and insurance products, including arranging vehicle financing through third parties and aftermarket products, such as extended service contracts, guaranteed asset protection insurance, prepaid maintenance, and credit life and disability insurance and (b) acquiring, owning, operating and, in some cases, selling dealerships engaged in such businesses;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insurance products described in clause (a) shall require the Company or any of its Subsidiaries to assume the risk of loss in respect of such policies.</w:t>
      </w:r>
    </w:p>
    <w:p>
      <w:pPr>
        <w:pStyle w:val="TextBody"/>
        <w:spacing w:lineRule="auto" w:line="240" w:before="0" w:after="240"/>
        <w:ind w:left="0" w:right="0" w:firstLine="720"/>
        <w:jc w:val="both"/>
        <w:rPr/>
      </w:pPr>
      <w:r>
        <w:rPr>
          <w:rFonts w:ascii="Times New Roman;sans-serif" w:hAnsi="Times New Roman;sans-serif"/>
          <w:b/>
          <w:color w:val="000000"/>
          <w:sz w:val="22"/>
        </w:rPr>
        <w:t>5.21</w:t>
      </w:r>
      <w:r>
        <w:rPr>
          <w:rFonts w:ascii="Times New Roman;sans-serif" w:hAnsi="Times New Roman;sans-serif"/>
          <w:b/>
          <w:color w:val="000000"/>
          <w:sz w:val="22"/>
        </w:rPr>
        <w:t>Collateral</w:t>
      </w:r>
      <w:r>
        <w:rPr>
          <w:rFonts w:ascii="Times New Roman;sans-serif" w:hAnsi="Times New Roman;sans-serif"/>
          <w:b w:val="false"/>
          <w:color w:val="000000"/>
          <w:sz w:val="22"/>
        </w:rPr>
        <w:t>. The provisions of each of the Security Instruments are effective to create in favor of the Administrative Agent for the benefit of the Secured Parties, a legal, valid and enforceable perfected security interest in all right, title and interest of each applicable Loan Party in the Collateral described therein, except as otherwise permitted hereunder. For the avoidance of doubt, in no event shall the Collateral include (i) any asset of any Foreign Subsidiary or (ii) voting Equity Interests in any Foreign Subsidiary representing more than 65% of the voting Equity Interests of such Foreign Subsidiary.</w:t>
      </w:r>
    </w:p>
    <w:p>
      <w:pPr>
        <w:pStyle w:val="TextBody"/>
        <w:spacing w:lineRule="auto" w:line="240" w:before="0" w:after="240"/>
        <w:ind w:left="0" w:right="0" w:firstLine="720"/>
        <w:jc w:val="both"/>
        <w:rPr/>
      </w:pPr>
      <w:r>
        <w:rPr>
          <w:rFonts w:ascii="Times New Roman;sans-serif" w:hAnsi="Times New Roman;sans-serif"/>
          <w:b/>
          <w:color w:val="000000"/>
          <w:sz w:val="22"/>
        </w:rPr>
        <w:t>5.22</w:t>
      </w:r>
      <w:r>
        <w:rPr>
          <w:rFonts w:ascii="Times New Roman;sans-serif" w:hAnsi="Times New Roman;sans-serif"/>
          <w:b/>
          <w:color w:val="000000"/>
          <w:sz w:val="22"/>
        </w:rPr>
        <w:t>Solvency</w:t>
      </w:r>
      <w:r>
        <w:rPr>
          <w:rFonts w:ascii="Times New Roman;sans-serif" w:hAnsi="Times New Roman;sans-serif"/>
          <w:b w:val="false"/>
          <w:color w:val="000000"/>
          <w:sz w:val="22"/>
        </w:rPr>
        <w:t>. Both before and after giving effect to the Loans hereunder, the Company individually is Solvent, and the Loan Parties taken as a whole are Solvent.</w:t>
      </w:r>
    </w:p>
    <w:p>
      <w:pPr>
        <w:pStyle w:val="TextBody"/>
        <w:spacing w:lineRule="auto" w:line="240" w:before="0" w:after="240"/>
        <w:ind w:left="0" w:right="0" w:firstLine="720"/>
        <w:jc w:val="both"/>
        <w:rPr/>
      </w:pPr>
      <w:r>
        <w:rPr>
          <w:rFonts w:ascii="Times New Roman;sans-serif" w:hAnsi="Times New Roman;sans-serif"/>
          <w:b/>
          <w:color w:val="000000"/>
          <w:sz w:val="22"/>
        </w:rPr>
        <w:t>5.23</w:t>
      </w:r>
      <w:r>
        <w:rPr>
          <w:rFonts w:ascii="Times New Roman;sans-serif" w:hAnsi="Times New Roman;sans-serif"/>
          <w:b/>
          <w:color w:val="000000"/>
          <w:sz w:val="22"/>
        </w:rPr>
        <w:t>Labor Matters</w:t>
      </w:r>
      <w:r>
        <w:rPr>
          <w:rFonts w:ascii="Times New Roman;sans-serif" w:hAnsi="Times New Roman;sans-serif"/>
          <w:b w:val="false"/>
          <w:color w:val="000000"/>
          <w:sz w:val="22"/>
        </w:rPr>
        <w:t>. As of the Closing Date, to the Company’s and its Subsidiaries’ (other than the Specified Insurance Subsidiaries’) knowledge, there are no material labor disputes to which the Company or any of its Subsidiaries (other than the Specified Insurance Subsidiaries) are or are reasonably expected to become a party, including, without limitation, any strikes, lockouts or other disputes relating to such Persons’ plants and other facilities.</w:t>
      </w:r>
    </w:p>
    <w:p>
      <w:pPr>
        <w:pStyle w:val="TextBody"/>
        <w:spacing w:lineRule="auto" w:line="240" w:before="0" w:after="240"/>
        <w:ind w:left="0" w:right="0" w:firstLine="720"/>
        <w:jc w:val="both"/>
        <w:rPr/>
      </w:pPr>
      <w:r>
        <w:rPr>
          <w:rFonts w:ascii="Times New Roman;sans-serif" w:hAnsi="Times New Roman;sans-serif"/>
          <w:b/>
          <w:color w:val="000000"/>
          <w:sz w:val="22"/>
        </w:rPr>
        <w:t>5.24</w:t>
      </w:r>
      <w:r>
        <w:rPr>
          <w:rFonts w:ascii="Times New Roman;sans-serif" w:hAnsi="Times New Roman;sans-serif"/>
          <w:b/>
          <w:color w:val="000000"/>
          <w:sz w:val="22"/>
        </w:rPr>
        <w:t>Taxpayer Identification Number</w:t>
      </w:r>
      <w:r>
        <w:rPr>
          <w:rFonts w:ascii="Times New Roman;sans-serif" w:hAnsi="Times New Roman;sans-serif"/>
          <w:b w:val="false"/>
          <w:color w:val="000000"/>
          <w:sz w:val="22"/>
        </w:rPr>
        <w:t xml:space="preserve">. The Company’s true and correct U.S. taxpayer identification number is set forth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118</w:t>
                      </w:r>
                    </w:p>
                  </w:txbxContent>
                </v:textbox>
              </v:rect>
            </w:pict>
          </mc:Fallback>
        </mc:AlternateContent>
      </w:r>
    </w:p>
    <w:p>
      <w:pPr>
        <w:pStyle w:val="TextBody"/>
        <w:spacing w:lineRule="auto" w:line="240" w:before="0" w:after="0"/>
        <w:ind w:left="0" w:right="0" w:firstLine="720"/>
        <w:jc w:val="both"/>
        <w:rPr/>
      </w:pPr>
      <w:r>
        <w:rPr>
          <w:rFonts w:ascii="Times New Roman;sans-serif" w:hAnsi="Times New Roman;sans-serif"/>
          <w:b/>
          <w:color w:val="000000"/>
          <w:sz w:val="22"/>
        </w:rPr>
        <w:t>5.25</w:t>
      </w:r>
      <w:r>
        <w:rPr>
          <w:rFonts w:ascii="Times New Roman;sans-serif" w:hAnsi="Times New Roman;sans-serif"/>
          <w:b/>
          <w:color w:val="000000"/>
          <w:sz w:val="22"/>
        </w:rPr>
        <w:t>OFAC</w:t>
      </w:r>
      <w:r>
        <w:rPr>
          <w:rFonts w:ascii="Times New Roman;sans-serif" w:hAnsi="Times New Roman;sans-serif"/>
          <w:b w:val="false"/>
          <w:color w:val="000000"/>
          <w:sz w:val="22"/>
        </w:rPr>
        <w:t>. No Borrower, nor any of their respective Subsidiaries, nor, to the knowledge of any Borrower and their respective Subsidiaries (in each case, other than the Specified Insurance Subsidiaries), any director, officer, employee, agent, affiliate or representative thereof, is an individual or entity currently the subject of any Sanctions or included on OFAC’s List of Specially Designated Nationals, HMT’s Consolidated List of Financial Sanctions Targets and the Investment Ban List, or any similar list enforced by any other relevant sanctions authority, nor is any Borrower or any Subsidiary located, organized or resident in a Designated Jurisdiction.</w: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color w:val="000000"/>
          <w:sz w:val="22"/>
        </w:rPr>
        <w:t>5.26</w:t>
      </w:r>
      <w:r>
        <w:rPr>
          <w:rFonts w:ascii="Times New Roman;sans-serif" w:hAnsi="Times New Roman;sans-serif"/>
          <w:b/>
          <w:color w:val="000000"/>
          <w:sz w:val="22"/>
        </w:rPr>
        <w:t>Anti-Corruption Laws</w:t>
      </w:r>
      <w:r>
        <w:rPr>
          <w:rFonts w:ascii="Times New Roman;sans-serif" w:hAnsi="Times New Roman;sans-serif"/>
          <w:b w:val="false"/>
          <w:color w:val="000000"/>
          <w:sz w:val="22"/>
        </w:rPr>
        <w:t>. Each Borrower and its Subsidiaries (other than the Specified Insurance Subsidiaries) have conducted their businesses in material compliance with the United States Foreign Corrupt Practices Act of 1977 and other similar anti-corruption legislation in other jurisdictions that are applicable to any Borrower or its Subsidiaries (other than the Specified Insurance Subsidiaries) (including, if applicable, the UK Bribery Act 2010), and have instituted and maintained policies and procedures designed to promote and achieve compliance with such laws.</w:t>
      </w:r>
    </w:p>
    <w:p>
      <w:pPr>
        <w:pStyle w:val="TextBody"/>
        <w:spacing w:lineRule="auto" w:line="240" w:before="0" w:after="240"/>
        <w:ind w:left="0" w:right="0" w:firstLine="720"/>
        <w:jc w:val="both"/>
        <w:rPr/>
      </w:pPr>
      <w:r>
        <w:rPr>
          <w:rFonts w:ascii="Times New Roman;sans-serif" w:hAnsi="Times New Roman;sans-serif"/>
          <w:b/>
          <w:color w:val="000000"/>
          <w:sz w:val="22"/>
        </w:rPr>
        <w:t>5.27</w:t>
      </w:r>
      <w:r>
        <w:rPr>
          <w:rFonts w:ascii="Times New Roman;sans-serif" w:hAnsi="Times New Roman;sans-serif"/>
          <w:b/>
          <w:color w:val="000000"/>
          <w:sz w:val="22"/>
        </w:rPr>
        <w:t>Affected Financial Institutions.</w:t>
      </w:r>
      <w:r>
        <w:rPr>
          <w:color w:val="000000"/>
        </w:rPr>
        <w:t xml:space="preserve"> </w:t>
      </w:r>
      <w:r>
        <w:rPr>
          <w:rFonts w:ascii="Times New Roman;sans-serif" w:hAnsi="Times New Roman;sans-serif"/>
          <w:b w:val="false"/>
          <w:color w:val="000000"/>
          <w:sz w:val="22"/>
        </w:rPr>
        <w:t>No Loan Party is an Affected Financial Institution.</w:t>
      </w:r>
    </w:p>
    <w:p>
      <w:pPr>
        <w:pStyle w:val="TextBody"/>
        <w:spacing w:lineRule="auto" w:line="240" w:before="0" w:after="240"/>
        <w:ind w:left="0" w:right="0" w:firstLine="720"/>
        <w:jc w:val="both"/>
        <w:rPr/>
      </w:pPr>
      <w:r>
        <w:rPr>
          <w:rFonts w:ascii="Times New Roman;sans-serif" w:hAnsi="Times New Roman;sans-serif"/>
          <w:b/>
          <w:color w:val="000000"/>
          <w:sz w:val="22"/>
        </w:rPr>
        <w:t>5.28</w:t>
      </w:r>
      <w:r>
        <w:rPr>
          <w:rFonts w:ascii="Times New Roman;sans-serif" w:hAnsi="Times New Roman;sans-serif"/>
          <w:b/>
          <w:color w:val="000000"/>
          <w:sz w:val="22"/>
        </w:rPr>
        <w:t>Covered Entities.</w:t>
      </w:r>
      <w:r>
        <w:rPr>
          <w:color w:val="000000"/>
        </w:rPr>
        <w:t xml:space="preserve"> </w:t>
      </w:r>
      <w:r>
        <w:rPr>
          <w:rFonts w:ascii="Times New Roman;sans-serif" w:hAnsi="Times New Roman;sans-serif"/>
          <w:b w:val="false"/>
          <w:color w:val="000000"/>
          <w:sz w:val="22"/>
        </w:rPr>
        <w:t>No Loan Party is a Covered Entity.</w:t>
      </w:r>
    </w:p>
    <w:p>
      <w:pPr>
        <w:pStyle w:val="TextBody"/>
        <w:spacing w:lineRule="auto" w:line="240" w:before="0" w:after="240"/>
        <w:jc w:val="center"/>
        <w:rPr/>
      </w:pPr>
      <w:r>
        <w:rPr>
          <w:rFonts w:ascii="Times New Roman;sans-serif" w:hAnsi="Times New Roman;sans-serif"/>
          <w:b/>
          <w:color w:val="000000"/>
          <w:sz w:val="22"/>
        </w:rPr>
        <w:t>ARTICLE VI.</w:t>
      </w:r>
      <w:r>
        <w:rPr>
          <w:color w:val="000000"/>
        </w:rPr>
        <w:t xml:space="preserve"> </w:t>
      </w:r>
      <w:r>
        <w:rPr>
          <w:rFonts w:ascii="Times New Roman;sans-serif" w:hAnsi="Times New Roman;sans-serif"/>
          <w:b/>
          <w:color w:val="000000"/>
          <w:sz w:val="22"/>
        </w:rPr>
        <w:t>AFFIRMATIVE COVENANTS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So long as any Lender shall have any Commitment hereunder, any Loan or other Obligation hereunder (other than Obligations consisting of continuing indemnities and other contingent Obligations that, in each case, expressly survive termination of this Agreement and for which no claim has been made against any Loan Party) shall remain unpaid or unsatisfied, or any Letter of Credit shall remain outstanding, the Company shall, and shall (except in the case of the covenants set forth in </w:t>
      </w:r>
      <w:r>
        <w:rPr>
          <w:rFonts w:ascii="Times New Roman;sans-serif" w:hAnsi="Times New Roman;sans-serif"/>
          <w:b w:val="false"/>
          <w:color w:val="000000"/>
          <w:sz w:val="22"/>
          <w:u w:val="single"/>
        </w:rPr>
        <w:t>Sections 6.01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6.02</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6.03</w:t>
      </w:r>
      <w:r>
        <w:rPr>
          <w:rFonts w:ascii="Times New Roman;sans-serif" w:hAnsi="Times New Roman;sans-serif"/>
          <w:b w:val="false"/>
          <w:color w:val="000000"/>
          <w:sz w:val="22"/>
        </w:rPr>
        <w:t xml:space="preserve">) cause each Subsidiary (other than, with respect to all covenants in this Article VI other than those contained in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the Specified Insurance Subsidiaries and any Designated Escrow Subsidiary) to:</w:t>
      </w:r>
    </w:p>
    <w:p>
      <w:pPr>
        <w:pStyle w:val="TextBody"/>
        <w:spacing w:lineRule="auto" w:line="240" w:before="0" w:after="240"/>
        <w:ind w:left="0" w:right="0" w:firstLine="720"/>
        <w:jc w:val="both"/>
        <w:rPr/>
      </w:pPr>
      <w:r>
        <w:rPr>
          <w:rFonts w:ascii="Times New Roman;sans-serif" w:hAnsi="Times New Roman;sans-serif"/>
          <w:b/>
          <w:color w:val="000000"/>
          <w:sz w:val="22"/>
        </w:rPr>
        <w:t>6.01</w:t>
      </w:r>
      <w:r>
        <w:rPr>
          <w:rFonts w:ascii="Times New Roman;sans-serif" w:hAnsi="Times New Roman;sans-serif"/>
          <w:b/>
          <w:color w:val="000000"/>
          <w:sz w:val="22"/>
        </w:rPr>
        <w:t>Financial Statements</w:t>
      </w:r>
      <w:r>
        <w:rPr>
          <w:rFonts w:ascii="Times New Roman;sans-serif" w:hAnsi="Times New Roman;sans-serif"/>
          <w:b w:val="false"/>
          <w:color w:val="000000"/>
          <w:sz w:val="22"/>
        </w:rPr>
        <w:t>. Deliver to the Administrative Agent and each Lender, in form and detail satisfactory to the Administrative Agent and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item in clause (a) or (b) below which is filed with the SEC in accordance with SEC requirements shall be deemed to be satisfactory):</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as soon as available, but in any event within ninety (90) days after the end of each fiscal year of the Company (or if earlier, fifteen (15) days after the date required to be filed with the SEC (without giving effect to any extension permitted by the SEC)):</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 audited consolidated balance sheet of the Company and its Subsidiaries as at the end of such fiscal year, setting forth in comparative form the figures for the previous fiscal year, in reasonable detail and prepared in accordance with GAAP;</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requested by the Administrative Agent, a consolidating balance sheet of the Company and its Subsidiaries as at the end of such fiscal year, with New Vehicle and Used Vehicle inventories designated, as well as associated lien payoffs, in each case prior to intercompany eliminations (and, upon request of the Administrative Agent, setting forth in comparative form the figures for the previous fiscal year), all in reasonable detail and prepared in accordance with GAAP, and accompanied by a combined balance sheet of the Subsidiaries that operate Ford or Lincoln dealerships as at the end of such fiscal year (and upon request of the Administrative Agent, setting forth in comparative form the figures for the previous fiscal year);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related audited consolidated statement of income or operations for such fiscal year setting forth in each case in comparative form the figures for the previous fiscal year, all in reasonable detail and prepared in accordance with GAAP;</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(iv)if requested by the Administrative Agent, the related consolidating statements of income or operations for such fiscal year (and, upon request of the Administrative Agent, setting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forth in comparative form the figures for the previous fiscal year), all in reasonable detail and prepared in accordance with GAAP, and accompanied by combined statements of income and operations of the Subsidiaries that operate Ford or Lincoln dealerships for such fiscal year (and upon request of the Administrative Agent, setting forth in comparative form the figures for the previous fiscal year);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(v)the related audited consolidated statements of stockholders’ equity and cash flows for such fiscal year setting forth in comparative form the figures for the previous fiscal year, all in reasonable detail and prepared in accordance with GAAP;</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consolidated financial statements to be audited and accompanied by (x) a report and opinion of Ernst &amp; Young LLP or any other Registered Public Accounting Firm of nationally recognized standing reasonably acceptable to the Required Lenders, which report and opinion shall be prepared in accordance with audit standards of the Public Company Accounting Oversight Board and applicable Securities Laws and shall not be subject to any “going concern” or like qualification or exception (other than a “going concern” statement, explanatory note or like qualification or exception resulting solely from the Maturity Date under this Agreement occurring within one year from the time such opinion is delivered) or any qualification or exception as to the scope of such audit;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as soon as available, but in any event within forty-five (45) days after the end of each of the first three fiscal quarters of each fiscal year of the Company (or if earlier, five days after the date required to be filed with the SEC (without giving effect to any extension permitted by the SEC)):</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 unaudited consolidated balance sheet of the Company and its Subsidiaries as at the end of such fiscal quarter, setting forth in comparative form the figures for the corresponding fiscal quarter of the previous fiscal year, in reasonable detail and prepared in accordance with GAAP;</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requested by the Administrative Agent, a consolidating balance sheet of the Company and its Subsidiaries as at the end of such fiscal quarter, with New Vehicle and Used Vehicle inventories designated, as well as associated lien payoffs, in each case prior to intercompany eliminations (and, upon the request of the Administrative Agent, setting forth in comparative form the figures for the corresponding fiscal quarter of the previous fiscal year), all in reasonable detail and prepared in accordance with GAAP, and accompanied by a combined balance sheet of the Subsidiaries that operate Ford or Lincoln dealerships as at the end of such fiscal quarter (and upon request of the Administrative Agent, setting forth in comparative form the figures for the previous fiscal quarter);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related unaudited consolidated statement of income or operations for the portion of the Company’s fiscal year then ended, setting forth in each case in comparative form the figures for the corresponding portion of the previous fiscal year, all in reasonable detail and prepared in accordance with GAAP;</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(iv)if requested by the Administrative Agent, the related consolidating statements of income or operations for the portion of the Company’s fiscal year then ended (and, upon the request of the Administrative Agent, setting forth in comparative form the figures for the corresponding portion of the previous fiscal year), all in reasonable detail and prepared in accordance with GAAP, and accompanied by combined statements of income and operations of the Subsidiaries that operate Ford or Lincoln dealerships for such portion of the fiscal year then ended (and upon request of the Administrative Agent, setting forth in comparative form the figures for the corresponding portion of the previous fiscal year);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(v)the related unaudited consolidated statements of stockholders’ equity and cash flows for such fiscal quarter (and the portion of the Company’s fiscal year then ended) setting forth in comparative form the figures for the corresponding fiscal quarter (and portion) of the previous fiscal year, all in reasonable detail and prepared in accordance with GAAP;</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such consolidated and consolidating financial statements described in this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to be unaudited and certified by a Responsible Officer of the Company as fairly presenting the financial condition, results of operations, shareholders’ equity and cash flows of the Company and its Subsidiaries in accordance with GAAP, subject only to normal year-end audit adjustments and the absence of footnotes;</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if requested by the Administrative Agent, as soon as available, but in any event within twenty (20) days after the end of each fiscal quarter (including the fourth quarter of each fiscal year) of the Company quarterly factory form financial statements for each Vehicle Borrower;</w:t>
      </w:r>
    </w:p>
    <w:p>
      <w:pPr>
        <w:pStyle w:val="TextBody"/>
        <w:spacing w:lineRule="auto" w:line="240" w:before="0" w:after="240"/>
        <w:jc w:val="both"/>
        <w:rPr/>
      </w:pPr>
      <w:r>
        <w:rPr>
          <w:rFonts w:ascii="Times New Roman;sans-serif" w:hAnsi="Times New Roman;sans-serif"/>
          <w:b w:val="false"/>
          <w:color w:val="000000"/>
          <w:sz w:val="22"/>
        </w:rPr>
        <w:t xml:space="preserve">As to any information contained in materials furnished pursuant to </w:t>
      </w:r>
      <w:r>
        <w:rPr>
          <w:rFonts w:ascii="Times New Roman;sans-serif" w:hAnsi="Times New Roman;sans-serif"/>
          <w:b w:val="false"/>
          <w:color w:val="000000"/>
          <w:sz w:val="22"/>
          <w:u w:val="single"/>
        </w:rPr>
        <w:t>Section 6.02(f)</w:t>
      </w:r>
      <w:r>
        <w:rPr>
          <w:rFonts w:ascii="Times New Roman;sans-serif" w:hAnsi="Times New Roman;sans-serif"/>
          <w:b w:val="false"/>
          <w:color w:val="000000"/>
          <w:sz w:val="22"/>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pStyle w:val="TextBody"/>
        <w:spacing w:lineRule="auto" w:line="240" w:before="0" w:after="240"/>
        <w:ind w:left="0" w:right="0" w:firstLine="720"/>
        <w:jc w:val="both"/>
        <w:rPr/>
      </w:pPr>
      <w:r>
        <w:rPr>
          <w:rFonts w:ascii="Times New Roman;sans-serif" w:hAnsi="Times New Roman;sans-serif"/>
          <w:b/>
          <w:color w:val="000000"/>
          <w:sz w:val="22"/>
        </w:rPr>
        <w:t>6.02</w:t>
      </w:r>
      <w:r>
        <w:rPr>
          <w:rFonts w:ascii="Times New Roman;sans-serif" w:hAnsi="Times New Roman;sans-serif"/>
          <w:b/>
          <w:color w:val="000000"/>
          <w:sz w:val="22"/>
        </w:rPr>
        <w:t>Certificates; Other Information</w:t>
      </w:r>
      <w:r>
        <w:rPr>
          <w:rFonts w:ascii="Times New Roman;sans-serif" w:hAnsi="Times New Roman;sans-serif"/>
          <w:b w:val="false"/>
          <w:color w:val="000000"/>
          <w:sz w:val="22"/>
        </w:rPr>
        <w:t>. Deliver to the Administrative Agent and each Lender, in form and detail satisfactory to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Concurrently with:</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(i)the delivery of the financial statements referred to in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 a duly completed Compliance Certificate signed by a Responsible Officer of the Company, including the calculation of the financial covenants set forth in </w:t>
      </w:r>
      <w:r>
        <w:rPr>
          <w:rFonts w:ascii="Times New Roman;sans-serif" w:hAnsi="Times New Roman;sans-serif"/>
          <w:b w:val="false"/>
          <w:color w:val="000000"/>
          <w:sz w:val="22"/>
          <w:u w:val="single"/>
        </w:rPr>
        <w:t>Section 7.11(a)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along with calculations of Restricted Payment availability and usage and the Consolidated Total Leverage Ratio in form and substance reasonably acceptable to the Administrative Agent, (B) a schedule (which such schedule may be included in the Compliance Certificate delivered with respect to such period) describing the entry of any final, non-appealable judgment or decree against the Company and/or any of its Subsidiaries if the aggregate amount of such judgment or decree exceeds $7,500,000 (after deducting the amount with respect to which the Company or such Subsidiary is insured and with respect to which the insurer has assumed the defense in writing and has not contested or denied its responsibility for such amount) and (C) a duly completed Revolving Borrowing Base Certificate signed by a Responsible Officer of the Company as at the end of the respective fiscal quarter or fiscal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Event of Default shall have occurred and be continuing, the Company shall deliver such Revolving Borrowing Base Certificates, each signed by a Responsible Officer of the Company, at any other time requested by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(ii)the delivery of the financial statements referred to in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financial projections for the 12 months succeeding the date of such financial statements, such projections to be prepared by management of the Company, in form reasonably satisfactory to the Administrative Agent; and</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(iii)any event described herein requiring Pro Forma Compliance, to the extent otherwise required under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7.19</w:t>
      </w:r>
      <w:r>
        <w:rPr>
          <w:rFonts w:ascii="Times New Roman;sans-serif" w:hAnsi="Times New Roman;sans-serif"/>
          <w:b w:val="false"/>
          <w:color w:val="000000"/>
          <w:sz w:val="22"/>
        </w:rPr>
        <w:t xml:space="preserve">, a duly completed Pro Forma Compliance Certificate (including the calculation of the financial covenants set forth in </w:t>
      </w:r>
      <w:r>
        <w:rPr>
          <w:rFonts w:ascii="Times New Roman;sans-serif" w:hAnsi="Times New Roman;sans-serif"/>
          <w:b w:val="false"/>
          <w:color w:val="000000"/>
          <w:sz w:val="22"/>
          <w:u w:val="single"/>
        </w:rPr>
        <w:t>Section 7.11(a)</w:t>
      </w:r>
      <w:r>
        <w:rPr>
          <w:color w:val="000000"/>
        </w:rPr>
        <w:t xml:space="preserve"> </w:t>
      </w:r>
      <w:r>
        <w:rPr>
          <w:rFonts w:ascii="Times New Roman;sans-serif" w:hAnsi="Times New Roman;sans-serif"/>
          <w:b w:val="false"/>
          <w:color w:val="000000"/>
          <w:sz w:val="22"/>
        </w:rPr>
        <w:t>and (b)), Pro Forma Revolving Borrowing Base Certificate, or Pro Forma Used Vehicle Floorplan Borrowing Base Certificate, as applicable, signed by a Responsible Officer of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other reporting requirements under this Agreement, if calculation of any financial ratio gives pro forma effect to any Material Disposition or Material Acquisition occurring during the relevant period or after the relevant period and on or prior to the date of determination, as described above and if (Y) the aggregate adjustment to Consolidated EBITDAR (as a result of all Material Dispositions and Material Acquisitions) either increases or decreases Consolidated EBITDAR for such period by at least 10% or (Z) the Administrative Agent requests such additional reporting, then (in the case of either clause (Y) or (Z)), the Company will provide additional financial reporting and compliance reporting segregating actual financial line items from pro forma line items for such period in a manner reasonably acceptable to the Administrative Agent.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within twenty (20) days after the end of each calendar month, a duly completed Used Vehicle Floorplan Borrowing Base Certificate signed by a Responsible Officer of the Company as at the end of such calendar month;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Event of Default shall have occurred and be continuing, the Company shall deliver such Used Vehicle Floorplan Borrowing Base Certificates, each signed by a Responsible Officer of the Company, at any other time requested by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promptly upon the reasonable request of the Administrative Agent from time, receivables ageing reports and inventory and equipment listings, in either consolidated or consolidating format, including a detailed list of each Used Vehicle constituting Eligible Used Vehicle Inventory, stating the make, model, year and book value of each such Vehicle;</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 the event of any Acquisition, the certificates and information required by </w:t>
      </w:r>
      <w:r>
        <w:rPr>
          <w:rFonts w:ascii="Times New Roman;sans-serif" w:hAnsi="Times New Roman;sans-serif"/>
          <w:b w:val="false"/>
          <w:color w:val="000000"/>
          <w:sz w:val="22"/>
          <w:u w:val="single"/>
        </w:rPr>
        <w:t>Section 7.19</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within a reasonable period of time after any reasonable request by the Administrative Agent, Vehicle Title Documentation and manufacturer/dealer statements;</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promptly, and in any event within five Business Days after receipt thereof by any Loan Party or any Subsidiary thereof, copies of each material notice or other material correspondence received from the SEC (or comparable agency in any applicable non-U.S. jurisdiction) concerning any investigation or possible investigation by such agency regarding financial or other operational results of any Loan Party or any Subsidiary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[reserved];</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in the event of any casualty loss or condemnation suffered by any Loan Party that has the effect of reducing either the Revolving Borrowing Base or the Used Vehicle Floorplan Borrowing Base by more than $35,000,000, an updated Revolving Borrowing Base Certificate or Used Vehicle Floorplan Borrowing Base Certificate, as applicable, reflecting such casualty loss or condemnation;</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in the event any real property is added to or removed from the Revolving Borrowing Base, an updated Revolving Borrowing Base Certificate reflecting such addition or removal, as applicable; </w: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promptly following any request therefor, provide information and documentation reasonably requested by the Administrative Agent or any Lender for purposes of compliance with applicable “know your customer” and anti-money-laundering rules and regulations, including the PATRIOT Act and the Beneficial Ownership Regulation; and </w:t>
      </w:r>
    </w:p>
    <w:p>
      <w:pPr>
        <w:pStyle w:val="TextBody"/>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Documents required to be delivered pursuant to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6.02(f)</w:t>
      </w:r>
      <w:r>
        <w:rPr>
          <w:color w:val="000000"/>
        </w:rPr>
        <w:t xml:space="preserve"> </w:t>
      </w:r>
      <w:r>
        <w:rPr>
          <w:rFonts w:ascii="Times New Roman;sans-serif" w:hAnsi="Times New Roman;sans-serif"/>
          <w:b w:val="false"/>
          <w:color w:val="000000"/>
          <w:sz w:val="22"/>
        </w:rPr>
        <w:t xml:space="preserve">(to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notify the Administrative Agent and each Lender (by facsimile or electronic mail) of the posting of any such documents and provide to the Administrative Agent by electronic mail electronic versions (</w:t>
      </w:r>
      <w:r>
        <w:rPr>
          <w:rFonts w:ascii="Times New Roman;sans-serif" w:hAnsi="Times New Roman;sans-serif"/>
          <w:b w:val="false"/>
          <w:color w:val="000000"/>
          <w:sz w:val="22"/>
          <w:u w:val="single"/>
        </w:rPr>
        <w:t>i.e.</w:t>
      </w:r>
      <w:r>
        <w:rPr>
          <w:rFonts w:ascii="Times New Roman;sans-serif" w:hAnsi="Times New Roman;sans-serif"/>
          <w:b w:val="false"/>
          <w:color w:val="000000"/>
          <w:sz w:val="22"/>
        </w:rPr>
        <w:t xml:space="preserve">, soft copies) of such documents.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pStyle w:val="TextBody"/>
        <w:spacing w:lineRule="auto" w:line="240" w:before="0" w:after="240"/>
        <w:ind w:left="0" w:right="0" w:firstLine="720"/>
        <w:jc w:val="both"/>
        <w:rPr/>
      </w:pPr>
      <w:r>
        <w:rPr>
          <w:rFonts w:ascii="Times New Roman;sans-serif" w:hAnsi="Times New Roman;sans-serif"/>
          <w:b w:val="false"/>
          <w:color w:val="000000"/>
          <w:sz w:val="22"/>
        </w:rPr>
        <w:t>The Company hereby acknowledges that (a) the Administrative Agent and/or the Arranger will make available to the Lenders materials and/or information provided by or on behalf of the Company hereunder (collectively, “</w:t>
      </w:r>
      <w:r>
        <w:rPr>
          <w:rFonts w:ascii="Times New Roman;sans-serif" w:hAnsi="Times New Roman;sans-serif"/>
          <w:b w:val="false"/>
          <w:color w:val="000000"/>
          <w:sz w:val="22"/>
          <w:u w:val="single"/>
        </w:rPr>
        <w:t>Borrower Materials</w:t>
      </w:r>
      <w:r>
        <w:rPr>
          <w:color w:val="000000"/>
        </w:rPr>
        <w:t>”</w:t>
      </w:r>
      <w:r>
        <w:rPr>
          <w:rFonts w:ascii="Times New Roman;sans-serif" w:hAnsi="Times New Roman;sans-serif"/>
          <w:b w:val="false"/>
          <w:color w:val="000000"/>
          <w:sz w:val="22"/>
        </w:rPr>
        <w:t>) by posting the Borrower Materials on IntraLinks, SyndTrak, ClearPar or another similar electronic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 and (b) certain of the Lenders (each, a “</w:t>
      </w:r>
      <w:r>
        <w:rPr>
          <w:rFonts w:ascii="Times New Roman;sans-serif" w:hAnsi="Times New Roman;sans-serif"/>
          <w:b w:val="false"/>
          <w:color w:val="000000"/>
          <w:sz w:val="22"/>
          <w:u w:val="single"/>
        </w:rPr>
        <w:t>Public Lender</w:t>
      </w:r>
      <w:r>
        <w:rPr>
          <w:color w:val="000000"/>
        </w:rPr>
        <w:t>”</w:t>
      </w:r>
      <w:r>
        <w:rPr>
          <w:rFonts w:ascii="Times New Roman;sans-serif" w:hAnsi="Times New Roman;sans-serif"/>
          <w:b w:val="false"/>
          <w:color w:val="000000"/>
          <w:sz w:val="22"/>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 and the Lenders to treat such Borrower Materials as not containing any material non-public information with respect to the Company or its securities for purposes of United States Federal and state securities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to the extent such Borrower Materials constitute Information, they shall be treated as set forth in </w:t>
      </w:r>
      <w:r>
        <w:rPr>
          <w:rFonts w:ascii="Times New Roman;sans-serif" w:hAnsi="Times New Roman;sans-serif"/>
          <w:b w:val="false"/>
          <w:color w:val="000000"/>
          <w:sz w:val="22"/>
          <w:u w:val="single"/>
        </w:rPr>
        <w:t>Section 10.07)</w:t>
      </w:r>
      <w:r>
        <w:rPr>
          <w:rFonts w:ascii="Times New Roman;sans-serif" w:hAnsi="Times New Roman;sans-serif"/>
          <w:b w:val="false"/>
          <w:color w:val="000000"/>
          <w:sz w:val="22"/>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pStyle w:val="TextBody"/>
        <w:spacing w:lineRule="auto" w:line="240" w:before="0" w:after="240"/>
        <w:ind w:left="0" w:right="0" w:firstLine="720"/>
        <w:jc w:val="both"/>
        <w:rPr/>
      </w:pPr>
      <w:r>
        <w:rPr>
          <w:rFonts w:ascii="Times New Roman;sans-serif" w:hAnsi="Times New Roman;sans-serif"/>
          <w:b/>
          <w:color w:val="000000"/>
          <w:sz w:val="22"/>
        </w:rPr>
        <w:t>6.03</w:t>
      </w:r>
      <w:r>
        <w:rPr>
          <w:rFonts w:ascii="Times New Roman;sans-serif" w:hAnsi="Times New Roman;sans-serif"/>
          <w:b/>
          <w:color w:val="000000"/>
          <w:sz w:val="22"/>
        </w:rPr>
        <w:t>Notices</w:t>
      </w:r>
      <w:r>
        <w:rPr>
          <w:rFonts w:ascii="Times New Roman;sans-serif" w:hAnsi="Times New Roman;sans-serif"/>
          <w:b w:val="false"/>
          <w:color w:val="000000"/>
          <w:sz w:val="22"/>
        </w:rPr>
        <w:t>. Promptly following any Responsible Officer of the Company having notice or knowledge thereof, notify the Administrative Agent and each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of the occurrence of any Default;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of any matter that has resulted or could reasonably be expected to result in a Material Adverse Effect, including (i) breach or non-performance of, or any default under, a Contractual Obligation of the Company or any Subsidiary that has resulted or could reasonably be expected to result in a Material Adverse Effect; (ii) any dispute, litigation, investigation, proceeding or suspension between the Company or any Subsidiary and any Governmental Authority which dispute, litigation, investigation, proceeding or suspension arising under this clause (ii) has resulted or could reasonably be expected to result in a Material Adverse Effect; or (iii) the commencement of, or any material development in, any litigation or proceeding affecting the Company or any Subsidiary, including pursuant to any applicable Environmental Laws, where the result of such event arising under this clause (iii) has resulted or could reasonably be expected to result in a Material Adverse Effect;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of the occurrence of any ERISA Event;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of any material change in accounting policies or financial reporting practices by the Company or any Subsidiary;</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of the incurrence by the Company or any Subsidiary of any Indebtedness (other than the Obligations) having a principal amount in excess of $50,000,000;</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of any sale of Equity Interests of the Company or any Subsidiary to any Person that is not a Loan Party;</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of any Disposition by the Company or any Subsidiary of any dealership, Franchise Agreement or Framework Agreement to the extent required by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of (i) any Franchise Agreement entered into after the Closing Date (and a copy of such Franchise Agreement) which deviates in any material respect from the Franchise Agreements for the applicable vehicle manufacturer or distributor delivered on or prior to the Closing Date, (ii) any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Framework Agreement (and a copy of such Framework Agreement) entered into after the Closing Date (including the subject matter and term of such Framework Agreement), (iii) the termination or expiration of any Franchise Agreement or Framework Agreement, including the expiration of a Franchise Agreement which has expired as described in </w:t>
      </w:r>
      <w:r>
        <w:rPr>
          <w:rFonts w:ascii="Times New Roman;sans-serif" w:hAnsi="Times New Roman;sans-serif"/>
          <w:b w:val="false"/>
          <w:color w:val="000000"/>
          <w:sz w:val="22"/>
          <w:u w:val="single"/>
        </w:rPr>
        <w:t>Section 8.01(l)</w:t>
      </w:r>
      <w:r>
        <w:rPr>
          <w:color w:val="000000"/>
        </w:rPr>
        <w:t xml:space="preserve"> </w:t>
      </w:r>
      <w:r>
        <w:rPr>
          <w:rFonts w:ascii="Times New Roman;sans-serif" w:hAnsi="Times New Roman;sans-serif"/>
          <w:b w:val="false"/>
          <w:color w:val="000000"/>
          <w:sz w:val="22"/>
        </w:rPr>
        <w:t>and has not been renewed within 30 days; (iv) any material amendment or other modification (and a copy of such amendment or modification) of any Framework Agreement, and (v) any material adverse change in the relationship between the Company or any Subsidiary and any vehicle manufacturer or distributor, including the written threat of loss of a new vehicle franchise or the written threat of termination of a Franchise Agreement or Framework Agreement; and</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of the occurrence of any Disposition by the Company or any Subsidiary to the extent required pursuant to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spacing w:lineRule="auto" w:line="240" w:before="0" w:after="240"/>
        <w:jc w:val="both"/>
        <w:rPr/>
      </w:pPr>
      <w:r>
        <w:rPr>
          <w:rFonts w:ascii="Times New Roman;sans-serif" w:hAnsi="Times New Roman;sans-serif"/>
          <w:b w:val="false"/>
          <w:color w:val="000000"/>
          <w:sz w:val="22"/>
        </w:rPr>
        <w:t xml:space="preserve">Each notice pursuant to this </w:t>
      </w:r>
      <w:r>
        <w:rPr>
          <w:rFonts w:ascii="Times New Roman;sans-serif" w:hAnsi="Times New Roman;sans-serif"/>
          <w:b w:val="false"/>
          <w:color w:val="000000"/>
          <w:sz w:val="22"/>
          <w:u w:val="single"/>
        </w:rPr>
        <w:t>Section 6.03</w:t>
      </w:r>
      <w:r>
        <w:rPr>
          <w:color w:val="000000"/>
        </w:rPr>
        <w:t xml:space="preserve"> </w:t>
      </w:r>
      <w:r>
        <w:rPr>
          <w:rFonts w:ascii="Times New Roman;sans-serif" w:hAnsi="Times New Roman;sans-serif"/>
          <w:b w:val="false"/>
          <w:color w:val="000000"/>
          <w:sz w:val="22"/>
        </w:rPr>
        <w:t xml:space="preserve">shall be accompanied by a statement of a Responsible Officer of the Company setting forth details of the occurrence referred to therein and, if applicable, stating what action the Company has taken and proposes to take with respect thereto. Each notice pursuant to </w:t>
      </w:r>
      <w:r>
        <w:rPr>
          <w:rFonts w:ascii="Times New Roman;sans-serif" w:hAnsi="Times New Roman;sans-serif"/>
          <w:b w:val="false"/>
          <w:color w:val="000000"/>
          <w:sz w:val="22"/>
          <w:u w:val="single"/>
        </w:rPr>
        <w:t>Section 6.03(a)</w:t>
      </w:r>
      <w:r>
        <w:rPr>
          <w:color w:val="000000"/>
        </w:rPr>
        <w:t xml:space="preserve"> </w:t>
      </w:r>
      <w:r>
        <w:rPr>
          <w:rFonts w:ascii="Times New Roman;sans-serif" w:hAnsi="Times New Roman;sans-serif"/>
          <w:b w:val="false"/>
          <w:color w:val="000000"/>
          <w:sz w:val="22"/>
        </w:rPr>
        <w:t>shall describe with particularity any and all provisions of this Agreement and any other Loan Document that have been breached.</w:t>
      </w:r>
    </w:p>
    <w:p>
      <w:pPr>
        <w:pStyle w:val="TextBody"/>
        <w:spacing w:lineRule="auto" w:line="240" w:before="0" w:after="240"/>
        <w:ind w:left="0" w:right="0" w:firstLine="720"/>
        <w:jc w:val="both"/>
        <w:rPr/>
      </w:pPr>
      <w:r>
        <w:rPr>
          <w:rFonts w:ascii="Times New Roman;sans-serif" w:hAnsi="Times New Roman;sans-serif"/>
          <w:b/>
          <w:color w:val="000000"/>
          <w:sz w:val="22"/>
        </w:rPr>
        <w:t>6.04</w:t>
      </w:r>
      <w:r>
        <w:rPr>
          <w:rFonts w:ascii="Times New Roman;sans-serif" w:hAnsi="Times New Roman;sans-serif"/>
          <w:b/>
          <w:color w:val="000000"/>
          <w:sz w:val="22"/>
        </w:rPr>
        <w:t>Payment of Obligations</w:t>
      </w:r>
      <w:r>
        <w:rPr>
          <w:rFonts w:ascii="Times New Roman;sans-serif" w:hAnsi="Times New Roman;sans-serif"/>
          <w:b w:val="false"/>
          <w:color w:val="000000"/>
          <w:sz w:val="22"/>
        </w:rPr>
        <w:t>. Pay and discharge and cause each of its Subsidiaries to pay and discharge, when due, (i) all Federal and material state income or property taxes, and all other material taxes, assessments and governmental charges or levies imposed upon the Company or such Subsidiary, as the case may be, and (ii) all lawful claims for labor, materials and supplies to the extent the failure to pay or discharge such claims for labor, materials and supplies would reasonably be expected to have a Material Adverse Effect, unless and only to the extent, in the case of each of clauses (i) and (ii) above, that the Company or such Subsidiary, as the case may be, is contesting such taxes, assessments and governmental charges, levies or claims in good faith and by appropriate proceedings and the Company or such Subsidiary has set aside on its books such reserves or other appropriate provisions therefor as may be required by GAAP.</w:t>
      </w:r>
    </w:p>
    <w:p>
      <w:pPr>
        <w:pStyle w:val="TextBody"/>
        <w:spacing w:lineRule="auto" w:line="240" w:before="0" w:after="240"/>
        <w:ind w:left="0" w:right="0" w:firstLine="720"/>
        <w:jc w:val="both"/>
        <w:rPr/>
      </w:pPr>
      <w:r>
        <w:rPr>
          <w:rFonts w:ascii="Times New Roman;sans-serif" w:hAnsi="Times New Roman;sans-serif"/>
          <w:b/>
          <w:color w:val="000000"/>
          <w:sz w:val="22"/>
        </w:rPr>
        <w:t>6.05</w:t>
      </w:r>
      <w:r>
        <w:rPr>
          <w:rFonts w:ascii="Times New Roman;sans-serif" w:hAnsi="Times New Roman;sans-serif"/>
          <w:b/>
          <w:color w:val="000000"/>
          <w:sz w:val="22"/>
        </w:rPr>
        <w:t>Preservation of Existence, Etc.; Maintenance of Vehicle Title Documentation</w:t>
      </w:r>
      <w:r>
        <w:rPr>
          <w:rFonts w:ascii="Times New Roman;sans-serif" w:hAnsi="Times New Roman;sans-serif"/>
          <w:b w:val="false"/>
          <w:color w:val="000000"/>
          <w:sz w:val="22"/>
        </w:rPr>
        <w:t xml:space="preserve">. (a) Except for any Unrestricted Subsidiary, preserve, renew and maintain in full force and effect its legal existence and good standing under the Laws of the jurisdiction of its organization except in a transaction permitted by </w:t>
      </w:r>
      <w:r>
        <w:rPr>
          <w:rFonts w:ascii="Times New Roman;sans-serif" w:hAnsi="Times New Roman;sans-serif"/>
          <w:b w:val="false"/>
          <w:color w:val="000000"/>
          <w:sz w:val="22"/>
          <w:u w:val="single"/>
        </w:rPr>
        <w:t>Section 7.03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7.04</w:t>
      </w:r>
      <w:r>
        <w:rPr>
          <w:rFonts w:ascii="Times New Roman;sans-serif" w:hAnsi="Times New Roman;sans-serif"/>
          <w:b w:val="false"/>
          <w:color w:val="000000"/>
          <w:sz w:val="22"/>
        </w:rPr>
        <w:t>; (b) take all reasonable action to maintain all rights, privileges, permits, licenses and franchises necessary or desirable in the normal conduct of its business, except to the extent that failure to do so could not reasonably be expected to have a Material Adverse Effect; (c) preserve or renew all of its registered patents, trademarks, trade names and service marks, the non-preservation of which could reasonably be expected to have a Material Adverse Effect; and (d) if applicable, preserve and maintain, in accordance with its standard policies and procedures, all manufacturer statements of origin, certificates of origin, certificates of title or ownership and other customary vehicle title documentation (collectively, the “</w:t>
      </w:r>
      <w:r>
        <w:rPr>
          <w:rFonts w:ascii="Times New Roman;sans-serif" w:hAnsi="Times New Roman;sans-serif"/>
          <w:b w:val="false"/>
          <w:color w:val="000000"/>
          <w:sz w:val="22"/>
          <w:u w:val="single"/>
        </w:rPr>
        <w:t>Vehicle Title Documentation</w:t>
      </w:r>
      <w:r>
        <w:rPr>
          <w:color w:val="000000"/>
        </w:rPr>
        <w:t>”</w:t>
      </w:r>
      <w:r>
        <w:rPr>
          <w:rFonts w:ascii="Times New Roman;sans-serif" w:hAnsi="Times New Roman;sans-serif"/>
          <w:b w:val="false"/>
          <w:color w:val="000000"/>
          <w:sz w:val="22"/>
        </w:rPr>
        <w:t>) necessary or desirable in the normal conduct of its business and maintain records evidencing which Vehicles are being used as Demonstrators and Rental Vehicles.</w:t>
      </w:r>
    </w:p>
    <w:p>
      <w:pPr>
        <w:pStyle w:val="TextBody"/>
        <w:spacing w:lineRule="auto" w:line="240" w:before="0" w:after="240"/>
        <w:ind w:left="0" w:right="0" w:firstLine="720"/>
        <w:jc w:val="both"/>
        <w:rPr/>
      </w:pPr>
      <w:r>
        <w:rPr>
          <w:rFonts w:ascii="Times New Roman;sans-serif" w:hAnsi="Times New Roman;sans-serif"/>
          <w:b/>
          <w:color w:val="000000"/>
          <w:sz w:val="22"/>
        </w:rPr>
        <w:t>6.06</w:t>
      </w:r>
      <w:r>
        <w:rPr>
          <w:rFonts w:ascii="Times New Roman;sans-serif" w:hAnsi="Times New Roman;sans-serif"/>
          <w:b/>
          <w:color w:val="000000"/>
          <w:sz w:val="22"/>
        </w:rPr>
        <w:t>Maintenance of Properties</w:t>
      </w:r>
      <w:r>
        <w:rPr>
          <w:rFonts w:ascii="Times New Roman;sans-serif" w:hAnsi="Times New Roman;sans-serif"/>
          <w:b w:val="false"/>
          <w:color w:val="000000"/>
          <w:sz w:val="22"/>
        </w:rPr>
        <w:t>. (a) Maintain, preserve and protect all of its properties and 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pStyle w:val="TextBody"/>
        <w:spacing w:lineRule="auto" w:line="240" w:before="0" w:after="240"/>
        <w:ind w:left="0" w:right="0" w:firstLine="720"/>
        <w:jc w:val="both"/>
        <w:rPr/>
      </w:pPr>
      <w:r>
        <w:rPr>
          <w:rFonts w:ascii="Times New Roman;sans-serif" w:hAnsi="Times New Roman;sans-serif"/>
          <w:b/>
          <w:color w:val="000000"/>
          <w:sz w:val="22"/>
        </w:rPr>
        <w:t>6.07</w:t>
      </w:r>
      <w:r>
        <w:rPr>
          <w:rFonts w:ascii="Times New Roman;sans-serif" w:hAnsi="Times New Roman;sans-serif"/>
          <w:b/>
          <w:color w:val="000000"/>
          <w:sz w:val="22"/>
        </w:rPr>
        <w:t>Maintenance of Insurance</w:t>
      </w:r>
      <w:r>
        <w:rPr>
          <w:rFonts w:ascii="Times New Roman;sans-serif" w:hAnsi="Times New Roman;sans-serif"/>
          <w:b w:val="false"/>
          <w:color w:val="000000"/>
          <w:sz w:val="22"/>
        </w:rPr>
        <w:t xml:space="preserve">. Maintain with financially sound and reputable insurance companies (including any Captive Insurance Company, in accordance with the terms and conditions of this Agreement),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such endorsements as are reasonably acceptable to the Administrative Agent. The Company and its Subsidiaries will, and will cause each Captive Insurance Company and each Specified Insurance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Subsidiary to, preserve and maintain: (i) the licensing and certification of each Captive Insurance Company or Specified Insurance Subsidiary, as applicable, pursuant to all applicable insurance and warranty laws and regulations; (ii) all certifications and authorizations necessary to ensure that each Captive Insurance Company is eligible for all reimbursements available under all applicable insurance and service contract laws and regulations; and (iii) all material licenses, permits, authorizations and qualifications required under all applicable insurance and service contract laws and regulations in connection with the existence and operation of each Captive Insurance Company and each Specified Insurance Subsidiary. If requested by the Administrative Agent, Borrowers will provide to the Administrative Agent such audited statements such Captive Insurance Company and such Specified Insurance Subsidiary as requested by the Administrative Agent as of the end of each fiscal year within the sooner to occur of: (i) five days following filing with the applicable regulatory agencies; or (ii) 180 days following the end of such fiscal year. Each Captive Insurance Company and each Specified Insurance Subsidiary shall conduct its insurance business in material compliance with all applicable laws and using sound actuarial principles. The insurance premiums and other expenses charged by any Captive Insurance Company to the Company and its Subsidiaries shall be reasonable and customary and in accordance with all applicable insurance and service contract laws and regulations. The insurance premiums and other fees charged by any Specified Insurance Company to the customers of the Vehicle Borrowers shall be in accordance with all applicable insurance and service contract laws and regulations. If requested by the Administrative Agent, the Company and its Subsidiaries will provide the Administrative Agent copies of any outside actuarial reports prepared with respect to any projection, valuation or appraisal of any Captive Insurance Company or any Specified Insurance Company promptly.</w:t>
      </w:r>
    </w:p>
    <w:p>
      <w:pPr>
        <w:pStyle w:val="TextBody"/>
        <w:spacing w:lineRule="auto" w:line="240" w:before="0" w:after="240"/>
        <w:ind w:left="0" w:right="0" w:firstLine="720"/>
        <w:jc w:val="both"/>
        <w:rPr/>
      </w:pPr>
      <w:r>
        <w:rPr>
          <w:rFonts w:ascii="Times New Roman;sans-serif" w:hAnsi="Times New Roman;sans-serif"/>
          <w:b/>
          <w:color w:val="000000"/>
          <w:sz w:val="22"/>
        </w:rPr>
        <w:t>6.08</w:t>
      </w:r>
      <w:r>
        <w:rPr>
          <w:rFonts w:ascii="Times New Roman;sans-serif" w:hAnsi="Times New Roman;sans-serif"/>
          <w:b/>
          <w:color w:val="000000"/>
          <w:sz w:val="22"/>
        </w:rPr>
        <w:t>Compliance with Laws and Material Contractual Obligations</w:t>
      </w:r>
      <w:r>
        <w:rPr>
          <w:rFonts w:ascii="Times New Roman;sans-serif" w:hAnsi="Times New Roman;sans-serif"/>
          <w:b w:val="false"/>
          <w:color w:val="000000"/>
          <w:sz w:val="22"/>
        </w:rPr>
        <w:t>. Comply in all material respects with the requirements of all Laws and all orders, writs, injunctions and decrees and all Contractual Obligations applicable to it or to its business or property, except in such instances in which (a) such requirement of Law or order, writ, injunction or decree is being contested in good faith by appropriate proceedings diligently conducted; or (b) the failure to comply with such requirement of Law, order, writ, injunction, decree or contractual obligation could not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6.09</w:t>
      </w:r>
      <w:r>
        <w:rPr>
          <w:rFonts w:ascii="Times New Roman;sans-serif" w:hAnsi="Times New Roman;sans-serif"/>
          <w:b/>
          <w:color w:val="000000"/>
          <w:sz w:val="22"/>
        </w:rPr>
        <w:t>Books and Records</w:t>
      </w:r>
      <w:r>
        <w:rPr>
          <w:rFonts w:ascii="Times New Roman;sans-serif" w:hAnsi="Times New Roman;sans-serif"/>
          <w:b w:val="false"/>
          <w:color w:val="000000"/>
          <w:sz w:val="22"/>
        </w:rPr>
        <w:t>. Maintain proper books of record and account, in which full, true and correct in all material respects entries in conformity with GAAP consistently applied shall be made of all material financial transactions and material matters involving the assets and business of the Company or such Subsidiary, as the case may be, including, if applicable, books and records specifying the year, make, model, cost, price, location and vehicle identification number of each Vehicle owned by the Company or such Subsidiary.</w:t>
      </w:r>
    </w:p>
    <w:p>
      <w:pPr>
        <w:pStyle w:val="TextBody"/>
        <w:spacing w:lineRule="auto" w:line="240" w:before="0" w:after="240"/>
        <w:ind w:left="0" w:right="0" w:firstLine="720"/>
        <w:jc w:val="both"/>
        <w:rPr/>
      </w:pPr>
      <w:r>
        <w:rPr>
          <w:rFonts w:ascii="Times New Roman;sans-serif" w:hAnsi="Times New Roman;sans-serif"/>
          <w:b/>
          <w:color w:val="000000"/>
          <w:sz w:val="22"/>
        </w:rPr>
        <w:t>6.10</w:t>
      </w:r>
      <w:r>
        <w:rPr>
          <w:rFonts w:ascii="Times New Roman;sans-serif" w:hAnsi="Times New Roman;sans-serif"/>
          <w:b/>
          <w:color w:val="000000"/>
          <w:sz w:val="22"/>
        </w:rPr>
        <w:t>Inspection Rights</w:t>
      </w:r>
      <w:r>
        <w:rPr>
          <w:rFonts w:ascii="Times New Roman;sans-serif" w:hAnsi="Times New Roman;sans-serif"/>
          <w:b w:val="false"/>
          <w:color w:val="000000"/>
          <w:sz w:val="22"/>
        </w:rPr>
        <w:t xml:space="preserve">. Permit representatives and independent contractors of the Administrative Agent and each Lender to visit and inspect any of its properties (including inspecting Vehicles and conducting random samples of the Net Book Value of the Used Vehicles and any assets included in the Revolving Borrowing Base),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Company (except for access required in connection with a floorplan audit pursuant to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which will be permitted at any time during regular business hours (or at other times consistent with standard industry practice) and without advance notice);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without limiting amounts that may be owed under the Fee Letter or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below, while no Event of Default exists the Borrowers shall be responsible for expenses associated with only one such visit or inspection by the Administrative Agent and its contractors per calendar year, and (b) when an Event of Default exists the Administrative Agent or any Lender (or any of their respective representatives or independent contractors) may do any of the foregoing at any time or times (all at the expense of the Borrowers) during normal business hours and without advance notice.</w:t>
      </w:r>
    </w:p>
    <w:p>
      <w:pPr>
        <w:pStyle w:val="TextBody"/>
        <w:spacing w:lineRule="auto" w:line="240" w:before="0" w:after="240"/>
        <w:ind w:left="0" w:right="0" w:firstLine="720"/>
        <w:jc w:val="both"/>
        <w:rPr/>
      </w:pPr>
      <w:r>
        <w:rPr>
          <w:rFonts w:ascii="Times New Roman;sans-serif" w:hAnsi="Times New Roman;sans-serif"/>
          <w:b/>
          <w:color w:val="000000"/>
          <w:sz w:val="22"/>
        </w:rPr>
        <w:t>6.11</w:t>
      </w:r>
      <w:r>
        <w:rPr>
          <w:rFonts w:ascii="Times New Roman;sans-serif" w:hAnsi="Times New Roman;sans-serif"/>
          <w:b/>
          <w:color w:val="000000"/>
          <w:sz w:val="22"/>
        </w:rPr>
        <w:t>Use of Proceeds</w:t>
      </w:r>
      <w:r>
        <w:rPr>
          <w:rFonts w:ascii="Times New Roman;sans-serif" w:hAnsi="Times New Roman;sans-serif"/>
          <w:b w:val="false"/>
          <w:color w:val="000000"/>
          <w:sz w:val="22"/>
        </w:rPr>
        <w:t>. Use the proceeds of the Borrowings:</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in the case of the Revolving Credit Facility (i) to continue indebtedness outstanding under the revolving credit facility of the Existing Credit Agreement, and (ii) for Permitted Acquisitions,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working capital, capital expenditures and other lawful corporate purposes, in each case not in contravention of any Law or of any Loan Document;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the case of the New Vehicle Floorplan Facility (i) to finance the acquisition by the New Vehicle Borrowers of New Vehicle Inventory (including dealer trade, Demonstrators, Rental Vehicles and Fleet Vehicles) pursuant to New Vehicle Floorplan Committed Loan Notices, New Vehicle Floorplan Swing Line Loan Notices, Payment Commitments, Payoff Letter Commitments or electronic requests via the Floorplan On-Line System, and (ii) to refinance indebtedness outstanding under existing new vehicle floorplan facilities of the New Vehicle Borrowers, provided pursuant to the Existing Credit Agreement, in each case not in contravention of any Law or any Loan Document; and</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 the case of the Used Vehicle Floorplan Facility (i) to finance the acquisition of Used Vehicle inventory, (ii) to continue indebtedness outstanding under the used vehicle floorplan facility of the Used Vehicle Borrowers, provided pursuant to the Existing Credit Agreement, and (iii) other working capital, capital expenditures and other lawful corporate purposes (including Permitted Acquisitions), in each case not in contravention of any Law or of any Loan Document;</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Credit Extension shall be advanced by any Lender directly to any Unrestricted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foregoing proviso shall not be construed to prohibit Investments expressly permitted by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6.12</w:t>
      </w:r>
      <w:r>
        <w:rPr>
          <w:rFonts w:ascii="Times New Roman;sans-serif" w:hAnsi="Times New Roman;sans-serif"/>
          <w:b/>
          <w:color w:val="000000"/>
          <w:sz w:val="22"/>
        </w:rPr>
        <w:t>Floorplan Audits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Entry on Premises</w:t>
      </w:r>
      <w:r>
        <w:rPr>
          <w:rFonts w:ascii="Times New Roman;sans-serif" w:hAnsi="Times New Roman;sans-serif"/>
          <w:b w:val="false"/>
          <w:color w:val="000000"/>
          <w:sz w:val="22"/>
        </w:rPr>
        <w:t>. Each New Vehicle Borrower shall permit a duly authorized representative of the New Vehicle Floorplan Swing Line Lender to enter upon such New Vehicle Borrower’s premises during regular business hours (or at other times consistent with standard industry practice) to perform audits of Vehicles constituting Collateral in a manner reasonably satisfactory to the New Vehicle Floorplan Swing Line Lender on a quarterly basis or at other intervals as required by the New Vehicle Floorplan Swing Line Lender from time to time, but no less frequently than three times in any twelve (12) month period. Each New Vehicle Borrower shall assist the New Vehicle Floorplan Swing Line Lender, and its representatives, in whatever way reasonably necessary to make the inspections and audits provided for herein. The Borrowers (jointly and severally) shall reimburse the Administrative Agent for any floorplan audits if an out-of-trust situation or Event of Default has occurred, and the Borrowers shall continue to reimburse the Administrative Agent for such floorplan audits until such time as (i) consecutive floorplan audits demonstrate no out-of-trust situation and (ii) no Event of Default has occurred and is continuing.</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Delivery of Audit Results</w:t>
      </w:r>
      <w:r>
        <w:rPr>
          <w:rFonts w:ascii="Times New Roman;sans-serif" w:hAnsi="Times New Roman;sans-serif"/>
          <w:b w:val="false"/>
          <w:color w:val="000000"/>
          <w:sz w:val="22"/>
        </w:rPr>
        <w:t>. Within thirty (30) days after the end of each calendar month of the Company, the New Vehicle Floorplan Swing Line Lender shall deliver to the Administrative Agent a summary of the audit results of each of the New Vehicle Borrowers performed by the New Vehicle Floorplan Swing Line Lender during the calendar month just ended, setting forth therein a spread sheet reflecting, for each New Vehicle Borrower, a summary of the results of each floorplan audit during the calendar month. The Administrative Agent shall promptly deliver a copy of such report to each Lender.</w:t>
      </w:r>
    </w:p>
    <w:p>
      <w:pPr>
        <w:pStyle w:val="TextBody"/>
        <w:spacing w:lineRule="auto" w:line="240" w:before="0" w:after="240"/>
        <w:ind w:left="0" w:right="0" w:firstLine="720"/>
        <w:jc w:val="both"/>
        <w:rPr/>
      </w:pPr>
      <w:r>
        <w:rPr>
          <w:rFonts w:ascii="Times New Roman;sans-serif" w:hAnsi="Times New Roman;sans-serif"/>
          <w:b/>
          <w:color w:val="000000"/>
          <w:sz w:val="22"/>
        </w:rPr>
        <w:t>6.13</w:t>
      </w:r>
      <w:r>
        <w:rPr>
          <w:rFonts w:ascii="Times New Roman;sans-serif" w:hAnsi="Times New Roman;sans-serif"/>
          <w:b/>
          <w:color w:val="000000"/>
          <w:sz w:val="22"/>
        </w:rPr>
        <w:t>Location of Vehicles</w:t>
      </w:r>
      <w:r>
        <w:rPr>
          <w:rFonts w:ascii="Times New Roman;sans-serif" w:hAnsi="Times New Roman;sans-serif"/>
          <w:b w:val="false"/>
          <w:color w:val="000000"/>
          <w:sz w:val="22"/>
        </w:rPr>
        <w:t xml:space="preserve">. Keep the Vehicles only at the locations set forth on </w:t>
      </w:r>
      <w:r>
        <w:rPr>
          <w:rFonts w:ascii="Times New Roman;sans-serif" w:hAnsi="Times New Roman;sans-serif"/>
          <w:b w:val="false"/>
          <w:color w:val="000000"/>
          <w:sz w:val="22"/>
          <w:u w:val="single"/>
        </w:rPr>
        <w:t>Schedule 5.18</w:t>
      </w:r>
      <w:r>
        <w:rPr>
          <w:rFonts w:ascii="Times New Roman;sans-serif" w:hAnsi="Times New Roman;sans-serif"/>
          <w:b w:val="false"/>
          <w:color w:val="000000"/>
          <w:sz w:val="22"/>
        </w:rPr>
        <w:t xml:space="preserve">, as such schedule may be revised from time to time as set forth in the Compliance Certificate delivered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 except that Vehicles may, in the ordinary course of business, be (a) in transit between locations, (b) in transit for “dealer trades”, (c) being test driven by potential customers or (d) being repaired at a collision repair center, and in each such instance described in clauses (a) – (d), the Company shall maintain records with the location of the Vehicle and, where applicable, the name of, and such other relevant information as is standard in the industry with respect to, the dealer involved in such a dealer trade (or the customer test driving such Vehicle), and shall provide any such records to the Administrative Agent promptly upon the Administrative Agent’s request therefor.</w:t>
      </w:r>
    </w:p>
    <w:p>
      <w:pPr>
        <w:pStyle w:val="TextBody"/>
        <w:spacing w:lineRule="auto" w:line="240" w:before="0" w:after="240"/>
        <w:ind w:left="0" w:right="0" w:firstLine="720"/>
        <w:jc w:val="both"/>
        <w:rPr/>
      </w:pPr>
      <w:r>
        <w:rPr>
          <w:rFonts w:ascii="Times New Roman;sans-serif" w:hAnsi="Times New Roman;sans-serif"/>
          <w:b/>
          <w:color w:val="000000"/>
          <w:sz w:val="22"/>
        </w:rPr>
        <w:t>6.14</w:t>
      </w:r>
      <w:r>
        <w:rPr>
          <w:rFonts w:ascii="Times New Roman;sans-serif" w:hAnsi="Times New Roman;sans-serif"/>
          <w:b/>
          <w:color w:val="000000"/>
          <w:sz w:val="22"/>
        </w:rPr>
        <w:t>Additional Subsidiaries</w:t>
      </w:r>
      <w:r>
        <w:rPr>
          <w:rFonts w:ascii="Times New Roman;sans-serif" w:hAnsi="Times New Roman;sans-serif"/>
          <w:b w:val="false"/>
          <w:color w:val="000000"/>
          <w:sz w:val="22"/>
        </w:rPr>
        <w:t xml:space="preserve">. As soon as practicable (but in any event within ten (10) days in the case of any Restricted Subsidiary that owns or operates a dealership, and thirty (30) days in the case of any other Restricted Subsidiary (or, in either such case, such longer period as the Administrative Agent may agree in its sole discretion) after the acquisition, creation or designation of any Restricted Subsidiary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is a Domestic Subsidiary, including the creation of any such Person pursuant to a Division (or the date a Subsidiary otherwise qualifies as a Restricted Subsidiary that is a Domestic Subsidiary), cause to be delivered to the Administrative Agent each of the following:</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 Joinder Agreement duly executed by such Restricted Subsidiary with all schedules and information thereto appropriately completed with respect to (i) such Restricted Subsidiary (A) becoming a “Used Vehicle Borrower” and a “Subsidiary Guarantor”, if such Restricted Subsidiary owns or operates a dealership, (B) becoming a “New Vehicle Borrower” and a “Subsidiary Guarantor”, if such Restricted Subsidiary is a Specified Subsidiary, and (C) becoming a “Subsidiary Guarantor”, if such Restricted Subsidiary does not own or operate a dealership, (ii) such Restricted Subsidiary becoming a party to the New Vehicle Floorplan Offset Agreement if such Restricted Subsidiary is a Specified Subsidiary, and (iii) the Equity Interests of such Restricted Subsidiary becoming pledged pursuant to the Pledge Agreement or escrowed pursuant to the Escrow and Security Agreement, as the case may be;</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[Reserved];</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UCC financing statements naming such Subsidiary as “Debtor” and naming the Revolving Administrative Agent for the benefit of the Secured Parties as “Secured Party,” in form, substance and number sufficient in the reasonable opinion of the Administrative Agent and its counsel to be filed in all UCC filing offices in which filing is necessary or advisable to perfect in favor of the Revolving Administrative Agent for the benefit of the Secured Parties the Liens on the Collateral conferred under such Joinder Agreement and other Security Instruments to the extent such Lien may be perfected by UCC filings;</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unless the Administrative Agent expressly waives such requirement in accordance with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in the case of any single Acquisition or any related series of Acquisitions with an aggregate Cost of Acquisition in excess of the lesser of (i) $75,000,000 and (ii) an amount that results in an increase or decrease in the aggregate of the Revolving Borrowing Base or the Used Vehicle Floorplan Borrowing Base of more than ten percent (10%), an opinion or opinions of counsel to such Restricted Subsidiary dated as of the date of delivery of such Joinder Agreements (and other Loan Documents) provided for in this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and addressed to the Administrative Agent, in form and substance acceptable to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documents described in </w:t>
      </w:r>
      <w:r>
        <w:rPr>
          <w:rFonts w:ascii="Times New Roman;sans-serif" w:hAnsi="Times New Roman;sans-serif"/>
          <w:b w:val="false"/>
          <w:color w:val="000000"/>
          <w:sz w:val="22"/>
          <w:u w:val="single"/>
        </w:rPr>
        <w:t>Sections 4.01(a)(iii)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(xiii)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(xiv)</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(xxiv)</w:t>
      </w:r>
      <w:r>
        <w:rPr>
          <w:color w:val="000000"/>
        </w:rPr>
        <w:t xml:space="preserve"> </w:t>
      </w:r>
      <w:r>
        <w:rPr>
          <w:rFonts w:ascii="Times New Roman;sans-serif" w:hAnsi="Times New Roman;sans-serif"/>
          <w:b w:val="false"/>
          <w:color w:val="000000"/>
          <w:sz w:val="22"/>
        </w:rPr>
        <w:t>with respect to such Restricted Subsidiary;</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evidence satisfactory to the Administrative Agent that, within 3 Business Days of demand therefor by the Administrative Agent, all taxes, filing fees, recording fees related to the perfection of the Liens securing the Obligations have been paid and all reasonable costs and expenses of the Administrative Agent in connection therewith have been paid.</w:t>
      </w:r>
    </w:p>
    <w:p>
      <w:pPr>
        <w:pStyle w:val="TextBody"/>
        <w:spacing w:lineRule="auto" w:line="240" w:before="0" w:after="240"/>
        <w:ind w:left="0" w:right="0" w:firstLine="720"/>
        <w:jc w:val="both"/>
        <w:rPr/>
      </w:pPr>
      <w:r>
        <w:rPr>
          <w:rFonts w:ascii="Times New Roman;sans-serif" w:hAnsi="Times New Roman;sans-serif"/>
          <w:b/>
          <w:color w:val="000000"/>
          <w:sz w:val="22"/>
        </w:rPr>
        <w:t>6.15</w:t>
      </w:r>
      <w:r>
        <w:rPr>
          <w:rFonts w:ascii="Times New Roman;sans-serif" w:hAnsi="Times New Roman;sans-serif"/>
          <w:b/>
          <w:color w:val="000000"/>
          <w:sz w:val="22"/>
        </w:rPr>
        <w:t>Further Assurances</w:t>
      </w:r>
      <w:r>
        <w:rPr>
          <w:rFonts w:ascii="Times New Roman;sans-serif" w:hAnsi="Times New Roman;sans-serif"/>
          <w:b w:val="false"/>
          <w:color w:val="000000"/>
          <w:sz w:val="22"/>
        </w:rPr>
        <w:t>. Execute, acknowledge, deliver, and record or file such further instruments, including, without limitation,</w:t>
      </w:r>
      <w:r>
        <w:rPr>
          <w:color w:val="000000"/>
          <w:u w:val="single"/>
        </w:rPr>
        <w:t xml:space="preserve"> </w:t>
      </w:r>
      <w:r>
        <w:rPr>
          <w:rFonts w:ascii="Times New Roman;sans-serif" w:hAnsi="Times New Roman;sans-serif"/>
          <w:b w:val="false"/>
          <w:color w:val="000000"/>
          <w:sz w:val="22"/>
        </w:rPr>
        <w:t>further security agreements, financing statements, and continuation statements, and do such further acts as may be reasonably necessary, desirable, or proper to carry out more effectively the purposes of this Agreement, including, without limitation, (i) causing any additions, substitutions, replacements, or equipment related to the Vehicles financed hereunder to be covered by and subject to the Liens created in the Loan Documents to which any Vehicle Borrower is a party; and (ii) with respect to any Vehicles which are, or are required to be, subject to Liens under the Loan Documents, execute, acknowledge, endorse, deliver, procure, and record or file any document or instrument, including, without limitation, any financing statement or, if an Event of Default has occurred and is continuing, any Vehicle Title Documentation, deemed advisable by the Administrative Agent or the New Vehicle Floorplan Swing Line Lender to protect the Liens granted in this Agreement or the Loan Documents against the rights or interests of third Persons, and the Company will pay all reasonable costs connected with any of the foregoing.</w:t>
      </w:r>
    </w:p>
    <w:p>
      <w:pPr>
        <w:pStyle w:val="TextBody"/>
        <w:spacing w:lineRule="auto" w:line="240" w:before="0" w:after="240"/>
        <w:ind w:left="0" w:right="0" w:firstLine="720"/>
        <w:jc w:val="both"/>
        <w:rPr/>
      </w:pPr>
      <w:r>
        <w:rPr>
          <w:rFonts w:ascii="Times New Roman;sans-serif" w:hAnsi="Times New Roman;sans-serif"/>
          <w:b/>
          <w:color w:val="000000"/>
          <w:sz w:val="22"/>
        </w:rPr>
        <w:t>6.16</w:t>
      </w:r>
      <w:r>
        <w:rPr>
          <w:rFonts w:ascii="Times New Roman;sans-serif" w:hAnsi="Times New Roman;sans-serif"/>
          <w:b/>
          <w:color w:val="000000"/>
          <w:sz w:val="22"/>
        </w:rPr>
        <w:t>Landlord Waivers</w:t>
      </w:r>
      <w:r>
        <w:rPr>
          <w:rFonts w:ascii="Times New Roman;sans-serif" w:hAnsi="Times New Roman;sans-serif"/>
          <w:b w:val="false"/>
          <w:color w:val="000000"/>
          <w:sz w:val="22"/>
        </w:rPr>
        <w:t xml:space="preserve">. With respect to any real property leased by the Company or any Loan Party from a Person that is not a Loan Party, the Company and each Loan Party shall deliver to the Administrative Agent Landlord Waivers duly executed by the applicable landlord in form and substance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127</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reasonably satisfactory to the Administrative Agent and in sufficient quantity so that the Administrative Agent shall have satisfactory access to Collateral located in at least seventy percent (70%) of the aggregate owned and leased dealer locations of the Company and its Subsidiaries (it being acknowledged and agreed by the Administrative Agent and the Lenders that the Administrative Agent has satisfactory access to Collateral located at dealer locations owned by a Loan Party which has entered into the Security Agreement (including pursuant to a Joinder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addition of a Subsidiary as contemplated by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causes the Company and each Loan Party to cease to satisfy the seventy percent (70%) requirement described above, the Company and each Loan Party shall, within ninety (90) days from the addition of such Subsidiary, deliver additional Landlord Waivers necessary to satisfy the seventy percent (70%) requirement.</w:t>
      </w:r>
    </w:p>
    <w:p>
      <w:pPr>
        <w:pStyle w:val="TextBody"/>
        <w:spacing w:lineRule="auto" w:line="240" w:before="0" w:after="240"/>
        <w:ind w:left="0" w:right="0" w:firstLine="720"/>
        <w:jc w:val="both"/>
        <w:rPr/>
      </w:pPr>
      <w:r>
        <w:rPr>
          <w:rFonts w:ascii="Times New Roman;sans-serif" w:hAnsi="Times New Roman;sans-serif"/>
          <w:b/>
          <w:color w:val="000000"/>
          <w:sz w:val="22"/>
        </w:rPr>
        <w:t>6.17</w:t>
      </w:r>
      <w:r>
        <w:rPr>
          <w:rFonts w:ascii="Times New Roman;sans-serif" w:hAnsi="Times New Roman;sans-serif"/>
          <w:b/>
          <w:color w:val="000000"/>
          <w:sz w:val="22"/>
        </w:rPr>
        <w:t>Demonstrator, Rental Vehicle or Other Mileaged New Vehicle</w:t>
      </w:r>
      <w:r>
        <w:rPr>
          <w:rFonts w:ascii="Times New Roman;sans-serif" w:hAnsi="Times New Roman;sans-serif"/>
          <w:b w:val="false"/>
          <w:color w:val="000000"/>
          <w:sz w:val="22"/>
        </w:rPr>
        <w:t>. With respect to any Vehicle used by the Company or any Subsidiary as a Demonstrator, Rental Vehicle or other mileaged New Vehicle, the Company or such Subsidiary shall designate such Vehicle in its books and records as a Demonstrator, Rental Vehicle or other mileaged New Vehicle, as the case may be, and indicate in such books and records when such Vehicle was Deemed To Be A Mileage Vehicle.</w:t>
      </w:r>
    </w:p>
    <w:p>
      <w:pPr>
        <w:pStyle w:val="TextBody"/>
        <w:spacing w:lineRule="auto" w:line="240" w:before="0" w:after="240"/>
        <w:ind w:left="0" w:right="0" w:firstLine="720"/>
        <w:jc w:val="both"/>
        <w:rPr/>
      </w:pPr>
      <w:r>
        <w:rPr>
          <w:rFonts w:ascii="Times New Roman;sans-serif" w:hAnsi="Times New Roman;sans-serif"/>
          <w:b/>
          <w:color w:val="000000"/>
          <w:sz w:val="22"/>
        </w:rPr>
        <w:t>6.18</w:t>
      </w:r>
      <w:r>
        <w:rPr>
          <w:rFonts w:ascii="Times New Roman;sans-serif" w:hAnsi="Times New Roman;sans-serif"/>
          <w:b/>
          <w:color w:val="000000"/>
          <w:sz w:val="22"/>
        </w:rPr>
        <w:t>Anti-Corruption Laws</w:t>
      </w:r>
      <w:r>
        <w:rPr>
          <w:rFonts w:ascii="Times New Roman;sans-serif" w:hAnsi="Times New Roman;sans-serif"/>
          <w:b w:val="false"/>
          <w:color w:val="000000"/>
          <w:sz w:val="22"/>
        </w:rPr>
        <w:t>. Conduct its businesses in material compliance with the United States Foreign Corrupt Practices Act of 1977 and other similar anti-corruption legislation in other jurisdictions that are applicable to any Borrower or its Subsidiaries (including, if applicable, the UK Bribery Act 2010), and maintain policies and procedures designed to promote and achieve compliance with such laws.</w:t>
      </w:r>
    </w:p>
    <w:p>
      <w:pPr>
        <w:pStyle w:val="TextBody"/>
        <w:spacing w:lineRule="auto" w:line="240" w:before="0" w:after="240"/>
        <w:jc w:val="center"/>
        <w:rPr/>
      </w:pPr>
      <w:r>
        <w:rPr>
          <w:rFonts w:ascii="Times New Roman;sans-serif" w:hAnsi="Times New Roman;sans-serif"/>
          <w:b/>
          <w:color w:val="000000"/>
          <w:sz w:val="22"/>
        </w:rPr>
        <w:t>ARTICLE VII.</w:t>
      </w:r>
      <w:r>
        <w:rPr>
          <w:color w:val="000000"/>
        </w:rPr>
        <w:t xml:space="preserve"> </w:t>
      </w:r>
      <w:r>
        <w:rPr>
          <w:rFonts w:ascii="Times New Roman;sans-serif" w:hAnsi="Times New Roman;sans-serif"/>
          <w:b/>
          <w:color w:val="000000"/>
          <w:sz w:val="22"/>
        </w:rPr>
        <w:t>NEGATIVE COVENANTS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So long as any Lender shall have any Commitment hereunder, any Loan or other Obligation hereunder (other than Obligations consisting of continuing indemnities and other contingent Obligations that, in each case, expressly survive termination of this Agreement and for which no claim has been made against any Loan Party) shall remain unpaid or unsatisfied, or any Letter of Credit shall remain outstanding, the Company shall not, nor shall it permit any Subsidiary (other than the Specified Insurance Subsidiaries and any Designated Escrow Subsidiary) to, directly or indirectly:</w:t>
      </w:r>
    </w:p>
    <w:p>
      <w:pPr>
        <w:pStyle w:val="TextBody"/>
        <w:spacing w:lineRule="auto" w:line="240" w:before="0" w:after="240"/>
        <w:ind w:left="0" w:right="0" w:firstLine="720"/>
        <w:jc w:val="both"/>
        <w:rPr/>
      </w:pPr>
      <w:r>
        <w:rPr>
          <w:rFonts w:ascii="Times New Roman;sans-serif" w:hAnsi="Times New Roman;sans-serif"/>
          <w:b/>
          <w:color w:val="000000"/>
          <w:sz w:val="22"/>
        </w:rPr>
        <w:t>7.01</w:t>
      </w:r>
      <w:r>
        <w:rPr>
          <w:rFonts w:ascii="Times New Roman;sans-serif" w:hAnsi="Times New Roman;sans-serif"/>
          <w:b/>
          <w:color w:val="000000"/>
          <w:sz w:val="22"/>
        </w:rPr>
        <w:t>Indebtedness</w:t>
      </w:r>
      <w:r>
        <w:rPr>
          <w:rFonts w:ascii="Times New Roman;sans-serif" w:hAnsi="Times New Roman;sans-serif"/>
          <w:b w:val="false"/>
          <w:color w:val="000000"/>
          <w:sz w:val="22"/>
        </w:rPr>
        <w:t>. Incur, create, assume or suffer to exist any Indebtedness, except: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Obligations under this Agreement and the other Loan Documents;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Indebtedness of the Company or any Subsidiary existing at the Closing Date which is reflected in </w:t>
      </w:r>
      <w:r>
        <w:rPr>
          <w:rFonts w:ascii="Times New Roman;sans-serif" w:hAnsi="Times New Roman;sans-serif"/>
          <w:b w:val="false"/>
          <w:color w:val="000000"/>
          <w:sz w:val="22"/>
          <w:u w:val="single"/>
        </w:rPr>
        <w:t>Schedule 7.01(b)</w:t>
      </w:r>
      <w:r>
        <w:rPr>
          <w:color w:val="000000"/>
        </w:rPr>
        <w:t xml:space="preserve"> </w:t>
      </w:r>
      <w:r>
        <w:rPr>
          <w:rFonts w:ascii="Times New Roman;sans-serif" w:hAnsi="Times New Roman;sans-serif"/>
          <w:b w:val="false"/>
          <w:color w:val="000000"/>
          <w:sz w:val="22"/>
        </w:rPr>
        <w:t>hereto;</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Indebtedness created under leases which, in accordance with GAAP, have been recorded and/or should have been recorded on the books of the applicable Borrower as capital leases;</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unsecured Subordinated Indebtedness;</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accounts payable (for the deferred purchase price of property or services) which are from time to time incurred in the ordinary course of business and which (i) are not in excess of (A) ninety (90) days past the due date or (B) if such account payable has no due date, one hundred twenty (120) days past the invoice or billing date or (ii) if outstanding for more than ninety (90) days past such due date (or one hundred twenty (120) days past such invoice or billing date, as applicable), as to which a good faith dispute exists and adequate reserves in conformity with GAAP have been established on the books of such Person;</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Permitted Real Estate Debt and Guarantees by the Company or any Subsidiary that is a Loan Party;</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Indebtedness (other than floorplan Indebtedness) of any Subsidiary of the Company in existence (but not incurred or created in connection with an acquisition) on the date on which such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128</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Subsidiary is acquired by any Loan Party pursuant to a Permitted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(i) neither the Company nor any of its other Subsidiaries has any obligation with respect to such Indebtedness, (ii) none of the properties of the Company or any of its other Subsidiaries is bound with respect to such Indebtedness, and (iii) the Company is in full compliance with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hereof before and after such acquisition;</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Indebtedness (other than floorplan Indebtedness) secured by Liens upon any property hereafter acquired by the Company or any of its Subsidiaries which Indebtedness is in existence on the date of a Permitted Acquisition (but not incurred or created in connection with such acquisition) at a time when the Company is in full compliance with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hereof before and after such Permitted Acquisition, which Indebtedness is assumed by such acquiring Person simultaneously with such acquisition, which Liens extend only to such property so acquired (and not to any after-acquired property) and with respect to which Indebtedness neither the Company nor any of its Subsidiaries (other than the acquiring Person and its Subsidiaries) has any obligation;</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contingent obligations (including Guarantees) of any Indebtedness permitted hereunder;</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Indebtedness in respect of obligations (contingent or otherwise) of the Company or any Subsidiary existing or arising under any Swap Contract,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obligations are (or were) entered into by such Person in the ordinary course of business for the purpose of directly mitigating risks or managing costs associated with liabilities, commitments, investments, assets, or property held or reasonably anticipated by such Person, or changes in the value of securities issued by such Person, and not for purposes of speculation; and (ii) such Swap Contract does not contain any provision exonerating the non-defaulting party from its obligation to make payments on outstanding transactions to the defaulting party;</w: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Indebtedness that renews, refinances, refunds or extends any then-existing Indebtedness (other than Permitted FMCC Floorplan Indebtedness or Permitted Service Loaner Indebtedness) of any Loan Party, so long as (A) such renewal, refinancing, refunding or extension does not in any material respect increase the principal amount thereof or expand or add any property subject to any Lien (unless otherwise permitted under this Agreement), (B) if the Indebtedness being refinanced is Subordinated Indebtedness, then such refinancing Indebtedness must also be Subordinated Indebtedness, (C) such renewal, refinancing, refunding, or extension has a final maturity date equal to or greater than the final maturity of, and has a weighted average life to maturity equal to or greater than the weighted average life to maturity of, the Indebtedness being renewed, refinanced, refunded or extended, and (D) without limitation of any other provision herein (including </w:t>
      </w:r>
      <w:r>
        <w:rPr>
          <w:rFonts w:ascii="Times New Roman;sans-serif" w:hAnsi="Times New Roman;sans-serif"/>
          <w:b w:val="false"/>
          <w:color w:val="000000"/>
          <w:sz w:val="22"/>
          <w:u w:val="single"/>
        </w:rPr>
        <w:t>Section 7.16</w:t>
      </w:r>
      <w:r>
        <w:rPr>
          <w:rFonts w:ascii="Times New Roman;sans-serif" w:hAnsi="Times New Roman;sans-serif"/>
          <w:b w:val="false"/>
          <w:color w:val="000000"/>
          <w:sz w:val="22"/>
        </w:rPr>
        <w:t>), the terms and conditions (including, without limitation, terms and conditions relating to repurchase, redemption, prepayment and defeasance requirements) of such renewal, refinancing, refunding or extension are not materially more restrictive or burdensome than the Indebtedness being renewed, refinanced, refunded or extended);</w:t>
      </w:r>
    </w:p>
    <w:p>
      <w:pPr>
        <w:pStyle w:val="TextBody"/>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Indebtedness of any Loan Party secured by Liens upon property (other than Inventory, property acquired using purchase-money Indebtedness with respect to that property provided by Lenders pursuant to this Agreement, or any property included in the Revolving Borrowing Base) which Liens extend only to such property, with respect to which Indebtedness none of the Subsidiaries other than the owner of such encumbered asset has any obligation;</w:t>
      </w:r>
    </w:p>
    <w:p>
      <w:pPr>
        <w:pStyle w:val="TextBody"/>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unsecured Indebtedness of the Company and Guarantees of such Indebtedness by Subsidiary Guarantors;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Company and its Subsidiaries shall be in Pro Forma Compliance after giving effect to the incurrence of any such Indebtedness, and (B) not more than $75,000,000 of such aggregate amount may have a maturity prior to the then applicable Maturity Date at the time of such incurrence;</w:t>
      </w:r>
    </w:p>
    <w:p>
      <w:pPr>
        <w:pStyle w:val="TextBody"/>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Indebtedness consisting of Guarantees by the Company or any of its Subsidiaries in favor of any Person of retail installment contracts or other retail payment obligations in respect of Vehicles sold to a customer;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sum of (A) the aggregate face amount of such guaranteed retail installment contracts and other retail payment obligations described in this </w:t>
      </w:r>
      <w:r>
        <w:rPr>
          <w:rFonts w:ascii="Times New Roman;sans-serif" w:hAnsi="Times New Roman;sans-serif"/>
          <w:b w:val="false"/>
          <w:color w:val="000000"/>
          <w:sz w:val="22"/>
          <w:u w:val="single"/>
        </w:rPr>
        <w:t>Section 7.01(n)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aggregate amount of Investments (on a gross basis excluding any reserves) permitted under </w:t>
      </w:r>
      <w:r>
        <w:rPr>
          <w:rFonts w:ascii="Times New Roman;sans-serif" w:hAnsi="Times New Roman;sans-serif"/>
          <w:b w:val="false"/>
          <w:color w:val="000000"/>
          <w:sz w:val="22"/>
          <w:u w:val="single"/>
        </w:rPr>
        <w:t>Section 7.05(j)</w:t>
      </w:r>
      <w:r>
        <w:rPr>
          <w:color w:val="000000"/>
        </w:rPr>
        <w:t xml:space="preserve"> </w:t>
      </w:r>
      <w:r>
        <w:rPr>
          <w:rFonts w:ascii="Times New Roman;sans-serif" w:hAnsi="Times New Roman;sans-serif"/>
          <w:b w:val="false"/>
          <w:color w:val="000000"/>
          <w:sz w:val="22"/>
        </w:rPr>
        <w:t>shall not exceed $35,000,000 at any time;</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129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 xml:space="preserve">Obligations in respect of surety or other bonds or similar instruments entered into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such Indebtedness shall not exceed $15,000,000 at any time; </w:t>
      </w:r>
    </w:p>
    <w:p>
      <w:pPr>
        <w:pStyle w:val="TextBody"/>
        <w:spacing w:lineRule="auto" w:line="240" w:before="0" w:after="240"/>
        <w:ind w:left="0" w:right="0" w:firstLine="72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Unsecured Indebtedness owed by any Subsidiary Guarantor to the Company or to another Subsidiary Guarantor; </w:t>
      </w:r>
    </w:p>
    <w:p>
      <w:pPr>
        <w:pStyle w:val="TextBody"/>
        <w:spacing w:lineRule="auto" w:line="240" w:before="0" w:after="240"/>
        <w:ind w:left="0" w:right="0" w:firstLine="72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 xml:space="preserve">Indebtedness of any Borrower created under a Qualified Service Loaner Program; </w:t>
      </w:r>
    </w:p>
    <w:p>
      <w:pPr>
        <w:pStyle w:val="TextBody"/>
        <w:spacing w:lineRule="auto" w:line="240" w:before="0" w:after="240"/>
        <w:ind w:left="0" w:right="0" w:firstLine="72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Permitted FMCC Floorplan Indebtedness; and</w:t>
      </w:r>
    </w:p>
    <w:p>
      <w:pPr>
        <w:pStyle w:val="TextBody"/>
        <w:spacing w:lineRule="auto" w:line="240" w:before="0" w:after="240"/>
        <w:ind w:left="0" w:right="0" w:firstLine="72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rPr>
        <w:t xml:space="preserve">Indebtedness of the Company under a bridge loan facility with a maturity that is 364 days or less from the date of the incurrence of such Indebtedness. </w:t>
      </w:r>
    </w:p>
    <w:p>
      <w:pPr>
        <w:pStyle w:val="TextBody"/>
        <w:spacing w:lineRule="auto" w:line="240" w:before="0" w:after="240"/>
        <w:ind w:left="0" w:right="0" w:firstLine="720"/>
        <w:jc w:val="both"/>
        <w:rPr/>
      </w:pPr>
      <w:r>
        <w:rPr>
          <w:rFonts w:ascii="Times New Roman;sans-serif" w:hAnsi="Times New Roman;sans-serif"/>
          <w:b/>
          <w:color w:val="000000"/>
          <w:sz w:val="22"/>
        </w:rPr>
        <w:t>7.02</w:t>
      </w:r>
      <w:r>
        <w:rPr>
          <w:rFonts w:ascii="Times New Roman;sans-serif" w:hAnsi="Times New Roman;sans-serif"/>
          <w:b/>
          <w:color w:val="000000"/>
          <w:sz w:val="22"/>
        </w:rPr>
        <w:t>Liens</w:t>
      </w:r>
      <w:r>
        <w:rPr>
          <w:rFonts w:ascii="Times New Roman;sans-serif" w:hAnsi="Times New Roman;sans-serif"/>
          <w:b w:val="false"/>
          <w:color w:val="000000"/>
          <w:sz w:val="22"/>
        </w:rPr>
        <w:t>. Incur, create, assume or permit to exist any Lien on any of its property or assets, whether owned at the date hereof or hereafter acquired, except: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Liens securing payment of the Obligations;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Liens of the lessor on the property leased pursuant to a lease permitted by </w:t>
      </w:r>
      <w:r>
        <w:rPr>
          <w:rFonts w:ascii="Times New Roman;sans-serif" w:hAnsi="Times New Roman;sans-serif"/>
          <w:b w:val="false"/>
          <w:color w:val="000000"/>
          <w:sz w:val="22"/>
          <w:u w:val="single"/>
        </w:rPr>
        <w:t>Section 7.01(c)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Liens on property (other than Inventory, property acquired using purchase-money Indebtedness with respect to that property provided by Lenders pursuant to this Agreement, or any property included in the Revolving Borrowing Base), which Liens secure Indebtedness permitted by </w:t>
      </w:r>
      <w:r>
        <w:rPr>
          <w:rFonts w:ascii="Times New Roman;sans-serif" w:hAnsi="Times New Roman;sans-serif"/>
          <w:b w:val="false"/>
          <w:color w:val="000000"/>
          <w:sz w:val="22"/>
          <w:u w:val="single"/>
        </w:rPr>
        <w:t>Section 7.01(l)</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Liens on real property, fixtures, related real property rights and related contracts, and proceeds of the foregoing (including, without limitation, insurance proceeds in respect of the foregoing) owned by such Loan Party (in each case, other than property included in the Revolving Borrowing Base), securing Permitted Real Estate Debt;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extensions, renewals and replacements of Liens referred to in </w:t>
      </w:r>
      <w:r>
        <w:rPr>
          <w:rFonts w:ascii="Times New Roman;sans-serif" w:hAnsi="Times New Roman;sans-serif"/>
          <w:b w:val="false"/>
          <w:color w:val="000000"/>
          <w:sz w:val="22"/>
          <w:u w:val="single"/>
        </w:rPr>
        <w:t>Section 7.02(a)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extension, renewal or replacement Lien shall be limited to the property or assets covered by the Lien being extended, renewed or replaced and that the Indebtedness secured by any such extension, renewal or replacement lien shall be in an amount not greater than (i) the amount of the Indebtedness secured by the original Lien extended, renewed or replaced,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 any closing fees, prepayment premiums and reasonable closing costs related to such extension, renewal or replacement;</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Liens (including, without limitation, certain rights of set-off and title retention agreements) in favor of a Manufacturer securing amounts owing in connection with Inventory purchased from such Manufacturer, so long as such Liens do not secure Indebtedness, other than (i) Indebtedness of the type described in clause (e) of the definition of “Indebtedness” (and which Indebtedness does not satisfy the requirements of clause (a), (b), (c), (d), (f), (g) or (h) of such definition) and (ii) Guarantees of Indebtedness described in clause (i) above;</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Liens on property (other than Inventory, property acquired using purchase-money Indebtedness with respect to that property provided by Lenders pursuant to this Agreement, or any property included in the Revolving Borrowing Base) related to other Indebtedness permitted under </w:t>
      </w:r>
      <w:r>
        <w:rPr>
          <w:rFonts w:ascii="Times New Roman;sans-serif" w:hAnsi="Times New Roman;sans-serif"/>
          <w:b w:val="false"/>
          <w:color w:val="000000"/>
          <w:sz w:val="22"/>
          <w:u w:val="single"/>
        </w:rPr>
        <w:t>Section 7.01(g)</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Liens on property (including real property) other than the Collateral or property included in the Revolving Borrowing Base,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which Liens secure Swap Contracts permitted under </w:t>
      </w:r>
      <w:r>
        <w:rPr>
          <w:rFonts w:ascii="Times New Roman;sans-serif" w:hAnsi="Times New Roman;sans-serif"/>
          <w:b w:val="false"/>
          <w:color w:val="000000"/>
          <w:sz w:val="22"/>
          <w:u w:val="single"/>
        </w:rPr>
        <w:t>Section 7.01(j)</w:t>
      </w:r>
      <w:r>
        <w:rPr>
          <w:rFonts w:ascii="Times New Roman;sans-serif" w:hAnsi="Times New Roman;sans-serif"/>
          <w:b w:val="false"/>
          <w:color w:val="000000"/>
          <w:sz w:val="22"/>
        </w:rPr>
        <w:t xml:space="preserv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130</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Liens securing Permitted Service Loaner Indebtedness (which Liens extend only to Rental Vehicles financed by such Permitted Service Loaner Indebtedness and proceeds of such Vehicles); </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Liens securing Permitted FMCC Floorplan Indebtedness permitted by </w:t>
      </w:r>
      <w:r>
        <w:rPr>
          <w:rFonts w:ascii="Times New Roman;sans-serif" w:hAnsi="Times New Roman;sans-serif"/>
          <w:b w:val="false"/>
          <w:color w:val="000000"/>
          <w:sz w:val="22"/>
          <w:u w:val="single"/>
        </w:rPr>
        <w:t>Section 7.01(r)</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Liens for Taxes not past due for more than thirty (30) days or Taxes being contested in good faith and by appropriate proceedings diligently conducted, and as to which reserves or other appropriate provisions as may be required by GAAP are being maintained;</w:t>
      </w:r>
    </w:p>
    <w:p>
      <w:pPr>
        <w:pStyle w:val="TextBody"/>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carriers’, warehousemen’s, mechanics’, materialmen’s, landlord’s and other like statutory or contractual Liens arising in the ordinary course of business securing obligations which are not overdue for a period of more than thirty (30) days or which are being contested in good faith and by appropriate proceedings, diligently conducted, and as to which such reserves or other appropriate provisions as may be required by GAAP are being maintained;</w:t>
      </w:r>
    </w:p>
    <w:p>
      <w:pPr>
        <w:pStyle w:val="TextBody"/>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pledges or deposits in connection with workers’ compensation, unemployment insurance and other social security legislation;</w:t>
      </w:r>
    </w:p>
    <w:p>
      <w:pPr>
        <w:pStyle w:val="TextBody"/>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deposits to secure the performance of bids, trade contracts, statutory obligations, and other obligations of a like nature incurred in the ordinary course of business;</w:t>
      </w:r>
    </w:p>
    <w:p>
      <w:pPr>
        <w:pStyle w:val="TextBody"/>
        <w:spacing w:lineRule="auto" w:line="240" w:before="0" w:after="240"/>
        <w:ind w:left="0" w:right="0" w:firstLine="72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 xml:space="preserve">zoning, easements and other restrictions on the use of real property that do not, in the aggregate, materially impair the use of such property; </w:t>
      </w:r>
    </w:p>
    <w:p>
      <w:pPr>
        <w:pStyle w:val="TextBody"/>
        <w:spacing w:lineRule="auto" w:line="240" w:before="0" w:after="240"/>
        <w:ind w:left="0" w:right="0" w:firstLine="72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Liens in existence on the date hereof and listed on </w:t>
      </w:r>
      <w:r>
        <w:rPr>
          <w:rFonts w:ascii="Times New Roman;sans-serif" w:hAnsi="Times New Roman;sans-serif"/>
          <w:b w:val="false"/>
          <w:color w:val="000000"/>
          <w:sz w:val="22"/>
          <w:u w:val="single"/>
        </w:rPr>
        <w:t>Schedule 7.02</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 xml:space="preserve">purchase options and rights of first refusal in favor of a Manufacturer arising under a Framework Agreement or a Franchise Agreement or the documents executed and delivered in connection therewith; </w:t>
      </w:r>
    </w:p>
    <w:p>
      <w:pPr>
        <w:pStyle w:val="TextBody"/>
        <w:spacing w:lineRule="auto" w:line="240" w:before="0" w:after="240"/>
        <w:ind w:left="0" w:right="0" w:firstLine="72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 xml:space="preserve">Liens on real property, fixtures, related real property rights and related contracts, and proceeds of the foregoing (including, without limitation, insurance proceeds in respect of the foregoing) owned by such Loan Party (in each case, other than property included in the Revolving Borrowing Base), securing Indebtedness permitted by </w:t>
      </w:r>
      <w:r>
        <w:rPr>
          <w:rFonts w:ascii="Times New Roman;sans-serif" w:hAnsi="Times New Roman;sans-serif"/>
          <w:b w:val="false"/>
          <w:color w:val="000000"/>
          <w:sz w:val="22"/>
          <w:u w:val="single"/>
        </w:rPr>
        <w:t>Section 7.01(s)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and</w:t>
      </w:r>
    </w:p>
    <w:p>
      <w:pPr>
        <w:pStyle w:val="TextBody"/>
        <w:spacing w:lineRule="auto" w:line="240" w:before="0" w:after="240"/>
        <w:ind w:left="0" w:right="0" w:firstLine="72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rPr>
        <w:t>Liens not otherwise permitted hereby securing permitted Indebtedness of the Company and its Subsidiaries so long as, after giving effect to such Indebtedness, the aggregate principal amount of Indebtedness secured by such Liens does not exceed $35,000,000 at any time.</w:t>
      </w:r>
    </w:p>
    <w:p>
      <w:pPr>
        <w:pStyle w:val="TextBody"/>
        <w:spacing w:lineRule="auto" w:line="240" w:before="0" w:after="240"/>
        <w:ind w:left="0" w:right="0" w:firstLine="720"/>
        <w:jc w:val="both"/>
        <w:rPr/>
      </w:pPr>
      <w:r>
        <w:rPr>
          <w:rFonts w:ascii="Times New Roman;sans-serif" w:hAnsi="Times New Roman;sans-serif"/>
          <w:b/>
          <w:color w:val="000000"/>
          <w:sz w:val="22"/>
        </w:rPr>
        <w:t>7.03</w:t>
      </w:r>
      <w:r>
        <w:rPr>
          <w:rFonts w:ascii="Times New Roman;sans-serif" w:hAnsi="Times New Roman;sans-serif"/>
          <w:b/>
          <w:color w:val="000000"/>
          <w:sz w:val="22"/>
        </w:rPr>
        <w:t>Consolidations and Mergers</w:t>
      </w:r>
      <w:r>
        <w:rPr>
          <w:rFonts w:ascii="Times New Roman;sans-serif" w:hAnsi="Times New Roman;sans-serif"/>
          <w:b w:val="false"/>
          <w:color w:val="000000"/>
          <w:sz w:val="22"/>
        </w:rPr>
        <w:t>. Merge, consolidate with or into, or convey, transfer, lease or otherwise dispose of (whether in one transaction or in a series of transactions) all or substantially all of its assets (whether now owned or hereafter acquired) to or in favor of any Person (including, in each case, pursuant to a Division), except: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any of its Subsidiaries may merge with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be the continuing or surviving Person, or with any one or more such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if any such transaction shall be between Subsidiaries, one of which is a wholly-owned Subsidiary and one of which is not a wholly-owned Subsidiary, the wholly-owned Subsidiary shall be the continuing or surviving Person, and (ii) in any such transaction between any Subsidiary that is a Subsidiary Guarantor and an entity that is not the Company or a Subsidiary Guarantor, the surviving entity shall be a Subsidiary Guarantor;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Subsidiary of the Company may sell or transfer all or substantially all of its assets (upon voluntary liquidation or otherwise) to the Company or a wholly-owned Subsidiary; provided, that (i) any such sale or transfer by a Subsidiary Guarantor shall be to the Company or a Subsidiary Guarantor and (ii) if the buyer or transferee of such assets would be a Restricted Subsidiary (after giving effect to such sale or transfer), such buyer or transferee shall be a Subsidiary Guarantor;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Subsidiary of the Company or the Company may merge or consolidate with another Person (that is not the Company or any of its Subsidiaries) if (x) the Company or such Subsidiary involved in the merger or the consolidation is the surviving Person and (y) immediately prior to and after giving effect to such merger or consolidation, there exists no Event of Default; and</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as permitted by </w:t>
      </w:r>
      <w:r>
        <w:rPr>
          <w:rFonts w:ascii="Times New Roman;sans-serif" w:hAnsi="Times New Roman;sans-serif"/>
          <w:b w:val="false"/>
          <w:color w:val="000000"/>
          <w:sz w:val="22"/>
          <w:u w:val="single"/>
        </w:rPr>
        <w:t>Section 7.04(b)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7.04</w:t>
      </w:r>
      <w:r>
        <w:rPr>
          <w:rFonts w:ascii="Times New Roman;sans-serif" w:hAnsi="Times New Roman;sans-serif"/>
          <w:b/>
          <w:color w:val="000000"/>
          <w:sz w:val="22"/>
        </w:rPr>
        <w:t>Disposition of Assets</w:t>
      </w:r>
      <w:r>
        <w:rPr>
          <w:rFonts w:ascii="Times New Roman;sans-serif" w:hAnsi="Times New Roman;sans-serif"/>
          <w:b w:val="false"/>
          <w:color w:val="000000"/>
          <w:sz w:val="22"/>
        </w:rPr>
        <w:t>. Permit any Disposition (whether in one or a series of transactions) of any property or assets (including Accounts, notes receivable, and/or chattel paper, with or without recourse) or enter into any agreement so to do, except: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Dispositions of Vehicles and other inventory in the ordinary course of business;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Dispositions of assets, properties or businesses (including the capital stock of Subsidiaries and Franchises) by the Company or any of its Subsidiaries, including Disposition of assets, including Franchises, the Disposition of which the Company determines to be in its best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no Event of Default will result from such Disposition, (B) the Company shall be in compliance with </w:t>
      </w:r>
      <w:r>
        <w:rPr>
          <w:rFonts w:ascii="Times New Roman;sans-serif" w:hAnsi="Times New Roman;sans-serif"/>
          <w:b w:val="false"/>
          <w:color w:val="000000"/>
          <w:sz w:val="22"/>
          <w:u w:val="single"/>
        </w:rPr>
        <w:t>Section 7.11</w:t>
      </w:r>
      <w:r>
        <w:rPr>
          <w:rFonts w:ascii="Times New Roman;sans-serif" w:hAnsi="Times New Roman;sans-serif"/>
          <w:b w:val="false"/>
          <w:color w:val="000000"/>
          <w:sz w:val="22"/>
        </w:rPr>
        <w:t>, (C) the Total Revolving Outstandings shall not exceed the lesser of the pro forma Revolving Borrowing Base or the Aggregate Revolving Commitments, (D) the Total Used Vehicle Floorplan Outstandings shall not exceed the lesser of the pro forma Used Vehicle Floorplan Borrowing Base or the Aggregate Used Vehicle Floorplan Commitments and (E) the Total New Vehicle Floorplan Outstandings shall not exceed the Aggregate New Vehicle Floorplan Commitments, in each case, after giving effect to such Disposition.</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Dispositions of equipment and other property which is obsolete, worn out or no longer used in or useful to such Person’s business, all in the ordinary course of business;</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Dispositions occurring as the result of a casualty event, condemnation or expropriation;</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Dispositions in any year of other property, assets (including capital stock of its Subsidiaries and Affiliates) or businesses of the Company not otherwise permitted by clauses (a) through (d) of this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Net Cash Proceeds (excluding income taxes reasonably estimated to be actually payable within two years of the date of such Disposition as a result of any gain recognized in connection therewith) realized from such Disposition in any applicable year in excess of ten percent (10%) of the tangible assets of the Company as of the beginning of such year are either reinvested within one (1) year in useful assets or used to repay the Obligations, or, with the consent of the Administrative Agent, other senior Indebtedness (without any permanent reduction of any applicable Commitments);</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Dispositions pursuant to Qualified Sale/Leaseback Transactions so long as no Event of Default exists under </w:t>
      </w:r>
      <w:r>
        <w:rPr>
          <w:rFonts w:ascii="Times New Roman;sans-serif" w:hAnsi="Times New Roman;sans-serif"/>
          <w:b w:val="false"/>
          <w:color w:val="000000"/>
          <w:sz w:val="22"/>
          <w:u w:val="single"/>
        </w:rPr>
        <w:t>Section 8.01(b)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Dispositions of chattel paper, Accounts arising from the wholesale of parts and accessories, and retail sales contracts, in each case in arms-length transactions for fair value in the ordinary course of business;</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As permitted in </w:t>
      </w:r>
      <w:r>
        <w:rPr>
          <w:rFonts w:ascii="Times New Roman;sans-serif" w:hAnsi="Times New Roman;sans-serif"/>
          <w:b w:val="false"/>
          <w:color w:val="000000"/>
          <w:sz w:val="22"/>
          <w:u w:val="single"/>
        </w:rPr>
        <w:t>Section 7.03</w:t>
      </w:r>
      <w:r>
        <w:rPr>
          <w:rFonts w:ascii="Times New Roman;sans-serif" w:hAnsi="Times New Roman;sans-serif"/>
          <w:b w:val="false"/>
          <w:color w:val="000000"/>
          <w:sz w:val="22"/>
        </w:rPr>
        <w:t>; and</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Dispositions of assets (i) by the Company to any Subsidiary Guarantor, (ii) by any Subsidiary to the Company or any Subsidiary Guarantor, or (iii) by any Subsidiary that is not a Subsidiary Guarantor to another Subsidiary that is not a Subsidiary Guarantor; provided, however, that if the recipient of such assets would be a Restricted Subsidiary (after giving effect to such Disposition), such recipient shall be a Subsidiary Guarantor;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in the case of a Disposition pursuant to clause (b), (d), (e) or (f), (i) if the aggregate expected Disposition Proceeds of such Disposition are greater than $50,000,000, the Company shall have given notice to the Administrative Agent stating the proposed date of such Disposition and the expected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amount of Disposition Proceeds, and (ii) if the aggregate expected Disposition Proceeds of such Disposition are greater than $75,000,000, or after giving pro forma effect to such Disposition either the Revolving Borrowing Base or the Used Vehicle Floorplan Borrowing Base is decreased by more than ten percent (10%), (y) the Company shall have furnished to the Administrative Agent pro forma historical financial statements as of the end of the most recently completed fiscal year of the Company and most recent interim fiscal quarter, if applicable, giving effect to such Disposition and all other Dispositions consummated since such fiscal year end, and (z) the Company and its Subsidiaries shall be in Pro Forma Compliance after giving effect to such Disposition, as evidenced by a Pro Forma Compliance Certificate, Pro Forma Revolving Borrowing Base Certificate and a Pro Forma Used Vehicle Floorplan Borrowing Base Certificate delivered simultaneously with such pro forma historical financial statements. The Revolving Borrowing Base or Used Vehicle Floorplan Borrowing Base (as applicable) shall not change as a result of such Disposition until such Disposition actually occurs, and the Company and its Subsidiaries shall promptly notify the Administrative Agent when such Disposition occurs or if the date of such Disposition or amount of such Disposition Proceeds has changed or is expected to change.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contained in this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neither the Company nor any Subsidiary may make any Disposition (other than, to the extent constituting a Disposition, any Investment in any Designated Escrow Subsidiary permitted under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 to any Designated Escrow Subsidiary during the term of this Agreement.</w:t>
      </w:r>
    </w:p>
    <w:p>
      <w:pPr>
        <w:pStyle w:val="TextBody"/>
        <w:spacing w:lineRule="auto" w:line="240" w:before="0" w:after="240"/>
        <w:ind w:left="0" w:right="0" w:firstLine="720"/>
        <w:jc w:val="both"/>
        <w:rPr/>
      </w:pPr>
      <w:r>
        <w:rPr>
          <w:rFonts w:ascii="Times New Roman;sans-serif" w:hAnsi="Times New Roman;sans-serif"/>
          <w:b/>
          <w:color w:val="000000"/>
          <w:sz w:val="22"/>
        </w:rPr>
        <w:t>7.05</w:t>
      </w:r>
      <w:r>
        <w:rPr>
          <w:rFonts w:ascii="Times New Roman;sans-serif" w:hAnsi="Times New Roman;sans-serif"/>
          <w:b/>
          <w:color w:val="000000"/>
          <w:sz w:val="22"/>
        </w:rPr>
        <w:t>Investments</w:t>
      </w:r>
      <w:r>
        <w:rPr>
          <w:rFonts w:ascii="Times New Roman;sans-serif" w:hAnsi="Times New Roman;sans-serif"/>
          <w:b w:val="false"/>
          <w:color w:val="000000"/>
          <w:sz w:val="22"/>
        </w:rPr>
        <w:t>. Make or permit to exist any Investment in any Person, except for:</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Permitted Acquisitions;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extensions of credit in the nature of Accounts or notes receivable and/or chattel paper arising from the sale of goods and services in the ordinary course of business;</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shares of stock, obligations or other securities received in settlement of claims arising in the ordinary course of business;</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Investments in securities maturing within two (2) years and issued or fully guaranteed or insured by the United States of America or any state or agency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Investments in commercial paper maturing within one year from the date of acquisition thereof and having, at such date of acquisition, a credit rating of at least A-1 from S&amp;P and P-1 from Moody’s;</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or any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fully collateralized repurchase agreements with a term of not more than 30 days for securities described in clause (d) above and entered into with a financial institution satisfying the criteria described in clause (f) above;</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money market funds that (i) comply with the criteria set forth in SEC Rule 2a-7 under the Investment Company Act of 1940, (ii) are rated or invest solely in the assets described in clauses (e) through (g) above and (iii) have portfolio assets of at least $5,000,000,000; and</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Investments to the extent the payment for such Investment is made solely with Equity Interests of the Company;</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Investments in seller-financed notes and retail sales contracts in connection with Vehicles;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sum of (i) such Investments described in this </w:t>
      </w:r>
      <w:r>
        <w:rPr>
          <w:rFonts w:ascii="Times New Roman;sans-serif" w:hAnsi="Times New Roman;sans-serif"/>
          <w:b w:val="false"/>
          <w:color w:val="000000"/>
          <w:sz w:val="22"/>
          <w:u w:val="single"/>
        </w:rPr>
        <w:t>Section 7.05(j)</w:t>
      </w:r>
      <w:r>
        <w:rPr>
          <w:color w:val="000000"/>
        </w:rPr>
        <w:t xml:space="preserve"> </w:t>
      </w:r>
      <w:r>
        <w:rPr>
          <w:rFonts w:ascii="Times New Roman;sans-serif" w:hAnsi="Times New Roman;sans-serif"/>
          <w:b w:val="false"/>
          <w:color w:val="000000"/>
          <w:sz w:val="22"/>
        </w:rPr>
        <w:t xml:space="preserve">(on a gross basis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excluding any reserves),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the aggregate face amount of Indebtedness permitted under </w:t>
      </w:r>
      <w:r>
        <w:rPr>
          <w:rFonts w:ascii="Times New Roman;sans-serif" w:hAnsi="Times New Roman;sans-serif"/>
          <w:b w:val="false"/>
          <w:color w:val="000000"/>
          <w:sz w:val="22"/>
          <w:u w:val="single"/>
        </w:rPr>
        <w:t>Section 7.01(n)</w:t>
      </w:r>
      <w:r>
        <w:rPr>
          <w:color w:val="000000"/>
        </w:rPr>
        <w:t xml:space="preserve"> </w:t>
      </w:r>
      <w:r>
        <w:rPr>
          <w:rFonts w:ascii="Times New Roman;sans-serif" w:hAnsi="Times New Roman;sans-serif"/>
          <w:b w:val="false"/>
          <w:color w:val="000000"/>
          <w:sz w:val="22"/>
        </w:rPr>
        <w:t>shall not exceed $35,000,000 at any time;</w: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Investments in (including loans to) the Company or wholly-owned Subsidiaries that are Subsidiary Guarantors;</w:t>
      </w:r>
    </w:p>
    <w:p>
      <w:pPr>
        <w:pStyle w:val="TextBody"/>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Investments in (including loans to) Subsidiaries that are not Subsidiary Guarantors (including any equity Investments in any Captive Insurance Company to meet the insurance capital requirements of such Captive Insurance Company to the extent required by applicable law or regulation) in an aggregate amount of not more than $50,000,000 during the term of this Agreement; </w:t>
      </w:r>
    </w:p>
    <w:p>
      <w:pPr>
        <w:pStyle w:val="TextBody"/>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Investments in an aggregate amount which, together with the aggregate amount of Restricted Payments made by the Company pursuant to </w:t>
      </w:r>
      <w:r>
        <w:rPr>
          <w:rFonts w:ascii="Times New Roman;sans-serif" w:hAnsi="Times New Roman;sans-serif"/>
          <w:b w:val="false"/>
          <w:color w:val="000000"/>
          <w:sz w:val="22"/>
          <w:u w:val="single"/>
        </w:rPr>
        <w:t>Section 7.10(a)(i)</w:t>
      </w:r>
      <w:r>
        <w:rPr>
          <w:rFonts w:ascii="Times New Roman;sans-serif" w:hAnsi="Times New Roman;sans-serif"/>
          <w:b w:val="false"/>
          <w:color w:val="000000"/>
          <w:sz w:val="22"/>
        </w:rPr>
        <w:t>, shall not exceed the 7.10(a)(i) RP Basket Limit at the time of each such Investment, subject to satisfaction of the conditions set forth in the definition of 7.10(a)(i) RP Basket Limit;</w:t>
      </w:r>
    </w:p>
    <w:p>
      <w:pPr>
        <w:pStyle w:val="TextBody"/>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without counting against the 7.10(a)(i) RP Basket Limit set forth in </w:t>
      </w:r>
      <w:r>
        <w:rPr>
          <w:rFonts w:ascii="Times New Roman;sans-serif" w:hAnsi="Times New Roman;sans-serif"/>
          <w:b w:val="false"/>
          <w:color w:val="000000"/>
          <w:sz w:val="22"/>
          <w:u w:val="single"/>
        </w:rPr>
        <w:t>Section 7.10(a)(i)</w:t>
      </w:r>
      <w:r>
        <w:rPr>
          <w:color w:val="000000"/>
        </w:rPr>
        <w:t xml:space="preserve"> </w:t>
      </w:r>
      <w:r>
        <w:rPr>
          <w:rFonts w:ascii="Times New Roman;sans-serif" w:hAnsi="Times New Roman;sans-serif"/>
          <w:b w:val="false"/>
          <w:color w:val="000000"/>
          <w:sz w:val="22"/>
        </w:rPr>
        <w:t xml:space="preserve">below, the Company may make other Investments so long as the Consolidated Total Leverage Ratio is no greater than 3.00 to 1.00 (determined on a pro forma basis after giving effect to such Investment and any other Investment made on such date or at any time after the Applicable Four-Quarter Period); </w:t>
      </w:r>
    </w:p>
    <w:p>
      <w:pPr>
        <w:pStyle w:val="TextBody"/>
        <w:spacing w:lineRule="auto" w:line="240" w:before="0" w:after="240"/>
        <w:ind w:left="0" w:right="0" w:firstLine="72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Investments in fixed or floating rate demand notes issued by original equipment manufacturers (or their captive finance companies), in each case with a credit rating of at least A- from S&amp;P and A3 from Moody’s; and</w:t>
      </w:r>
    </w:p>
    <w:p>
      <w:pPr>
        <w:pStyle w:val="TextBody"/>
        <w:spacing w:lineRule="auto" w:line="240" w:before="0" w:after="240"/>
        <w:ind w:left="0" w:right="0" w:firstLine="72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other Investments in an aggregate outstanding amount of not more than $75,000,000 during the term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contained in this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 xml:space="preserve">, neither the Company nor any Subsidiary may make any Investment in any Designated Escrow Subsidiary during the term of this Agreement other than Investments otherwise permitted by this </w:t>
      </w:r>
      <w:r>
        <w:rPr>
          <w:rFonts w:ascii="Times New Roman;sans-serif" w:hAnsi="Times New Roman;sans-serif"/>
          <w:b w:val="false"/>
          <w:color w:val="000000"/>
          <w:sz w:val="22"/>
          <w:u w:val="single"/>
        </w:rPr>
        <w:t>Section 7.05</w:t>
      </w:r>
      <w:r>
        <w:rPr>
          <w:color w:val="000000"/>
        </w:rPr>
        <w:t xml:space="preserve"> </w:t>
      </w:r>
      <w:r>
        <w:rPr>
          <w:rFonts w:ascii="Times New Roman;sans-serif" w:hAnsi="Times New Roman;sans-serif"/>
          <w:b w:val="false"/>
          <w:color w:val="000000"/>
          <w:sz w:val="22"/>
        </w:rPr>
        <w:t>that do not exceed an aggregate amount necessary to pay (i) the administrative expenses of any Designated Escrow Subsidiary in the ordinary course of business and (ii) interest and premiums in respect of the Indebtedness incurred by such Designated Escrow Subsidiary.</w:t>
      </w:r>
    </w:p>
    <w:p>
      <w:pPr>
        <w:pStyle w:val="TextBody"/>
        <w:spacing w:lineRule="auto" w:line="240" w:before="0" w:after="240"/>
        <w:ind w:left="0" w:right="0" w:firstLine="720"/>
        <w:jc w:val="both"/>
        <w:rPr/>
      </w:pPr>
      <w:r>
        <w:rPr>
          <w:rFonts w:ascii="Times New Roman;sans-serif" w:hAnsi="Times New Roman;sans-serif"/>
          <w:b/>
          <w:color w:val="000000"/>
          <w:sz w:val="22"/>
        </w:rPr>
        <w:t>7.06</w:t>
      </w:r>
      <w:r>
        <w:rPr>
          <w:rFonts w:ascii="Times New Roman;sans-serif" w:hAnsi="Times New Roman;sans-serif"/>
          <w:b/>
          <w:color w:val="000000"/>
          <w:sz w:val="22"/>
        </w:rPr>
        <w:t>Transactions with Affiliates</w:t>
      </w:r>
      <w:r>
        <w:rPr>
          <w:rFonts w:ascii="Times New Roman;sans-serif" w:hAnsi="Times New Roman;sans-serif"/>
          <w:b w:val="false"/>
          <w:color w:val="000000"/>
          <w:sz w:val="22"/>
        </w:rPr>
        <w:t xml:space="preserve">. Enter into any transaction of any kind with any Affiliate of the Company, whether or not in the ordinary course of business, other than on fair and reasonable terms substantially as favorable to the Company or such Subsidiary as would be obtainable by the Company or such Subsidiary at the time in a comparable arm’s length transaction with a Person other than an Affiliate;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restriction shall not apply to any transaction between or among the Company or any Subsidiary Guarantor and any other Subsidiary Guarantor or Subsidiary Guarantors.</w:t>
      </w:r>
    </w:p>
    <w:p>
      <w:pPr>
        <w:pStyle w:val="TextBody"/>
        <w:spacing w:lineRule="auto" w:line="240" w:before="0" w:after="240"/>
        <w:ind w:left="0" w:right="0" w:firstLine="720"/>
        <w:jc w:val="both"/>
        <w:rPr/>
      </w:pPr>
      <w:r>
        <w:rPr>
          <w:rFonts w:ascii="Times New Roman;sans-serif" w:hAnsi="Times New Roman;sans-serif"/>
          <w:b/>
          <w:color w:val="000000"/>
          <w:sz w:val="22"/>
        </w:rPr>
        <w:t>7.07</w:t>
      </w:r>
      <w:r>
        <w:rPr>
          <w:rFonts w:ascii="Times New Roman;sans-serif" w:hAnsi="Times New Roman;sans-serif"/>
          <w:b/>
          <w:color w:val="000000"/>
          <w:sz w:val="22"/>
        </w:rPr>
        <w:t>Other Agreements</w:t>
      </w:r>
      <w:r>
        <w:rPr>
          <w:rFonts w:ascii="Times New Roman;sans-serif" w:hAnsi="Times New Roman;sans-serif"/>
          <w:b w:val="false"/>
          <w:color w:val="000000"/>
          <w:sz w:val="22"/>
        </w:rPr>
        <w:t>. Enter into any agreement containing any provision which would be violated or breached by the Company’s or such Subsidiary’s performance of its Obligations hereunder or under any Loan Document delivered or to be delivered by the Loan Parties hereunder or in connection herewith, except for any such agreement the violation or breach of which would not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7.08</w:t>
      </w:r>
      <w:r>
        <w:rPr>
          <w:rFonts w:ascii="Times New Roman;sans-serif" w:hAnsi="Times New Roman;sans-serif"/>
          <w:b/>
          <w:color w:val="000000"/>
          <w:sz w:val="22"/>
        </w:rPr>
        <w:t>Fiscal Year; Accounting</w:t>
      </w:r>
      <w:r>
        <w:rPr>
          <w:rFonts w:ascii="Times New Roman;sans-serif" w:hAnsi="Times New Roman;sans-serif"/>
          <w:b w:val="false"/>
          <w:color w:val="000000"/>
          <w:sz w:val="22"/>
        </w:rPr>
        <w:t xml:space="preserve">. (a) Change its fiscal year or (b) change its method of accounting (other than, in the case of clause (b), immaterial changes and methods and changes authorized or required by GAAP or permitted by </w:t>
      </w:r>
      <w:r>
        <w:rPr>
          <w:rFonts w:ascii="Times New Roman;sans-serif" w:hAnsi="Times New Roman;sans-serif"/>
          <w:b w:val="false"/>
          <w:color w:val="000000"/>
          <w:sz w:val="22"/>
          <w:u w:val="single"/>
        </w:rPr>
        <w:t>Section 1.04(b)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7.09</w:t>
      </w:r>
      <w:r>
        <w:rPr>
          <w:rFonts w:ascii="Times New Roman;sans-serif" w:hAnsi="Times New Roman;sans-serif"/>
          <w:b/>
          <w:color w:val="000000"/>
          <w:sz w:val="22"/>
        </w:rPr>
        <w:t>Pension Plans</w:t>
      </w:r>
      <w:r>
        <w:rPr>
          <w:rFonts w:ascii="Times New Roman;sans-serif" w:hAnsi="Times New Roman;sans-serif"/>
          <w:b w:val="false"/>
          <w:color w:val="000000"/>
          <w:sz w:val="22"/>
        </w:rPr>
        <w:t>. Permit any condition to exist in connection with any Pension Plan which might constitute grounds for the PBGC to institute proceedings to have such Pension Plan terminated or a trustee appointed to administer such Pension Plan, or engage in, or permit to exist or occur any other condition, event or transaction with respect to any Pension Plan which could be expected to have Material Adverse Effect.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134</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7.10</w:t>
      </w:r>
      <w:r>
        <w:rPr>
          <w:rFonts w:ascii="Times New Roman;sans-serif" w:hAnsi="Times New Roman;sans-serif"/>
          <w:b/>
          <w:color w:val="000000"/>
          <w:sz w:val="22"/>
        </w:rPr>
        <w:t>Restricted Payments and Distributions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Restricted Payments</w:t>
      </w:r>
      <w:r>
        <w:rPr>
          <w:rFonts w:ascii="Times New Roman;sans-serif" w:hAnsi="Times New Roman;sans-serif"/>
          <w:b w:val="false"/>
          <w:color w:val="000000"/>
          <w:sz w:val="22"/>
        </w:rPr>
        <w:t xml:space="preserve">. Declare or make any Restricted Payment, except that the Company or any Subsidiary of the Company may pay dividends to the Company (directly or indirectly) or to another Subsidiary Guarantor that is a wholly-owned Subsidiary of the Company at any time, and may also make the following Restricted Payments, provided that, (x) immediately after giving effect to the declaration of any dividend, and the payment of any Restricted Payment, there exists no Default under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and no Event of Default, and (y) after giving pro forma effect to the declaration of any dividend and the payment of any Restricted Payment made pursuant to clause (i), (ii), (iii), (iv) or (vi) below, the Company is in Pro Forma Compliance with the covenants contained in </w:t>
      </w:r>
      <w:r>
        <w:rPr>
          <w:rFonts w:ascii="Times New Roman;sans-serif" w:hAnsi="Times New Roman;sans-serif"/>
          <w:b w:val="false"/>
          <w:color w:val="000000"/>
          <w:sz w:val="22"/>
          <w:u w:val="single"/>
        </w:rPr>
        <w:t>Section 7.11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(i)the Company may declare and pay cash dividends on its capital stock and may purchase shares of its capital stock;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any such cash dividend payment or share purchase and after giving effect to such cash dividend payment or share purchase, the sum of (A) the aggregate amount payable or paid in respect of all cash dividends by the Company or shares purchased by the Company (other than shares purchased pursuant to clause (ii) below) on or after June 30, 2019 plus (B) the aggregate amount of Investments made by the Company on or after June 30, 2019 pursuant to </w:t>
      </w:r>
      <w:r>
        <w:rPr>
          <w:rFonts w:ascii="Times New Roman;sans-serif" w:hAnsi="Times New Roman;sans-serif"/>
          <w:b w:val="false"/>
          <w:color w:val="000000"/>
          <w:sz w:val="22"/>
          <w:u w:val="single"/>
        </w:rPr>
        <w:t>Section 7.05(m)</w:t>
      </w:r>
      <w:r>
        <w:rPr>
          <w:rFonts w:ascii="Times New Roman;sans-serif" w:hAnsi="Times New Roman;sans-serif"/>
          <w:b w:val="false"/>
          <w:color w:val="000000"/>
          <w:sz w:val="22"/>
        </w:rPr>
        <w:t>, shall not exceed the sum of (x) $[642,000,000]</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if negative) (y) one-half (1/2) of the aggregate Consolidated Net Income of the Company for the period (taken as one accounting period) beginning on July 1, 2019 up to the end of the Company’s most recent fiscal quarter for which internal financial statements have been delivered to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(z) 100% of the aggregate Net Cash Proceeds received by the Company after July 1, 2019 as a contribution to its common equity capital or from the issue or sale of Equity Interests of the Company or from the issue or sale of convertible or exchangeable preferred stock or convertible or exchangeable debt securities of the Company that have been converted into or exchanged for such Equity Interests (other than Equity Interests, preferred stock or debt securities sold to a Subsidiary of the Company and other than any contribution by a Subsidiary) (the product described above at any time being referred to herein as the “</w:t>
      </w:r>
      <w:r>
        <w:rPr>
          <w:rFonts w:ascii="Times New Roman;sans-serif" w:hAnsi="Times New Roman;sans-serif"/>
          <w:b w:val="false"/>
          <w:color w:val="000000"/>
          <w:sz w:val="22"/>
          <w:u w:val="single"/>
        </w:rPr>
        <w:t>7.10(a)(i) RP Basket Limit</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(ii)without counting against the 7.10(a)(i) RP Basket Limit set forth in</w:t>
      </w:r>
      <w:r>
        <w:rPr>
          <w:color w:val="000000"/>
          <w:u w:val="single"/>
        </w:rPr>
        <w:t xml:space="preserve"> </w:t>
      </w:r>
      <w:r>
        <w:rPr>
          <w:rFonts w:ascii="Times New Roman;sans-serif" w:hAnsi="Times New Roman;sans-serif"/>
          <w:b w:val="false"/>
          <w:color w:val="000000"/>
          <w:sz w:val="22"/>
          <w:u w:val="single"/>
        </w:rPr>
        <w:t>Section 7.10(a)(i)</w:t>
      </w:r>
      <w:r>
        <w:rPr>
          <w:color w:val="000000"/>
        </w:rPr>
        <w:t xml:space="preserve"> </w:t>
      </w:r>
      <w:r>
        <w:rPr>
          <w:rFonts w:ascii="Times New Roman;sans-serif" w:hAnsi="Times New Roman;sans-serif"/>
          <w:b w:val="false"/>
          <w:color w:val="000000"/>
          <w:sz w:val="22"/>
        </w:rPr>
        <w:t xml:space="preserve">above or restricting the Restricted Payments permitted to be made by </w:t>
      </w:r>
      <w:r>
        <w:rPr>
          <w:rFonts w:ascii="Times New Roman;sans-serif" w:hAnsi="Times New Roman;sans-serif"/>
          <w:b w:val="false"/>
          <w:color w:val="000000"/>
          <w:sz w:val="22"/>
          <w:u w:val="single"/>
        </w:rPr>
        <w:t>Section 7.10(a)(iii)</w:t>
      </w:r>
      <w:r>
        <w:rPr>
          <w:rFonts w:ascii="Times New Roman;sans-serif" w:hAnsi="Times New Roman;sans-serif"/>
          <w:b w:val="false"/>
          <w:color w:val="000000"/>
          <w:sz w:val="22"/>
        </w:rPr>
        <w:t xml:space="preserve">, the Company and its Subsidiaries may repurchase, redeem or otherwise acquire or retire for value any Equity Interests of the Company or any such Subsidiaries in an aggregate amount not to exceed $20,000,000 in any fiscal year; </w:t>
      </w:r>
    </w:p>
    <w:p>
      <w:pPr>
        <w:pStyle w:val="TextBody"/>
        <w:spacing w:lineRule="auto" w:line="240" w:before="0" w:after="240"/>
        <w:ind w:left="0" w:right="0" w:firstLine="720"/>
        <w:jc w:val="both"/>
        <w:rPr/>
      </w:pPr>
      <w:r>
        <w:rPr>
          <w:rFonts w:ascii="Times New Roman;sans-serif" w:hAnsi="Times New Roman;sans-serif"/>
          <w:b w:val="false"/>
          <w:color w:val="000000"/>
          <w:sz w:val="22"/>
        </w:rPr>
        <w:t>(iii)without counting against the 7.10(a)(i) RP Basket Limit set forth in</w:t>
      </w:r>
      <w:r>
        <w:rPr>
          <w:color w:val="000000"/>
          <w:u w:val="single"/>
        </w:rPr>
        <w:t xml:space="preserve"> </w:t>
      </w:r>
      <w:r>
        <w:rPr>
          <w:rFonts w:ascii="Times New Roman;sans-serif" w:hAnsi="Times New Roman;sans-serif"/>
          <w:b w:val="false"/>
          <w:color w:val="000000"/>
          <w:sz w:val="22"/>
          <w:u w:val="single"/>
        </w:rPr>
        <w:t>Section 7.10(a)(i)</w:t>
      </w:r>
      <w:r>
        <w:rPr>
          <w:color w:val="000000"/>
        </w:rPr>
        <w:t xml:space="preserve"> </w:t>
      </w:r>
      <w:r>
        <w:rPr>
          <w:rFonts w:ascii="Times New Roman;sans-serif" w:hAnsi="Times New Roman;sans-serif"/>
          <w:b w:val="false"/>
          <w:color w:val="000000"/>
          <w:sz w:val="22"/>
        </w:rPr>
        <w:t xml:space="preserve">above or restricting the Restricted Payments permitted to be made by </w:t>
      </w:r>
      <w:r>
        <w:rPr>
          <w:rFonts w:ascii="Times New Roman;sans-serif" w:hAnsi="Times New Roman;sans-serif"/>
          <w:b w:val="false"/>
          <w:color w:val="000000"/>
          <w:sz w:val="22"/>
          <w:u w:val="single"/>
        </w:rPr>
        <w:t>Section 7.10(a)(ii)</w:t>
      </w:r>
      <w:r>
        <w:rPr>
          <w:rFonts w:ascii="Times New Roman;sans-serif" w:hAnsi="Times New Roman;sans-serif"/>
          <w:b w:val="false"/>
          <w:color w:val="000000"/>
          <w:sz w:val="22"/>
        </w:rPr>
        <w:t>, the Company may make other Restricted Payments so long as the Consolidated Total Leverage Ratio of the Company and its Restricted Subsidiaries on a consolidated basis is no greater than 3.0 to 1 (determined on a pro forma basis for the most recently ended four full fiscal quarters for which internal financial statements have been delivered to the Administrative Agent prior to such Restricted Payment);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Company may declare and pay stock dividends directly or indirectly;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(v)the Company may repurchase Equity Interests deemed to occur upon the exercise of stock options if those Equity Interests represent all or a portion of the exercise price of those options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(vi)the Company may repurchase fractional shares arising out of stock dividends, splits or combinations or business combinations;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(vii)the Company may pay any dividend or distribution on, or redemption of, Equity Interests pursuant to clause (i) within 60 days after the date of declaration or notice thereof, if at </w:t>
      </w:r>
    </w:p>
    <w:p>
      <w:pPr>
        <w:pStyle w:val="TextBody"/>
        <w:spacing w:lineRule="auto" w:line="240" w:before="0" w:after="24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Subject to confirmation by Bank of America.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date of declaration or the giving of notice, the payment would have complied with the provisions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Distributions</w:t>
      </w:r>
      <w:r>
        <w:rPr>
          <w:rFonts w:ascii="Times New Roman;sans-serif" w:hAnsi="Times New Roman;sans-serif"/>
          <w:b w:val="false"/>
          <w:color w:val="000000"/>
          <w:sz w:val="22"/>
        </w:rPr>
        <w:t xml:space="preserve">. Distribute any funds from any depository account of the Company or a Vehicle Borrower to any Vehicle Borrower with respect to which any Event of Default under </w:t>
      </w:r>
      <w:r>
        <w:rPr>
          <w:rFonts w:ascii="Times New Roman;sans-serif" w:hAnsi="Times New Roman;sans-serif"/>
          <w:b w:val="false"/>
          <w:color w:val="000000"/>
          <w:sz w:val="22"/>
          <w:u w:val="single"/>
        </w:rPr>
        <w:t>Section 8.01(e)</w:t>
      </w:r>
      <w:r>
        <w:rPr>
          <w:color w:val="000000"/>
        </w:rPr>
        <w:t xml:space="preserve"> </w:t>
      </w:r>
      <w:r>
        <w:rPr>
          <w:rFonts w:ascii="Times New Roman;sans-serif" w:hAnsi="Times New Roman;sans-serif"/>
          <w:b w:val="false"/>
          <w:color w:val="000000"/>
          <w:sz w:val="22"/>
        </w:rPr>
        <w:t>exists, except to the extent necessary to cure such Event of Default.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contained in this </w:t>
      </w:r>
      <w:r>
        <w:rPr>
          <w:rFonts w:ascii="Times New Roman;sans-serif" w:hAnsi="Times New Roman;sans-serif"/>
          <w:b w:val="false"/>
          <w:color w:val="000000"/>
          <w:sz w:val="22"/>
          <w:u w:val="single"/>
        </w:rPr>
        <w:t>Section 7.10</w:t>
      </w:r>
      <w:r>
        <w:rPr>
          <w:rFonts w:ascii="Times New Roman;sans-serif" w:hAnsi="Times New Roman;sans-serif"/>
          <w:b w:val="false"/>
          <w:color w:val="000000"/>
          <w:sz w:val="22"/>
        </w:rPr>
        <w:t>, neither the Company nor any Subsidiary may make any dividend or other Restricted Payment to the Designated Escrow Subsidiary during the term of this Agreement.</w:t>
      </w:r>
    </w:p>
    <w:p>
      <w:pPr>
        <w:pStyle w:val="TextBody"/>
        <w:spacing w:lineRule="auto" w:line="240" w:before="0" w:after="240"/>
        <w:ind w:left="0" w:right="0" w:firstLine="720"/>
        <w:jc w:val="both"/>
        <w:rPr/>
      </w:pPr>
      <w:r>
        <w:rPr>
          <w:rFonts w:ascii="Times New Roman;sans-serif" w:hAnsi="Times New Roman;sans-serif"/>
          <w:b/>
          <w:color w:val="000000"/>
          <w:sz w:val="22"/>
        </w:rPr>
        <w:t>7.11</w:t>
      </w:r>
      <w:r>
        <w:rPr>
          <w:rFonts w:ascii="Times New Roman;sans-serif" w:hAnsi="Times New Roman;sans-serif"/>
          <w:b/>
          <w:color w:val="000000"/>
          <w:sz w:val="22"/>
        </w:rPr>
        <w:t>Financial Covenants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Consolidated Fixed Charge Coverage Ratio</w:t>
      </w:r>
      <w:r>
        <w:rPr>
          <w:rFonts w:ascii="Times New Roman;sans-serif" w:hAnsi="Times New Roman;sans-serif"/>
          <w:b w:val="false"/>
          <w:color w:val="000000"/>
          <w:sz w:val="22"/>
        </w:rPr>
        <w:t>. Permit the Consolidated Fixed Charge Coverage Ratio, as of the end of any fiscal quarter, to be less than 1.20 to 1.00.</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Consolidated Total Lease Adjusted Leverage Ratio</w:t>
      </w:r>
      <w:r>
        <w:rPr>
          <w:rFonts w:ascii="Times New Roman;sans-serif" w:hAnsi="Times New Roman;sans-serif"/>
          <w:b w:val="false"/>
          <w:color w:val="000000"/>
          <w:sz w:val="22"/>
        </w:rPr>
        <w:t>. Permit the Consolidated Total Lease Adjusted Leverage Ratio, as of the end of any fiscal quarter, to be more than 5.75 to 1.00.</w:t>
      </w:r>
    </w:p>
    <w:p>
      <w:pPr>
        <w:pStyle w:val="TextBody"/>
        <w:spacing w:lineRule="auto" w:line="240" w:before="0" w:after="240"/>
        <w:ind w:left="0" w:right="0" w:firstLine="720"/>
        <w:jc w:val="both"/>
        <w:rPr/>
      </w:pPr>
      <w:r>
        <w:rPr>
          <w:rFonts w:ascii="Times New Roman;sans-serif" w:hAnsi="Times New Roman;sans-serif"/>
          <w:b/>
          <w:color w:val="000000"/>
          <w:sz w:val="22"/>
        </w:rPr>
        <w:t>7.12</w:t>
      </w:r>
      <w:r>
        <w:rPr>
          <w:rFonts w:ascii="Times New Roman;sans-serif" w:hAnsi="Times New Roman;sans-serif"/>
          <w:b/>
          <w:color w:val="000000"/>
          <w:sz w:val="22"/>
        </w:rPr>
        <w:t>Change in Nature of Business</w:t>
      </w:r>
      <w:r>
        <w:rPr>
          <w:rFonts w:ascii="Times New Roman;sans-serif" w:hAnsi="Times New Roman;sans-serif"/>
          <w:b w:val="false"/>
          <w:color w:val="000000"/>
          <w:sz w:val="22"/>
        </w:rPr>
        <w:t>. Engage in any material line of business substantially different from those lines of business conducted by the Company and its Subsidiaries on the date hereof or any business substantially related or incidental thereto.</w:t>
      </w:r>
    </w:p>
    <w:p>
      <w:pPr>
        <w:pStyle w:val="TextBody"/>
        <w:spacing w:lineRule="auto" w:line="240" w:before="0" w:after="240"/>
        <w:ind w:left="0" w:right="0" w:firstLine="720"/>
        <w:jc w:val="both"/>
        <w:rPr/>
      </w:pPr>
      <w:r>
        <w:rPr>
          <w:rFonts w:ascii="Times New Roman;sans-serif" w:hAnsi="Times New Roman;sans-serif"/>
          <w:b/>
          <w:color w:val="000000"/>
          <w:sz w:val="22"/>
        </w:rPr>
        <w:t>7.13</w:t>
      </w:r>
      <w:r>
        <w:rPr>
          <w:rFonts w:ascii="Times New Roman;sans-serif" w:hAnsi="Times New Roman;sans-serif"/>
          <w:b/>
          <w:color w:val="000000"/>
          <w:sz w:val="22"/>
        </w:rPr>
        <w:t>Use of Proceeds</w:t>
      </w:r>
      <w:r>
        <w:rPr>
          <w:rFonts w:ascii="Times New Roman;sans-serif" w:hAnsi="Times New Roman;sans-serif"/>
          <w:b w:val="false"/>
          <w:color w:val="000000"/>
          <w:sz w:val="22"/>
        </w:rPr>
        <w:t xml:space="preserve">.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other than in connection with Restricted Payments constituting share repurchases permitted pursuant to </w:t>
      </w:r>
      <w:r>
        <w:rPr>
          <w:rFonts w:ascii="Times New Roman;sans-serif" w:hAnsi="Times New Roman;sans-serif"/>
          <w:b w:val="false"/>
          <w:color w:val="000000"/>
          <w:sz w:val="22"/>
          <w:u w:val="single"/>
        </w:rPr>
        <w:t>Section 7.10(a)(i)-(iii)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7.14</w:t>
      </w:r>
      <w:r>
        <w:rPr>
          <w:rFonts w:ascii="Times New Roman;sans-serif" w:hAnsi="Times New Roman;sans-serif"/>
          <w:b/>
          <w:color w:val="000000"/>
          <w:sz w:val="22"/>
        </w:rPr>
        <w:t>Burdensome Agreements</w:t>
      </w:r>
      <w:r>
        <w:rPr>
          <w:rFonts w:ascii="Times New Roman;sans-serif" w:hAnsi="Times New Roman;sans-serif"/>
          <w:b w:val="false"/>
          <w:color w:val="000000"/>
          <w:sz w:val="22"/>
        </w:rPr>
        <w:t xml:space="preserve">. Enter into any Contractual Obligation (other than this Agreement or any other Loan Document) that </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limits the ability (i) of any Subsidiary (other than any Designated Escrow Subsidiary) to pay dividends to any Loan Party or to otherwise transfer property to any Loan Party, (ii) of any Subsidiary to Guarantee the Obligations or (iii) of the Company or any Subsidiary to create, incur, assume or suffer to exist Liens on property of such Person in favor of the Administrative Agent for the benefit of the Secured Parties;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(W) clause (i) shall not prohibit any Subsidiary Guarantor from complying with minimum capitalization, working capital, net worth or financial ratios imposed by or pursuant to any Franchise Agreement or Framework Agreement, (X) clauses (i) and (iii) shall not prohibit any negative pledge or restriction on transfer incurred or provided in favor of any holder of secured Indebtedness permitted hereunder (including Permitted Floorplan Indebtedness and Permitted Real Estate Debt) solely to the extent any such negative pledge or restriction on transfer relates to the property financed by or securing such Indebtedness, (Y) clauses (i) and (iii) shall not prohibit customary restrictions on assignments, subletting or other transfers contained in the documents governing Permitted Sale/Leaseback Transactions or in other leases, licenses and similar agreements entered into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restrictions are limited to the property subject to such Qualified Sale/Leaseback Transaction, lease, license or other agreement) and (Z) clause (i), (ii) and (iii) shall not prohibit provisions contained in the Indentures on the date hereof or provisions contained in any indenture governing unsecured senior notes issued by the Company which notes are permitted hereunder, provided that such provisions are no more restrictive on the Borrower or any Subsidiary than those contained in the Indentures on the date hereof; or </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requires the grant of a Lien to secure an obligation of such Person if a Lien is granted to secure the Obligations.</w:t>
      </w:r>
    </w:p>
    <w:p>
      <w:pPr>
        <w:pStyle w:val="TextBody"/>
        <w:spacing w:lineRule="auto" w:line="240" w:before="0" w:after="240"/>
        <w:ind w:left="0" w:right="0" w:firstLine="720"/>
        <w:jc w:val="both"/>
        <w:rPr/>
      </w:pPr>
      <w:r>
        <w:rPr>
          <w:rFonts w:ascii="Times New Roman;sans-serif" w:hAnsi="Times New Roman;sans-serif"/>
          <w:b/>
          <w:color w:val="000000"/>
          <w:sz w:val="22"/>
        </w:rPr>
        <w:t>7.15</w:t>
      </w:r>
      <w:r>
        <w:rPr>
          <w:rFonts w:ascii="Times New Roman;sans-serif" w:hAnsi="Times New Roman;sans-serif"/>
          <w:b/>
          <w:color w:val="000000"/>
          <w:sz w:val="22"/>
        </w:rPr>
        <w:t>[Reserved]</w:t>
      </w:r>
      <w:r>
        <w:rPr>
          <w:rFonts w:ascii="Times New Roman;sans-serif" w:hAnsi="Times New Roman;sans-serif"/>
          <w:b w:val="false"/>
          <w:color w:val="000000"/>
          <w:sz w:val="22"/>
        </w:rPr>
        <w:t xml:space="preserv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136</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7.16</w:t>
      </w:r>
      <w:r>
        <w:rPr>
          <w:rFonts w:ascii="Times New Roman;sans-serif" w:hAnsi="Times New Roman;sans-serif"/>
          <w:b/>
          <w:color w:val="000000"/>
          <w:sz w:val="22"/>
        </w:rPr>
        <w:t>Prepayments, etc. of Certain Indebtedness</w:t>
      </w:r>
      <w:r>
        <w:rPr>
          <w:rFonts w:ascii="Times New Roman;sans-serif" w:hAnsi="Times New Roman;sans-serif"/>
          <w:b w:val="false"/>
          <w:color w:val="000000"/>
          <w:sz w:val="22"/>
        </w:rPr>
        <w:t xml:space="preserve">. Prepay, redeem, purchase, defease, settle in cash or otherwise satisfy prior to the scheduled maturity thereof in any manner any Indebtedness, other than Obligations under the Loan Documents and prepayments of Indebtedness made in order to effect a refinancing of such Indebtedness by other Indebtedness that is permitted under </w:t>
      </w:r>
      <w:r>
        <w:rPr>
          <w:rFonts w:ascii="Times New Roman;sans-serif" w:hAnsi="Times New Roman;sans-serif"/>
          <w:b w:val="false"/>
          <w:color w:val="000000"/>
          <w:sz w:val="22"/>
          <w:u w:val="single"/>
        </w:rPr>
        <w:t>Section 7.01</w:t>
      </w:r>
      <w:r>
        <w:rPr>
          <w:color w:val="000000"/>
        </w:rPr>
        <w:t xml:space="preserve"> </w:t>
      </w:r>
      <w:r>
        <w:rPr>
          <w:rFonts w:ascii="Times New Roman;sans-serif" w:hAnsi="Times New Roman;sans-serif"/>
          <w:b w:val="false"/>
          <w:color w:val="000000"/>
          <w:sz w:val="22"/>
        </w:rPr>
        <w:t>of this Agreement (each such prepayment, redemption, purchase, defeasement, settlement or satisfaction referred to as an “</w:t>
      </w:r>
      <w:r>
        <w:rPr>
          <w:rFonts w:ascii="Times New Roman;sans-serif" w:hAnsi="Times New Roman;sans-serif"/>
          <w:b w:val="false"/>
          <w:color w:val="000000"/>
          <w:sz w:val="22"/>
          <w:u w:val="single"/>
        </w:rPr>
        <w:t>Indebtedness Prepayment</w:t>
      </w:r>
      <w:r>
        <w:rPr>
          <w:color w:val="000000"/>
        </w:rPr>
        <w:t>”</w:t>
      </w:r>
      <w:r>
        <w:rPr>
          <w:rFonts w:ascii="Times New Roman;sans-serif" w:hAnsi="Times New Roman;sans-serif"/>
          <w:b w:val="false"/>
          <w:color w:val="000000"/>
          <w:sz w:val="22"/>
        </w:rPr>
        <w:t xml:space="preserve">), except that the Company may make Indebtedness Prepayments so long as (i) (A) both immediately prior to any such Indebtedness Prepayment and after giving effect to such Indebtedness Prepayment no Default or Event of Default shall exist and (B) the aggregate amount of such Indebtedness Prepayments does not exceed $75,000,000 during any fiscal year or (ii) both immediately prior to any such Indebtedness Prepayment and after giving effect to such Indebtedness Prepayment: (X) no Default or Event of Default shall exist, (Y) the Company and its Subsidiaries shall be in Pro Forma Compliance, and (Z) the Pro Forma Prepayment Test Amount is equal to or greater than $150,000,000 on a pro forma basis for the fiscal quarter during which such Indebtedness Prepayment is made and each of the next three fiscal quarters (as evidenced, in the case of clauses (Y) and (Z), by a Pro Forma Compliance Certificate and a Prepayment Test Amount Certificate submitted not less than 5 Business Days and not more than 90 days prior to the date of any such Indebtedness Prepayment), in which case, such Indebtedness Prepayments pursuant to this clause (ii) may be made in an amount of up to the difference (if a positive number) between such Prepayment Test Amount (as measured prior to giving effect to such Indebtedness Prepayment) and $150,000,000. Notwithstanding the foregoing, in the event the Miller Acquisition is not consummated or if consummated, the assets and equity acquired are less than all of the assets and equity proposed to be acquired pursuant to the terms of the Miller Acquisition Documents, the Company may redeem up to the entire principal amount of the Senior Notes pursuant to the "Special Mandatory Redemption" provisions as set forth in the indentures pursuant to which such Senior Notes are to be issued. </w:t>
      </w:r>
    </w:p>
    <w:p>
      <w:pPr>
        <w:pStyle w:val="TextBody"/>
        <w:spacing w:lineRule="auto" w:line="240" w:before="0" w:after="240"/>
        <w:ind w:left="0" w:right="0" w:firstLine="720"/>
        <w:jc w:val="both"/>
        <w:rPr/>
      </w:pPr>
      <w:r>
        <w:rPr>
          <w:rFonts w:ascii="Times New Roman;sans-serif" w:hAnsi="Times New Roman;sans-serif"/>
          <w:b/>
          <w:color w:val="000000"/>
          <w:sz w:val="22"/>
        </w:rPr>
        <w:t>7.17</w:t>
      </w:r>
      <w:r>
        <w:rPr>
          <w:rFonts w:ascii="Times New Roman;sans-serif" w:hAnsi="Times New Roman;sans-serif"/>
          <w:b/>
          <w:color w:val="000000"/>
          <w:sz w:val="22"/>
        </w:rPr>
        <w:t>Excluded Collateral</w:t>
      </w:r>
      <w:r>
        <w:rPr>
          <w:rFonts w:ascii="Times New Roman;sans-serif" w:hAnsi="Times New Roman;sans-serif"/>
          <w:b w:val="false"/>
          <w:color w:val="000000"/>
          <w:sz w:val="22"/>
        </w:rPr>
        <w:t>. Grant to any Person any Lien on any Excluded Property unless the Administrative Agent (for the benefit of the Secured Parties) has a Lien on such property, other than (i) Liens on assets of a Franchise (or stock of the Subsidiary that owns such Franchise) granted to the respective franchisor, (ii) Liens granted on Excluded Property to a holder of a Permitted Lien on such Excluded Property where a grant of a security interest to the Administrative Agent in such Excluded Property would violate or invalidate such asset or agreement governing such asset or create a right of termination in favor of the holder of such Permitted Lien on such Excluded Property, (iii) Liens on Excluded Property constituting real property, fixtures and related real property rights, and (iv) Excluded Property consisting of contracts related to real property, fixtures or related real property rights, or proceeds of real property, fixtures, related real property rights or related contracts (including, without limitation, insurance proceeds in respect of the foregoing), that in each case of this clause (iv) secures Permitted Real Estate Debt to the extent that a grant of a security interest thereon to the Administrative Agent would conflict with or result in a violation of the terms of such Permitted Real Estate Debt.</w:t>
      </w:r>
    </w:p>
    <w:p>
      <w:pPr>
        <w:pStyle w:val="TextBody"/>
        <w:spacing w:lineRule="auto" w:line="240" w:before="0" w:after="240"/>
        <w:ind w:left="0" w:right="0" w:firstLine="720"/>
        <w:jc w:val="both"/>
        <w:rPr/>
      </w:pPr>
      <w:r>
        <w:rPr>
          <w:rFonts w:ascii="Times New Roman;sans-serif" w:hAnsi="Times New Roman;sans-serif"/>
          <w:b/>
          <w:color w:val="000000"/>
          <w:sz w:val="22"/>
        </w:rPr>
        <w:t>7.18</w:t>
      </w:r>
      <w:r>
        <w:rPr>
          <w:rFonts w:ascii="Times New Roman;sans-serif" w:hAnsi="Times New Roman;sans-serif"/>
          <w:b/>
          <w:color w:val="000000"/>
          <w:sz w:val="22"/>
        </w:rPr>
        <w:t>Perfection of Deposit Accounts</w:t>
      </w:r>
      <w:r>
        <w:rPr>
          <w:rFonts w:ascii="Times New Roman;sans-serif" w:hAnsi="Times New Roman;sans-serif"/>
          <w:b w:val="false"/>
          <w:color w:val="000000"/>
          <w:sz w:val="22"/>
        </w:rPr>
        <w:t>. Without the prior written consent of the Administrative Agent, permit any Person (other than the Administrative Agent (on behalf of the Secured Parties) to obtain any deposit account control agreement (or otherwise perfect any Lien) any deposit account of the Company or any of its Subsidiaries (other than any deposit account of any Designated Escrow Subsidiary containing only proceeds of the Indebtedness such Designated Escrow Subsidiary was formed to incur), other than a deposit account control agreement entered into with the agent, trustee or other secured party in respect of any Indebtedness that is permitted under this Agreement to be secured by a Lien on all or any portion of the Collateral constituting deposit accounts, in each case to the extent that the Administrative Agent is also a party thereto.</w:t>
      </w:r>
    </w:p>
    <w:p>
      <w:pPr>
        <w:pStyle w:val="TextBody"/>
        <w:spacing w:lineRule="auto" w:line="240" w:before="0" w:after="240"/>
        <w:ind w:left="0" w:right="0" w:firstLine="720"/>
        <w:jc w:val="both"/>
        <w:rPr/>
      </w:pPr>
      <w:r>
        <w:rPr>
          <w:rFonts w:ascii="Times New Roman;sans-serif" w:hAnsi="Times New Roman;sans-serif"/>
          <w:b/>
          <w:color w:val="000000"/>
          <w:sz w:val="22"/>
        </w:rPr>
        <w:t>7.19</w:t>
      </w:r>
      <w:r>
        <w:rPr>
          <w:rFonts w:ascii="Times New Roman;sans-serif" w:hAnsi="Times New Roman;sans-serif"/>
          <w:b/>
          <w:color w:val="000000"/>
          <w:sz w:val="22"/>
        </w:rPr>
        <w:t>Acquisitions</w:t>
      </w:r>
      <w:r>
        <w:rPr>
          <w:rFonts w:ascii="Times New Roman;sans-serif" w:hAnsi="Times New Roman;sans-serif"/>
          <w:b w:val="false"/>
          <w:color w:val="000000"/>
          <w:sz w:val="22"/>
        </w:rPr>
        <w:t xml:space="preserve">. Consummate any Acquisition, unless (i) the Person to be (or whose assets are to be) acquired does not oppose such Acquisition and the material line or lines of business of the Person to be acquired are substantially the same as one or more line or lines of business conducted by the Company and its Subsidiaries, or substantially related or incidental thereto, (ii) no Default shall have occurred and be continuing either immediately prior to or immediately after giving effect to such Acquisition, (iii) [intentionally omitted]; (iv) if the aggregate Cost of Acquisition of such Acquisition is greater than $50,000,000, the Company shall have given thirty (30) days’ notice to the Administrative Agent stating the proposed date of such Acquisition and the expected Cost of Acquisition, (v) if the aggregate Cost of Acquisition of such Acquisition is greater than $115,000,000, (y) the Company shall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2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137</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have furnished to the Administrative Agent pro forma historical financial statements as of the end of the most recently completed fiscal year of the Company and most recent interim fiscal quarter, if applicable, giving effect to such Acquisition and all other Acquisitions consummated since such fiscal year end, and (z) the Company and its Subsidiaries shall be in Pro Forma Compliance after giving effect to such Acquisition, as evidenced by a Pro Forma Compliance Certificate, Pro Forma Revolving Borrowing Base Certificate and Pro Forma Used Vehicle Floorplan Borrowing Base Certificate delivered simultaneously with such pro forma historical financial statements, and (vi) the Person acquired shall be a wholly-owned Subsidiary, or be merged into the Company or a wholly-owned Subsidiary, immediately upon consummation of the Acquisition (or if assets are being acquired, the acquiror shall be the Company or a wholly-owned Subsidiary). Nothing in this Section 6.19 shall alter any obligation of the Company or any applicable Subsidiary, to comply with the provisions of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xml:space="preserve">, subject to any applicable grace period set forth in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xml:space="preserve">. Notwithstanding the delivery of any evidence of Pro Forma Compliance (including any Pro Forma Revolving Borrowing Base Certificate or Pro Forma Used Vehicle Floorplan Borrowing Base Certificate), the Revolving Borrowing Base or Used Vehicle Borrowing Base (as applicable) shall not change as a result of such Acquisition until such Acquisition actually occurs, and the Company and its Subsidiaries shall promptly notify the Administrative Agent when such Acquisition occurs or if the date of such Acquisition or the amount of such Cost of Acquisition has changed or is expected to change. </w:t>
      </w:r>
    </w:p>
    <w:p>
      <w:pPr>
        <w:pStyle w:val="TextBody"/>
        <w:spacing w:lineRule="auto" w:line="240" w:before="0" w:after="240"/>
        <w:ind w:left="0" w:right="0" w:firstLine="720"/>
        <w:jc w:val="both"/>
        <w:rPr/>
      </w:pPr>
      <w:r>
        <w:rPr>
          <w:rFonts w:ascii="Times New Roman;sans-serif" w:hAnsi="Times New Roman;sans-serif"/>
          <w:b/>
          <w:color w:val="000000"/>
          <w:sz w:val="22"/>
        </w:rPr>
        <w:t>7.20</w:t>
      </w:r>
      <w:r>
        <w:rPr>
          <w:rFonts w:ascii="Times New Roman;sans-serif" w:hAnsi="Times New Roman;sans-serif"/>
          <w:b/>
          <w:color w:val="000000"/>
          <w:sz w:val="22"/>
        </w:rPr>
        <w:t>Amendments of Organizational Documents</w:t>
      </w:r>
      <w:r>
        <w:rPr>
          <w:rFonts w:ascii="Times New Roman;sans-serif" w:hAnsi="Times New Roman;sans-serif"/>
          <w:b w:val="false"/>
          <w:color w:val="000000"/>
          <w:sz w:val="22"/>
        </w:rPr>
        <w:t>. Amend its Organizational Documents in a manner that could reasonably be expect to (a) impair the enforceability of any Loan Document in any material respect or the perfection or priority of any Lien created thereunder, (b) impair in any material respect its ability to perform its obligations under the Loan Documents or (c) otherwise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7.21</w:t>
      </w:r>
      <w:r>
        <w:rPr>
          <w:rFonts w:ascii="Times New Roman;sans-serif" w:hAnsi="Times New Roman;sans-serif"/>
          <w:b/>
          <w:color w:val="000000"/>
          <w:sz w:val="22"/>
        </w:rPr>
        <w:t>Sanctions</w:t>
      </w:r>
      <w:r>
        <w:rPr>
          <w:rFonts w:ascii="Times New Roman;sans-serif" w:hAnsi="Times New Roman;sans-serif"/>
          <w:b w:val="false"/>
          <w:color w:val="000000"/>
          <w:sz w:val="22"/>
        </w:rPr>
        <w:t>. Directly or indirectly, use the proceeds of any Credit Extension, or lend, contribute or otherwise make available such proceeds to any Subsidiary, joint venture partner or other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or otherwise) of Sanctions.</w:t>
      </w:r>
    </w:p>
    <w:p>
      <w:pPr>
        <w:pStyle w:val="TextBody"/>
        <w:spacing w:lineRule="auto" w:line="240" w:before="0" w:after="240"/>
        <w:ind w:left="0" w:right="0" w:firstLine="720"/>
        <w:jc w:val="both"/>
        <w:rPr/>
      </w:pPr>
      <w:r>
        <w:rPr>
          <w:rFonts w:ascii="Times New Roman;sans-serif" w:hAnsi="Times New Roman;sans-serif"/>
          <w:b/>
          <w:color w:val="000000"/>
          <w:sz w:val="22"/>
        </w:rPr>
        <w:t>7.22</w:t>
      </w:r>
      <w:r>
        <w:rPr>
          <w:rFonts w:ascii="Times New Roman;sans-serif" w:hAnsi="Times New Roman;sans-serif"/>
          <w:b/>
          <w:color w:val="000000"/>
          <w:sz w:val="22"/>
        </w:rPr>
        <w:t>Anti-Corruption Laws</w:t>
      </w:r>
      <w:r>
        <w:rPr>
          <w:rFonts w:ascii="Times New Roman;sans-serif" w:hAnsi="Times New Roman;sans-serif"/>
          <w:b w:val="false"/>
          <w:color w:val="000000"/>
          <w:sz w:val="22"/>
        </w:rPr>
        <w:t>. Directly or indirectly use the proceeds of any Credit Extension for any purpose which would breach the United States Foreign Corrupt Practices Act of 1977, the UK Bribery Act 2010, and other similar anti-corruption legislation in other jurisdictions.</w:t>
      </w:r>
    </w:p>
    <w:p>
      <w:pPr>
        <w:pStyle w:val="TextBody"/>
        <w:spacing w:lineRule="auto" w:line="240" w:before="0" w:after="240"/>
        <w:jc w:val="center"/>
        <w:rPr/>
      </w:pPr>
      <w:r>
        <w:rPr>
          <w:rFonts w:ascii="Times New Roman;sans-serif" w:hAnsi="Times New Roman;sans-serif"/>
          <w:b/>
          <w:color w:val="000000"/>
          <w:sz w:val="22"/>
        </w:rPr>
        <w:t>ARTICLE VIII.</w:t>
      </w:r>
      <w:r>
        <w:rPr>
          <w:color w:val="000000"/>
        </w:rPr>
        <w:t xml:space="preserve"> </w:t>
      </w:r>
      <w:r>
        <w:rPr>
          <w:rFonts w:ascii="Times New Roman;sans-serif" w:hAnsi="Times New Roman;sans-serif"/>
          <w:b/>
          <w:color w:val="000000"/>
          <w:sz w:val="22"/>
        </w:rPr>
        <w:t>EVENTS OF DEFAULT AND REMEDIES</w:t>
      </w:r>
    </w:p>
    <w:p>
      <w:pPr>
        <w:pStyle w:val="TextBody"/>
        <w:spacing w:lineRule="auto" w:line="240" w:before="0" w:after="240"/>
        <w:ind w:left="0" w:right="0" w:firstLine="720"/>
        <w:jc w:val="both"/>
        <w:rPr/>
      </w:pPr>
      <w:r>
        <w:rPr>
          <w:rFonts w:ascii="Times New Roman;sans-serif" w:hAnsi="Times New Roman;sans-serif"/>
          <w:b/>
          <w:color w:val="000000"/>
          <w:sz w:val="22"/>
        </w:rPr>
        <w:t>8.01</w:t>
      </w:r>
      <w:r>
        <w:rPr>
          <w:rFonts w:ascii="Times New Roman;sans-serif" w:hAnsi="Times New Roman;sans-serif"/>
          <w:b/>
          <w:color w:val="000000"/>
          <w:sz w:val="22"/>
        </w:rPr>
        <w:t>Revolving/Used Vehicle Events of Default</w:t>
      </w:r>
      <w:r>
        <w:rPr>
          <w:rFonts w:ascii="Times New Roman;sans-serif" w:hAnsi="Times New Roman;sans-serif"/>
          <w:b w:val="false"/>
          <w:color w:val="000000"/>
          <w:sz w:val="22"/>
        </w:rPr>
        <w:t>. Any of the following shall constitute a Revolving/Used Vehicle Event of Default (each a “</w:t>
      </w:r>
      <w:r>
        <w:rPr>
          <w:rFonts w:ascii="Times New Roman;sans-serif" w:hAnsi="Times New Roman;sans-serif"/>
          <w:b w:val="false"/>
          <w:color w:val="000000"/>
          <w:sz w:val="22"/>
          <w:u w:val="single"/>
        </w:rPr>
        <w:t>Revolving/Used Vehicle Event of Default</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Non-Payment</w:t>
      </w:r>
      <w:r>
        <w:rPr>
          <w:rFonts w:ascii="Times New Roman;sans-serif" w:hAnsi="Times New Roman;sans-serif"/>
          <w:b w:val="false"/>
          <w:color w:val="000000"/>
          <w:sz w:val="22"/>
        </w:rPr>
        <w:t>. Any Borrower or any other Loan Party fails to pay (i) when and as required to be paid herein, any amount of principal of any Used Vehicle Floorplan Loan or Revolving Loan or any L/C Obligation (except for any payment necessary to cure an Out of Balance condition (as to which reference is made to clause (m) below)), or (ii) within five (5) days after the same becomes due, any interest on any Used Vehicle Floorplan Loan or Revolving Loan or any L/C Obligation, or any fee due hereunder with respect to the Used Vehicle Floorplan Facility or the Revolving Credit Facility, or (iii) within five (5) days after the same becomes due, any other amount payable hereunder or under any other Loan Document with respect to either the Used Vehicle Floorplan Facility or the Revolving Credit Facility; or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The Company or any other Borrower fails to perform or observe any term, covenant or agreement contained in any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6.05</w:t>
      </w:r>
      <w:r>
        <w:rPr>
          <w:color w:val="000000"/>
        </w:rPr>
        <w:t xml:space="preserve"> </w:t>
      </w:r>
      <w:r>
        <w:rPr>
          <w:rFonts w:ascii="Times New Roman;sans-serif" w:hAnsi="Times New Roman;sans-serif"/>
          <w:b w:val="false"/>
          <w:color w:val="000000"/>
          <w:sz w:val="22"/>
        </w:rPr>
        <w:t xml:space="preserve">(as it relates to maintenance of existence), </w:t>
      </w:r>
      <w:r>
        <w:rPr>
          <w:rFonts w:ascii="Times New Roman;sans-serif" w:hAnsi="Times New Roman;sans-serif"/>
          <w:b w:val="false"/>
          <w:color w:val="000000"/>
          <w:sz w:val="22"/>
          <w:u w:val="single"/>
        </w:rPr>
        <w:t>6.10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or</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Other Defaults</w:t>
      </w:r>
      <w:r>
        <w:rPr>
          <w:rFonts w:ascii="Times New Roman;sans-serif" w:hAnsi="Times New Roman;sans-serif"/>
          <w:b w:val="false"/>
          <w:color w:val="000000"/>
          <w:sz w:val="22"/>
        </w:rPr>
        <w:t xml:space="preserve">. Any Loan Party fails to perform or observe any other covenant or agreement (not specified in subsection (a) or (b) above) contained in any Loan Document on its part to be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3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performed or observed and such failure continues for thirty (30) days after the giving of written notice to such Loan Party specifying the alleged default; or</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(i) The Company or any Subsidiary (other than a Specified Insurance Subsidiary or any Designated Escrow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(other than a Specified Insurance Subsidiary) is an Affected Party (as so defined) and, in either event, the Swap Termination Value owed by the Company or such Subsidiary as a result thereof is greater than the Threshold Amount; or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Insolvency Proceedings, Etc.</w:t>
      </w:r>
      <w:r>
        <w:rPr>
          <w:color w:val="000000"/>
        </w:rPr>
        <w:t xml:space="preserve"> </w:t>
      </w:r>
      <w:r>
        <w:rPr>
          <w:rFonts w:ascii="Times New Roman;sans-serif" w:hAnsi="Times New Roman;sans-serif"/>
          <w:b w:val="false"/>
          <w:color w:val="000000"/>
          <w:sz w:val="22"/>
        </w:rPr>
        <w:t>Any Loan Party or any of its Restricted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Inability to Pay Debts; Attachment</w:t>
      </w:r>
      <w:r>
        <w:rPr>
          <w:rFonts w:ascii="Times New Roman;sans-serif" w:hAnsi="Times New Roman;sans-serif"/>
          <w:b w:val="false"/>
          <w:color w:val="000000"/>
          <w:sz w:val="22"/>
        </w:rPr>
        <w:t>. (i) The Company or any Subsidiary (other than a Specified Insurance Subsidiary or a Designated Escrow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There shall be entered against the Company or any of its Subsidiaries (other than the Specified Insurance Subsidiaries or a Designated Escrow Subsidiary) (i) one or more judgments or decrees in excess of the Threshold Amount in the aggregate at any one time outstanding for the Company and all its Subsidiaries (other than a Specified Insurance Subsidiaries)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60 consecutive days during which such judgment is not satisfied and a stay of enforcement of such judgment, by reason of a pending appeal or otherwise, is not in effect, excluding (in the case of clause (i)) those judgments or decrees for which and to the extent that the Company or any such Subsidiary is insured and with respect to which the insurer has not contested or denied responsibility in writing (subject to usual deductibles); or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3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(i) An ERISA Event occurs with respect to a Pension Plan, Multiemployer Plan or Multiple Employer Plan which has resulted or could reasonably be expected to result in liability of the Company under Title IV of ERISA to the Pension Plan, Multiemployer Plan, Multiple 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Invalidity of Loan Documents</w:t>
      </w:r>
      <w:r>
        <w:rPr>
          <w:rFonts w:ascii="Times New Roman;sans-serif" w:hAnsi="Times New Roman;sans-serif"/>
          <w:b w:val="false"/>
          <w:color w:val="000000"/>
          <w:sz w:val="22"/>
        </w:rPr>
        <w:t xml:space="preserve">. (i) Any Loan Document, at any time after its execution and delivery and for any reason other than as expressly permitted hereunder or thereunder or satisfaction in full of all the Obligations, ceases to be in full force and effect; or (ii) any Security Instrument shall for any reason (other than pursuant to the terms thereof or as a result of the failure of the Administrative Agent or the Lenders to file UCC financing statements or UCC continuation statements) cease to create a valid security interest in the Collateral purported to be covered thereby or such security interest shall for any reason cease to be a perfected security interest with the priority provided therefor in such Security Instrument subject only to those Liens permitted by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There occurs any Change of Control; or</w:t>
      </w:r>
    </w:p>
    <w:p>
      <w:pPr>
        <w:pStyle w:val="TextBody"/>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Franchise Agreements and Framework Agreements</w:t>
      </w:r>
      <w:r>
        <w:rPr>
          <w:rFonts w:ascii="Times New Roman;sans-serif" w:hAnsi="Times New Roman;sans-serif"/>
          <w:b w:val="false"/>
          <w:color w:val="000000"/>
          <w:sz w:val="22"/>
        </w:rPr>
        <w:t xml:space="preserve">. (i) Any Franchise Agreement or Framework Agreement is terminated or suspended or expires and a replacement for such Franchise Agreement or Framework Agreement is not entered into within 30 days of such termination, suspension or expiration, (ii) there occurs a default by any Person in the performance or observance of any term of any Franchise Agreement or Framework Agreement which is not cured within any applicable cure period therein, or (iii) there occurs any change in any Franchise Agreement or Framework Agreement, except in each case referred to in clauses (i), (ii) and (iii) to the extent such termination, suspension, expiration, default or change (either individually or in the aggregate) could not reasonably be expected to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a Franchise Agreement expires in accordance with its terms, if and for so long as the respective dealership Subsidiary and manufacturer or distributor are negotiating in good faith to renew such Franchise Agreement, and the respective manufacturer or distributor has not taken (and is not reasonably expected to take) any action to terminate such Franchise Agreement, such expiration shall not by itself be considered a Revolving/Used Vehicle Event of Default under this </w:t>
      </w:r>
      <w:r>
        <w:rPr>
          <w:rFonts w:ascii="Times New Roman;sans-serif" w:hAnsi="Times New Roman;sans-serif"/>
          <w:b w:val="false"/>
          <w:color w:val="000000"/>
          <w:sz w:val="22"/>
          <w:u w:val="single"/>
        </w:rPr>
        <w:t>Section 8.01(l)</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Out of Balance</w:t>
      </w:r>
      <w:r>
        <w:rPr>
          <w:rFonts w:ascii="Times New Roman;sans-serif" w:hAnsi="Times New Roman;sans-serif"/>
          <w:b w:val="false"/>
          <w:color w:val="000000"/>
          <w:sz w:val="22"/>
        </w:rPr>
        <w:t xml:space="preserve">. An audit performed by the Administrative Agent or New Vehicle Floorplan Swing Line Lender pursuant to the provisions of </w:t>
      </w:r>
      <w:r>
        <w:rPr>
          <w:rFonts w:ascii="Times New Roman;sans-serif" w:hAnsi="Times New Roman;sans-serif"/>
          <w:b w:val="false"/>
          <w:color w:val="000000"/>
          <w:sz w:val="22"/>
          <w:u w:val="single"/>
        </w:rPr>
        <w:t>Section 6.10</w:t>
      </w:r>
      <w:r>
        <w:rPr>
          <w:color w:val="000000"/>
        </w:rPr>
        <w:t xml:space="preserve"> </w:t>
      </w:r>
      <w:r>
        <w:rPr>
          <w:rFonts w:ascii="Times New Roman;sans-serif" w:hAnsi="Times New Roman;sans-serif"/>
          <w:b w:val="false"/>
          <w:color w:val="000000"/>
          <w:sz w:val="22"/>
        </w:rPr>
        <w:t>reveals that any Vehicle of any Borrower securing the Obligations has been Out of Balance, and such Out of Balance condition either (i) (individually or in the aggregate) has had or could reasonably be expected to have a Material Adverse Effect or (ii) continues for thirty (30) days following notice from the Administrative Agent to the Company thereof; or</w:t>
      </w:r>
    </w:p>
    <w:p>
      <w:pPr>
        <w:pStyle w:val="TextBody"/>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New Vehicle Event of Default</w:t>
      </w:r>
      <w:r>
        <w:rPr>
          <w:rFonts w:ascii="Times New Roman;sans-serif" w:hAnsi="Times New Roman;sans-serif"/>
          <w:b w:val="false"/>
          <w:color w:val="000000"/>
          <w:sz w:val="22"/>
        </w:rPr>
        <w:t>. A New Vehicle Event of Default shall occur and be continuing.</w:t>
      </w:r>
    </w:p>
    <w:p>
      <w:pPr>
        <w:pStyle w:val="TextBody"/>
        <w:spacing w:lineRule="auto" w:line="240" w:before="0" w:after="240"/>
        <w:ind w:left="0" w:right="0" w:firstLine="720"/>
        <w:jc w:val="both"/>
        <w:rPr/>
      </w:pPr>
      <w:r>
        <w:rPr>
          <w:rFonts w:ascii="Times New Roman;sans-serif" w:hAnsi="Times New Roman;sans-serif"/>
          <w:b/>
          <w:color w:val="000000"/>
          <w:sz w:val="22"/>
        </w:rPr>
        <w:t>8.02</w:t>
      </w:r>
      <w:r>
        <w:rPr>
          <w:rFonts w:ascii="Times New Roman;sans-serif" w:hAnsi="Times New Roman;sans-serif"/>
          <w:b/>
          <w:color w:val="000000"/>
          <w:sz w:val="22"/>
        </w:rPr>
        <w:t>Remedies Upon Revolving/Used Vehicle Event of Default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If any Revolving/Used Vehicle Event of Default occurs and is continuing, the Administrative Agent shall, at the request of, or may, with the consent of, the Required Lenders, take any or all of the following actions: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(i)declare the commitment of each Revolving Lender to make Revolving Loans and any obligation of any L/C Issuer to make L/C Credit Extensions to be terminated, whereupon such commitments and obligation shall be terminated;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(ii)declare the commitment of each Used Vehicle Floorplan Lender to make Used Vehicle Floorplan Loans to be terminated, whereupon such commitments and obligation shall be terminated;</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3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140</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(iii)declare the unpaid principal amount of all outstanding Revolving Loans, all interest accrued and unpaid thereon, and all other amounts owing or payable hereunder or under any other Loan Document with respect to the Revolving Credit Facility to be immediately due and payable, without presentment, demand, protest or other notice of any kind, all of which are hereby expressly waived by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(iv)declare the unpaid principal amount of all outstanding Used Vehicle Floorplan Loans, all interest accrued and unpaid thereon, and all other amounts owing or payable hereunder or under any other Loan Document with respect to the Used Vehicle Floorplan Facility to be immediately due and payable, without presentment, demand, protest or other notice of any kind, all of which are hereby expressly waived by the Company;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(v)require that the Company Cash Collateralize the L/C Obligations (in an amount equal to the then Outstanding Amount thereof);</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(vi)exercise on behalf of itself, the Revolving Lenders and the L/C Issuers all rights and remedies available to it, the Revolving Lenders and the L/C Issuers under the Loan Documents;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(vii)exercise on behalf of itself and the Used Vehicle Floorplan Lenders all rights and remedies available to it and the Used Vehicle Floorplan Lenders under the Loan Documents;</w:t>
      </w:r>
    </w:p>
    <w:p>
      <w:pPr>
        <w:pStyle w:val="TextBody"/>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upon the occurrence of an actual or deemed entry of an order for relief with respect to any Borrower under the Bankruptcy Code of the United States, the obligation of each Revolving Lender and each Used Vehicle Floorplan Lender to make Revolving Loans and Used Vehicle Floorplan Loans, as applicable, and any obligation of each L/C Issuer to make L/C Credit Extensions shall automatically terminate and the unpaid principal amount of all outstanding Revolving Loans and Used Vehicle Floorplan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any Revolving Lender or any Used Vehicle Floorplan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Notwithstanding the above, with respect to a Revolving/Used Vehicle Event of Default described in </w:t>
      </w:r>
      <w:r>
        <w:rPr>
          <w:rFonts w:ascii="Times New Roman;sans-serif" w:hAnsi="Times New Roman;sans-serif"/>
          <w:b w:val="false"/>
          <w:color w:val="000000"/>
          <w:sz w:val="22"/>
          <w:u w:val="single"/>
        </w:rPr>
        <w:t>Section 8.01(n)</w:t>
      </w:r>
      <w:r>
        <w:rPr>
          <w:rFonts w:ascii="Times New Roman;sans-serif" w:hAnsi="Times New Roman;sans-serif"/>
          <w:b w:val="false"/>
          <w:color w:val="000000"/>
          <w:sz w:val="22"/>
        </w:rPr>
        <w:t xml:space="preserve">, if such is caused solely by the occurrence of a single Event of Default occurring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and affects only one New Vehicle Borrower and no other Event of Default has occurred and is continuing, the Administrative Agent shall not be entitled to accelerate the Revolving Credit Facility or the Used Vehicle Floorplan Facility for a period of thirty (30) days from the date of such Revolving/Used Vehicle Event of Default.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 addition to the foregoing, if any Revolving/Used Vehicle Event of Default occurs and is continuing, the Administrative Agent shall, at the request of, or may, with the consent of, the Required Lenders take any or all of the following actions: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(i)foreclose upon, take possession of, or otherwise exercise any remedies available to it under any Security Instrument with respect to, any of the Collateral,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(ii)take any action to perfect or preserve the rights of the Administrative Agent with respect to any Collateral, including filing any appropriate claim or document with respect to any Collateral in any proceeding under any Debtor Relief Law.</w:t>
      </w:r>
    </w:p>
    <w:p>
      <w:pPr>
        <w:pStyle w:val="TextBody"/>
        <w:spacing w:lineRule="auto" w:line="240" w:before="0" w:after="240"/>
        <w:ind w:left="0" w:right="0" w:firstLine="720"/>
        <w:jc w:val="both"/>
        <w:rPr/>
      </w:pPr>
      <w:r>
        <w:rPr>
          <w:rFonts w:ascii="Times New Roman;sans-serif" w:hAnsi="Times New Roman;sans-serif"/>
          <w:b/>
          <w:color w:val="000000"/>
          <w:sz w:val="22"/>
        </w:rPr>
        <w:t>8.03</w:t>
      </w:r>
      <w:r>
        <w:rPr>
          <w:rFonts w:ascii="Times New Roman;sans-serif" w:hAnsi="Times New Roman;sans-serif"/>
          <w:b/>
          <w:color w:val="000000"/>
          <w:sz w:val="22"/>
        </w:rPr>
        <w:t>New Vehicle Events of Default</w:t>
      </w:r>
      <w:r>
        <w:rPr>
          <w:rFonts w:ascii="Times New Roman;sans-serif" w:hAnsi="Times New Roman;sans-serif"/>
          <w:b w:val="false"/>
          <w:color w:val="000000"/>
          <w:sz w:val="22"/>
        </w:rPr>
        <w:t>. Any of the following shall constitute a New Vehicle Event of Default in respect of any one or more New Vehicle Borrowers (each, a “</w:t>
      </w:r>
      <w:r>
        <w:rPr>
          <w:rFonts w:ascii="Times New Roman;sans-serif" w:hAnsi="Times New Roman;sans-serif"/>
          <w:b w:val="false"/>
          <w:color w:val="000000"/>
          <w:sz w:val="22"/>
          <w:u w:val="single"/>
        </w:rPr>
        <w:t>New Vehicle Event of Default</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Non-Payment</w:t>
      </w:r>
      <w:r>
        <w:rPr>
          <w:rFonts w:ascii="Times New Roman;sans-serif" w:hAnsi="Times New Roman;sans-serif"/>
          <w:b w:val="false"/>
          <w:color w:val="000000"/>
          <w:sz w:val="22"/>
        </w:rPr>
        <w:t xml:space="preserve">. (i) Any Borrower or any other Loan Party fails to pay (A) when and as required to be paid herein, any amount of principal of any New Vehicle Floorplan Loan or any New Vehicle Floorplan Overdraft (except for any payment necessary to cure an Out of Balance condition (as to which reference is made to clause (ii) below)), or (B) within five (5) days after the same becomes due,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3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interest on any New Vehicle Floorplan Loan, or any fee due hereunder with respect to the New Vehicle Floorplan Facility, or (C) within five days after the same becomes due, any other amount payable hereunder or under any other Loan Document with respect to the New Vehicle Floorplan Facility, or (ii) the Company shall fail to cure any Out of Balance condition, which condition shall remain unremedied for a period of four (4) Business Days following notice thereof by the Administrative Agent or New Vehicle Floorplan Swing Line Lender to the Company; or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The Company fails to perform or observe any term, covenant or agreement contained in </w:t>
      </w:r>
      <w:r>
        <w:rPr>
          <w:rFonts w:ascii="Times New Roman;sans-serif" w:hAnsi="Times New Roman;sans-serif"/>
          <w:b w:val="false"/>
          <w:color w:val="000000"/>
          <w:sz w:val="22"/>
          <w:u w:val="single"/>
        </w:rPr>
        <w:t>Section 7.11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Other Defaults</w:t>
      </w:r>
      <w:r>
        <w:rPr>
          <w:rFonts w:ascii="Times New Roman;sans-serif" w:hAnsi="Times New Roman;sans-serif"/>
          <w:b w:val="false"/>
          <w:color w:val="000000"/>
          <w:sz w:val="22"/>
        </w:rPr>
        <w:t>. Any Loan Party fails to perform or observe any other covenant or agreement (not specified in subsection (a) or (b) above) contained in any Loan Document on its part to be performed or observed and such failure continues for thirty (30) days after the giving of written notice to such Loan Party specifying the alleged default; or</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Revolving/Used Vehicle Event of Default</w:t>
      </w:r>
      <w:r>
        <w:rPr>
          <w:rFonts w:ascii="Times New Roman;sans-serif" w:hAnsi="Times New Roman;sans-serif"/>
          <w:b w:val="false"/>
          <w:color w:val="000000"/>
          <w:sz w:val="22"/>
        </w:rPr>
        <w:t>. (i) A Revolving/Used Vehicle Event of Default which has not been cured or waived within thirty (30) days of the occurrence of such Revolving/Used Vehicle Event of Default, (ii) repayment of amounts outstanding under the Revolving Credit Facility or the Used Vehicle Floorplan Facility shall be accelerated, or (iii) the Company shall fail to pay any principal, interest or fees due under the Revolving Credit Facility or the Used Vehicle Floorplan Facility within thirty (30) days of the due date; or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(i) The Company or any New Vehicle Borrower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New Vehicle Borrower is the Defaulting Party (as defined in such Swap Contract) or (B) any Termination Event (as so defined) under such Swap Contract as to which the Company or any New Vehicle Borrower is an Affected Party (as so defined) and, in either event, the Swap Termination Value owed by the Company or such New Vehicle Borrower as a result thereof is greater than the Threshold Amount; or</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Insolvency Proceedings, Etc.</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Company or any New Vehicle Borrower shall (A) voluntarily commence any proceeding or file any petition seeking relief under Title 11 of the United States Code or any other federal, state or foreign bankruptcy, insolvency, liquidation or similar law, (B) consent to the institution of, or fail to contravene in a timely and appropriate manner to any such proceeding or the filing of any such petition, (C) apply for or consent to the appointment of a receiver, trustee, custodian, sequestrator or similar official for such Person or for a substantial part of such Person’s property or assets, (D) file an answer admitting the material allegations of a petition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3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filed against it in any such proceeding, (E) make a general assignment for the benefit of creditors, or (F) become unable, admit in writing its inability or fail generally to pay its debts as they become due;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(ii)an involuntary proceeding shall be commenced or an involuntary petition shall be filed in a court of competent jurisdiction seeking (a) relief in respect of the Company or any New Vehicle Borrower, or of a substantial part of the property or assets of any such Person, under Title 11 of the United States Code or any other federal, state or foreign bankruptcy, insolvency, receivership or similar law, (B) the appointment of a receiver, trustee, custodian, sequestrator or similar official for any such Person or for a substantial part of the property of any such Person or (C) the winding-up or liquidation of any such Person; and such proceeding or petition shall continue undismissed for sixty (60) days or an order or decree approving or ordering any of the foregoing shall continue unstayed and in effect for sixty (60) days; or</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Inability to Pay Debts; Attachment</w:t>
      </w:r>
      <w:r>
        <w:rPr>
          <w:rFonts w:ascii="Times New Roman;sans-serif" w:hAnsi="Times New Roman;sans-serif"/>
          <w:b w:val="false"/>
          <w:color w:val="000000"/>
          <w:sz w:val="22"/>
        </w:rPr>
        <w:t>. (i) The Company or any New Vehicle Borrower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There shall be entered against the Company or any of New Vehicle Borrower (i) one or more judgments or decrees in excess of the Threshold Amount in the aggregate at any one time outstanding for the Company and all its Subsidiaries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60 consecutive days during which a stay of enforcement of such judgment, by reason of a pending appeal or otherwise, is not in effect, excluding (in the case of clause (i)) those judgments or decrees for which, and to the extent that, the Company or any such Subsidiary is insured and with respect to which the insurer has not contested or denied in writing (subject to usual deductibles); or</w:t>
      </w:r>
    </w:p>
    <w:p>
      <w:pPr>
        <w:pStyle w:val="TextBody"/>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Franchise Agreements and Framework Agreement</w:t>
      </w:r>
      <w:r>
        <w:rPr>
          <w:rFonts w:ascii="Times New Roman;sans-serif" w:hAnsi="Times New Roman;sans-serif"/>
          <w:b w:val="false"/>
          <w:color w:val="000000"/>
          <w:sz w:val="22"/>
        </w:rPr>
        <w:t xml:space="preserve">. With respect to the Company or any New Vehicle Borrower, (i) any Franchise Agreement or Framework Agreement of the Company or such New Vehicle Borrower is terminated or suspended or expires and a replacement for such Franchise Agreement or Framework Agreement is not entered into within thirty (30) days of such termination, suspension or expiration; or (ii) there occurs a default by any Person in the performance or observance of any term of any Franchise Agreement or Framework Agreement which is not cured within any applicable cure period therein, except in each case referred to in clauses (i) and (ii) to the extent such termination, suspension, expiration, or default (either individually or in the aggregate) could not reasonably be expected to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a Franchise Agreement expires in accordance with its terms, if and for so long as the respective dealership Subsidiary and manufacturer or distributor are negotiating in good faith to renew such Franchise Agreement, and the respective manufacturer or distributor has not taken (and is not reasonably expected to take) any action to terminate such Franchise Agreement, such expiration shall not by itself be considered a New Vehicle Event of Default under this </w:t>
      </w:r>
      <w:r>
        <w:rPr>
          <w:rFonts w:ascii="Times New Roman;sans-serif" w:hAnsi="Times New Roman;sans-serif"/>
          <w:b w:val="false"/>
          <w:color w:val="000000"/>
          <w:sz w:val="22"/>
          <w:u w:val="single"/>
        </w:rPr>
        <w:t>Section 8.03(j)</w:t>
      </w:r>
      <w:r>
        <w:rPr>
          <w:rFonts w:ascii="Times New Roman;sans-serif" w:hAnsi="Times New Roman;sans-serif"/>
          <w:b w:val="false"/>
          <w:color w:val="000000"/>
          <w:sz w:val="22"/>
        </w:rPr>
        <w:t>; or</w:t>
      </w:r>
    </w:p>
    <w:p>
      <w:pPr>
        <w:pStyle w:val="TextBody"/>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Invalidity of Loan Documents and Collateral</w:t>
      </w:r>
      <w:r>
        <w:rPr>
          <w:rFonts w:ascii="Times New Roman;sans-serif" w:hAnsi="Times New Roman;sans-serif"/>
          <w:b w:val="false"/>
          <w:color w:val="000000"/>
          <w:sz w:val="22"/>
        </w:rPr>
        <w:t xml:space="preserve">. (i) Any Loan Document with respect to the Company or any New Vehicle Borrower, at any time after its execution and delivery and for any reason other than as expressly permitted hereunder or thereunder or satisfaction in full of all the Obligations, ceases to be in full force and effect; or (ii) any Security Instrument shall for any reason (other than pursuant to the terms thereof) cease to create a valid security interest in the Collateral purported to be covered thereby or such security interest shall for any reason cease to be a perfected and first priority security interest subject only to those Liens permitted by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color w:val="000000"/>
          <w:sz w:val="22"/>
        </w:rPr>
        <w:t>8.04</w:t>
      </w:r>
      <w:r>
        <w:rPr>
          <w:rFonts w:ascii="Times New Roman;sans-serif" w:hAnsi="Times New Roman;sans-serif"/>
          <w:b/>
          <w:color w:val="000000"/>
          <w:sz w:val="22"/>
        </w:rPr>
        <w:t>Remedies Upon New Vehicle Event of Default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Upon the occurrence and during the continuance of a New Vehicle Event of Default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 xml:space="preserve">(j) </w:t>
      </w:r>
      <w:r>
        <w:rPr>
          <w:rFonts w:ascii="Times New Roman;sans-serif" w:hAnsi="Times New Roman;sans-serif"/>
          <w:b w:val="false"/>
          <w:color w:val="000000"/>
          <w:sz w:val="22"/>
        </w:rPr>
        <w:t>or</w:t>
      </w:r>
      <w:r>
        <w:rPr>
          <w:color w:val="000000"/>
          <w:u w:val="single"/>
        </w:rPr>
        <w:t xml:space="preserve"> </w:t>
      </w:r>
      <w:r>
        <w:rPr>
          <w:rFonts w:ascii="Times New Roman;sans-serif" w:hAnsi="Times New Roman;sans-serif"/>
          <w:b w:val="false"/>
          <w:color w:val="000000"/>
          <w:sz w:val="22"/>
          <w:u w:val="single"/>
        </w:rPr>
        <w:t>(k)</w:t>
      </w:r>
      <w:r>
        <w:rPr>
          <w:color w:val="000000"/>
        </w:rPr>
        <w:t xml:space="preserve"> </w:t>
      </w:r>
      <w:r>
        <w:rPr>
          <w:rFonts w:ascii="Times New Roman;sans-serif" w:hAnsi="Times New Roman;sans-serif"/>
          <w:b w:val="false"/>
          <w:color w:val="000000"/>
          <w:sz w:val="22"/>
        </w:rPr>
        <w:t xml:space="preserve">with respect to the Company or any New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3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Vehicle Borrower, the Administrative Agent may, and at the direction of the Required Lenders, shall: (i) (A) make no further New Vehicle Floorplan Loans to such New Vehicle Borrower or (in the case of any New Vehicle Event of Default under </w:t>
      </w:r>
      <w:r>
        <w:rPr>
          <w:rFonts w:ascii="Times New Roman;sans-serif" w:hAnsi="Times New Roman;sans-serif"/>
          <w:b w:val="false"/>
          <w:color w:val="000000"/>
          <w:sz w:val="22"/>
          <w:u w:val="single"/>
        </w:rPr>
        <w:t>Section 8.03(g)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 xml:space="preserve">with respect to the Company) any New Vehicle Borrower during the continuance of such New Vehicle Event of Default and (B) the Administrative Agent and the New Vehicle Floorplan Swing Line Lender, upon three (3) days prior notice to the Company before the first debit, may initiate automatic debits from all such accounts of the Company or such New Vehicle Borrower in order to pay sums due under any New Vehicle Floorplan Loans of the Company or such New Vehicle Borrower. Notwithstanding the foregoing, the Lenders shall continue to make New Vehicle Floorplan Loans available to the Company and all New Vehicle Borrowers with respect to which no New Vehicle Event of Default has occurred unless otherwise provided in </w:t>
      </w:r>
      <w:r>
        <w:rPr>
          <w:rFonts w:ascii="Times New Roman;sans-serif" w:hAnsi="Times New Roman;sans-serif"/>
          <w:b w:val="false"/>
          <w:color w:val="000000"/>
          <w:sz w:val="22"/>
          <w:u w:val="single"/>
        </w:rPr>
        <w:t>Section 8.04(c)</w:t>
      </w:r>
      <w:r>
        <w:rPr>
          <w:color w:val="000000"/>
        </w:rPr>
        <w:t xml:space="preserve"> </w:t>
      </w:r>
      <w:r>
        <w:rPr>
          <w:rFonts w:ascii="Times New Roman;sans-serif" w:hAnsi="Times New Roman;sans-serif"/>
          <w:b w:val="false"/>
          <w:color w:val="000000"/>
          <w:sz w:val="22"/>
        </w:rPr>
        <w:t>below.</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Upon the occurrence and during the continuance of a New Vehicle Event of Default under </w:t>
      </w:r>
      <w:r>
        <w:rPr>
          <w:rFonts w:ascii="Times New Roman;sans-serif" w:hAnsi="Times New Roman;sans-serif"/>
          <w:b w:val="false"/>
          <w:color w:val="000000"/>
          <w:sz w:val="22"/>
          <w:u w:val="single"/>
        </w:rPr>
        <w:t>Section 8.03(e)</w:t>
      </w:r>
      <w:r>
        <w:rPr>
          <w:color w:val="000000"/>
        </w:rPr>
        <w:t xml:space="preserve"> </w:t>
      </w:r>
      <w:r>
        <w:rPr>
          <w:rFonts w:ascii="Times New Roman;sans-serif" w:hAnsi="Times New Roman;sans-serif"/>
          <w:b w:val="false"/>
          <w:color w:val="000000"/>
          <w:sz w:val="22"/>
        </w:rPr>
        <w:t xml:space="preserve">above, the Applicable Rate for all New Vehicle Floorplan Loans made to all New Vehicle Borrowers during the thirty (30) day period referred to therein shall increase by two percent (2%), such increase to occur (i) automatically if such New Vehicle Event of Default is the result of a failure on the part of the Borrowers to pay the principal amount of any Revolving Loan or Used Vehicle Floorplan Loan when due, or (ii) upon the request of the Required Lenders in the case of any other such New Vehicle Event of Default.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Immediately upon the occurrence of a New Vehicle Event of Default under </w:t>
      </w:r>
      <w:r>
        <w:rPr>
          <w:rFonts w:ascii="Times New Roman;sans-serif" w:hAnsi="Times New Roman;sans-serif"/>
          <w:b w:val="false"/>
          <w:color w:val="000000"/>
          <w:sz w:val="22"/>
          <w:u w:val="single"/>
        </w:rPr>
        <w:t>Section 8.03(e)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or thirty (30) days after the occurrence of any New Vehicle Event of Default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(j)</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(k)</w:t>
      </w:r>
      <w:r>
        <w:rPr>
          <w:color w:val="000000"/>
        </w:rPr>
        <w:t xml:space="preserve"> </w:t>
      </w:r>
      <w:r>
        <w:rPr>
          <w:rFonts w:ascii="Times New Roman;sans-serif" w:hAnsi="Times New Roman;sans-serif"/>
          <w:b w:val="false"/>
          <w:color w:val="000000"/>
          <w:sz w:val="22"/>
        </w:rPr>
        <w:t xml:space="preserve">that is continuing, or immediately upon the occurrence of a second, concurrent New Vehicle Event of Default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(j)</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(k)</w:t>
      </w:r>
      <w:r>
        <w:rPr>
          <w:color w:val="000000"/>
        </w:rPr>
        <w:t xml:space="preserve"> </w:t>
      </w:r>
      <w:r>
        <w:rPr>
          <w:rFonts w:ascii="Times New Roman;sans-serif" w:hAnsi="Times New Roman;sans-serif"/>
          <w:b w:val="false"/>
          <w:color w:val="000000"/>
          <w:sz w:val="22"/>
        </w:rPr>
        <w:t xml:space="preserve">(unless otherwise permitted by the New Vehicle Floorplan Swing Line Lender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no further New Vehicle Floorplan Loans shall be made to any New Vehicle Borrower and the Administrative Agent may, and at the request of the Required Lenders shall, by written or facsimile notice to the Company, take any of the following actions at the same or different times: (w) declare the commitment of each Lender to make New Vehicle Floorplan Loans to be terminated, whereupon such commitments and obligation shall be terminated and any such termination shall automatically terminate the New Vehicle Floorplan Swing Line, (x) declare the unpaid principal amount of all outstanding New Vehicle Floorplan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(y) exercise on behalf of itself and the Lenders all rights and remedies available to it and the Lenders under the Loan Documents and (ii) the New Vehicle Floorplan Swing Line Lender in its sole discretion may suspend and terminate all Payment Commitments and Payoff Letter Commitments, (iii) to the extent the New Vehicle Floorplan Swing Line Lender determines that such suspension and termination is permitted by the terms of such Payment Commitments and Payoff Letter Commitments) the New Vehicle Floorplan Swing Line Lender shall, at the request of the Required Lenders, suspend and terminate any or all of the Payment Commitments and Payoff Letter Commitments, and (iv) the Administrative Agent shall have all remedies available to it at law or in equity or as contained in any of the Loan Documents;</w:t>
      </w:r>
    </w:p>
    <w:p>
      <w:pPr>
        <w:pStyle w:val="TextBody"/>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upon the occurrence of an actual or deemed entry of an order for relief with respect to the Company under the Bankruptcy Code of the United States, the obligation of each New Vehicle Lender to make New Vehicle Floorplan Loans shall automatically terminate, the unpaid principal amount of all outstanding Loans and all interest and other amounts as aforesaid shall automatically become due and payable, in each case without further act of the Administrative Agent or any Lender; and</w:t>
      </w:r>
    </w:p>
    <w:p>
      <w:pPr>
        <w:pStyle w:val="TextBody"/>
        <w:spacing w:lineRule="auto" w:line="240" w:before="0" w:after="240"/>
        <w:jc w:val="both"/>
        <w:rPr/>
      </w:pP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upon the occurrence of an actual or deemed entry of an order for relief with respect to any New Vehicle Borrower under the Bankruptcy Code of the United States, the obligation of each New Vehicle Floorplan Lender to make New Vehicle Floorplan Loans to such New Vehicle Borrower shall automatically terminate, the unpaid principal amount of all outstanding New Vehicle Floorplan Loans made to such New Vehicle Borrower and all interest and with respect thereto shall automatically become due and payable, in each case without further act of the Administrative Agent or any New Vehicle Floorplan Lender.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144</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In addition to the foregoing, if any New Vehicle Event of Default occurs and is continuing, the Administrative Agent shall, at the request of, or may, with the consent of, the Required Lenders take any or all of the following actions: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(i)foreclose upon, take possession of, or otherwise exercise any remedies available to it under any Security Instrument with respect to, any of the Collateral,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(ii)take any action to perfect or preserve the rights of the Administrative Agent with respect to any Collateral, including filing any appropriate claim or document with respect to any Collateral in any proceeding under any Debtor Relief Law.</w:t>
      </w:r>
    </w:p>
    <w:p>
      <w:pPr>
        <w:pStyle w:val="TextBody"/>
        <w:spacing w:lineRule="auto" w:line="240" w:before="0" w:after="240"/>
        <w:ind w:left="0" w:right="0" w:firstLine="720"/>
        <w:jc w:val="both"/>
        <w:rPr/>
      </w:pPr>
      <w:r>
        <w:rPr>
          <w:rFonts w:ascii="Times New Roman;sans-serif" w:hAnsi="Times New Roman;sans-serif"/>
          <w:b/>
          <w:color w:val="000000"/>
          <w:sz w:val="22"/>
        </w:rPr>
        <w:t>8.05</w:t>
      </w:r>
      <w:r>
        <w:rPr>
          <w:rFonts w:ascii="Times New Roman;sans-serif" w:hAnsi="Times New Roman;sans-serif"/>
          <w:b/>
          <w:color w:val="000000"/>
          <w:sz w:val="22"/>
        </w:rPr>
        <w:t>Overdrawing of New Vehicle Floorplan Loans</w:t>
      </w:r>
      <w:r>
        <w:rPr>
          <w:rFonts w:ascii="Times New Roman;sans-serif" w:hAnsi="Times New Roman;sans-serif"/>
          <w:b w:val="false"/>
          <w:color w:val="000000"/>
          <w:sz w:val="22"/>
        </w:rPr>
        <w:t xml:space="preserve">. If at any time the aggregate outstanding principal amount of all (i) New Vehicle Floorplan Loans (including New Vehicle Floorplan Swing Line Loans and any outstanding New Vehicle Floorplan Overdraft),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Requests for Borrowings of New Vehicle Floorplan Loans (including requests pursuant to Payment Commitments), exceeds (a) 110% of the Aggregate New Vehicle Floorplan Commitments and such condition exists for five (5) consecutive days or (b) the Aggregate New Vehicle Floorplan Commitments by any amount for fifteen (15) days out of any 30-day period, then, in such event, the New Vehicle Floorplan Swing Line Lender acting in its sole discretion may, and upon election of the Required Lenders shall, (y) take any and all actions reasonably necessary to suspend and/or terminate Payment Commitments and Payoff Letter Commitments and (z) elect by written notice to the Company to terminate the Aggregate New Vehicle Floorplan Commitments and to deem such occurrence as constituting a New Vehicle Event of Default. Nothing contained in this </w:t>
      </w:r>
      <w:r>
        <w:rPr>
          <w:rFonts w:ascii="Times New Roman;sans-serif" w:hAnsi="Times New Roman;sans-serif"/>
          <w:b w:val="false"/>
          <w:color w:val="000000"/>
          <w:sz w:val="22"/>
          <w:u w:val="single"/>
        </w:rPr>
        <w:t>Section 8.05</w:t>
      </w:r>
      <w:r>
        <w:rPr>
          <w:color w:val="000000"/>
        </w:rPr>
        <w:t xml:space="preserve"> </w:t>
      </w:r>
      <w:r>
        <w:rPr>
          <w:rFonts w:ascii="Times New Roman;sans-serif" w:hAnsi="Times New Roman;sans-serif"/>
          <w:b w:val="false"/>
          <w:color w:val="000000"/>
          <w:sz w:val="22"/>
        </w:rPr>
        <w:t xml:space="preserve">shall be deemed to reduce the obligation of the Company and the Borrowers to make the payments required pursuant to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8.06</w:t>
      </w:r>
      <w:r>
        <w:rPr>
          <w:rFonts w:ascii="Times New Roman;sans-serif" w:hAnsi="Times New Roman;sans-serif"/>
          <w:b/>
          <w:color w:val="000000"/>
          <w:sz w:val="22"/>
        </w:rPr>
        <w:t>Application of Funds</w:t>
      </w:r>
      <w:r>
        <w:rPr>
          <w:rFonts w:ascii="Times New Roman;sans-serif" w:hAnsi="Times New Roman;sans-serif"/>
          <w:b w:val="false"/>
          <w:color w:val="000000"/>
          <w:sz w:val="22"/>
        </w:rPr>
        <w:t xml:space="preserve">. After the exercise of remedies provided for in this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 xml:space="preserve">), any amounts received on account of the Obligations shall subject to </w:t>
      </w:r>
      <w:r>
        <w:rPr>
          <w:rFonts w:ascii="Times New Roman;sans-serif" w:hAnsi="Times New Roman;sans-serif"/>
          <w:b w:val="false"/>
          <w:color w:val="000000"/>
          <w:sz w:val="22"/>
          <w:u w:val="single"/>
        </w:rPr>
        <w:t>Sections 2.26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2.27</w:t>
      </w:r>
      <w:r>
        <w:rPr>
          <w:rFonts w:ascii="Times New Roman;sans-serif" w:hAnsi="Times New Roman;sans-serif"/>
          <w:b w:val="false"/>
          <w:color w:val="000000"/>
          <w:sz w:val="22"/>
        </w:rPr>
        <w:t>, be applied by the Administrative Agent in the following order: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payable to the Administrative Agent in its capacity as such;</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to payment of that portion of the Obligations constituting accrued and unpaid interest on New Vehicle Floorplan Overdrafts ratably among the New Vehicle Floorplan Lenders in proportion to the respective amounts described in this clause Second 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to payment of that portion of the Obligations constituting unpaid principal on New Vehicle Floorplan Overdrafts ratably among the New Vehicle Floorplan Lenders in proportion to the respective amounts described in this clause Third 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to payment of that portion of the Obligations constituting accrued and unpaid interest on the New Vehicle Floorplan Swing Line Loans and the Used Vehicle Floorplan Swing Line Loans, ratably between the New Vehicle Floorplan Swing Line Lender and the Used Vehicle Floorplan Swing Line Lender in proportion to the respective amounts described in this clause Fourth 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to payment of that portion of the Obligations constituting unpaid principal on the New Vehicle Floorplan Swing Line Loans and the Used Vehicle Floorplan Swing Line Loans, ratably between the New Vehicle Floorplan Swing Line Lender and the Used Vehicle Floorplan Swing Line Lender in proportion to the respective amounts described in this clause Fifth held by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to payment of that portion of the Obligations constituting accrued and unpaid interest on the New Vehicle Floorplan Committed Loans and the Used Vehicle Floorplan Committed Loans, ratably among the New Vehicle Floorplan Lenders and the Used Vehicle Floorplan Lenders in proportion to the respective amounts described in this clause Sixth payable to them;</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145</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Seventh</w:t>
      </w:r>
      <w:r>
        <w:rPr>
          <w:rFonts w:ascii="Times New Roman;sans-serif" w:hAnsi="Times New Roman;sans-serif"/>
          <w:b w:val="false"/>
          <w:color w:val="000000"/>
          <w:sz w:val="22"/>
        </w:rPr>
        <w:t>, to payment of that portion of the Obligations constituting unpaid principal on the New Vehicle Floorplan Committed Loans and the Used Vehicle Floorplan Committed Loans, ratably among the New Vehicle Floorplan Lenders and the Used Vehicle Floorplan Lenders in proportion to the respective amounts described in this clause Seventh held by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Eighth</w:t>
      </w:r>
      <w:r>
        <w:rPr>
          <w:rFonts w:ascii="Times New Roman;sans-serif" w:hAnsi="Times New Roman;sans-serif"/>
          <w:b w:val="false"/>
          <w:color w:val="000000"/>
          <w:sz w:val="22"/>
        </w:rPr>
        <w:t xml:space="preserve">, to payment of that portion of the Obligations constituting fees, indemnities and other amounts (other than principal, interest, Letter of Credit Fees) payable to the Lenders and the L/C Issuers (including fees, charges and disbursements of counsel to the respective Lenders and the L/C Issuers (including fees and time charges for attorneys who may be employees of any Lender or the L/C Issuers)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ratably among them in proportion to the respective amounts described in this clause Eighth 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Ninth</w:t>
      </w:r>
      <w:r>
        <w:rPr>
          <w:rFonts w:ascii="Times New Roman;sans-serif" w:hAnsi="Times New Roman;sans-serif"/>
          <w:b w:val="false"/>
          <w:color w:val="000000"/>
          <w:sz w:val="22"/>
        </w:rPr>
        <w:t>, to payment of that portion of the Obligations constituting accrued and unpaid Letter of Credit Fees and interest on the Revolving Loans, L/C Borrowings and other Obligations under the Revolving Facility, ratably among the Revolving Lenders and the L/C Issuers in proportion to the respective amounts described in this clause Ninth 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Tenth</w:t>
      </w:r>
      <w:r>
        <w:rPr>
          <w:rFonts w:ascii="Times New Roman;sans-serif" w:hAnsi="Times New Roman;sans-serif"/>
          <w:b w:val="false"/>
          <w:color w:val="000000"/>
          <w:sz w:val="22"/>
        </w:rPr>
        <w:t>, to payment of that portion of the Obligations constituting unpaid principal of the Revolving Loans and L/C Borrowings, ratably among the Revolving Lenders and the L/C Issuers in proportion to the respective amounts described in this clause Tenth held by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Eleventh</w:t>
      </w:r>
      <w:r>
        <w:rPr>
          <w:rFonts w:ascii="Times New Roman;sans-serif" w:hAnsi="Times New Roman;sans-serif"/>
          <w:b w:val="false"/>
          <w:color w:val="000000"/>
          <w:sz w:val="22"/>
        </w:rPr>
        <w:t xml:space="preserve">, to the Administrative Agent for the account of the L/C Issuers, to Cash Collateralize that portion of L/C Obligations comprised of the aggregate undrawn amount of Letters of Credit to the extent not otherwise Cash Collateralized by the Borrowers pursuant to </w:t>
      </w:r>
      <w:r>
        <w:rPr>
          <w:rFonts w:ascii="Times New Roman;sans-serif" w:hAnsi="Times New Roman;sans-serif"/>
          <w:b w:val="false"/>
          <w:color w:val="000000"/>
          <w:sz w:val="22"/>
          <w:u w:val="single"/>
        </w:rPr>
        <w:t>Sections 2.03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2.26</w:t>
      </w:r>
      <w:r>
        <w:rPr>
          <w:rFonts w:ascii="Times New Roman;sans-serif" w:hAnsi="Times New Roman;sans-serif"/>
          <w:b w:val="false"/>
          <w:color w:val="000000"/>
          <w:sz w:val="22"/>
        </w:rPr>
        <w:t>, such Cash Collateral to be allocated ratably between the L/C Issuers in proportion to the respective amounts of such L/C Obligations held by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Twelfth</w:t>
      </w:r>
      <w:r>
        <w:rPr>
          <w:rFonts w:ascii="Times New Roman;sans-serif" w:hAnsi="Times New Roman;sans-serif"/>
          <w:b w:val="false"/>
          <w:color w:val="000000"/>
          <w:sz w:val="22"/>
        </w:rPr>
        <w:t>, to payment of that portion of the Obligations constituting Obligations then owing under Secured Hedge Agreements and Secured Cash Management Agreements, ratably among the Hedge Banks and the Cash Management Banks in proportion to the respective amounts described in this clause Twelfth 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Thirteenth</w:t>
      </w:r>
      <w:r>
        <w:rPr>
          <w:rFonts w:ascii="Times New Roman;sans-serif" w:hAnsi="Times New Roman;sans-serif"/>
          <w:b w:val="false"/>
          <w:color w:val="000000"/>
          <w:sz w:val="22"/>
        </w:rPr>
        <w:t>, to the payment of all other Obligations of the Loan Parties owing under or in respect of the Loan Documents that are due and payable to the Administrative Agent and the other Secured Parties, or any of them, on such date, ratably based on the respective aggregate amounts of all such Obligations owing to the Administrative Agent and the other Secured Parties on such date; and</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Last</w:t>
      </w:r>
      <w:r>
        <w:rPr>
          <w:rFonts w:ascii="Times New Roman;sans-serif" w:hAnsi="Times New Roman;sans-serif"/>
          <w:b w:val="false"/>
          <w:color w:val="000000"/>
          <w:sz w:val="22"/>
        </w:rPr>
        <w:t>, the balance, if any, after all of the Obligations have been indefeasibly paid in full, to the Company or as otherwise required by Law;</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Excluded Swap Obligations with respect to any Loan Party shall not be paid with amounts received from such Loan Party or its assets, but appropriate adjustments shall be made with respect to payments from other Loan Parties to preserve the allocation to Obligations otherwise set forth above in this Section.</w:t>
      </w:r>
    </w:p>
    <w:p>
      <w:pPr>
        <w:pStyle w:val="TextBody"/>
        <w:spacing w:lineRule="auto" w:line="240" w:before="0" w:after="24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2.26</w:t>
      </w:r>
      <w:r>
        <w:rPr>
          <w:rFonts w:ascii="Times New Roman;sans-serif" w:hAnsi="Times New Roman;sans-serif"/>
          <w:b w:val="false"/>
          <w:color w:val="000000"/>
          <w:sz w:val="22"/>
        </w:rPr>
        <w:t>, amounts used to Cash Collateralize the aggregate undrawn amount of Letters of Credit pursuant to clause Eleventh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spacing w:lineRule="auto" w:line="240" w:before="0" w:after="240"/>
        <w:jc w:val="both"/>
        <w:rPr/>
      </w:pPr>
      <w:r>
        <w:rPr>
          <w:rFonts w:ascii="Times New Roman;sans-serif" w:hAnsi="Times New Roman;sans-serif"/>
          <w:b w:val="false"/>
          <w:color w:val="000000"/>
          <w:sz w:val="22"/>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Times New Roman;sans-serif" w:hAnsi="Times New Roman;sans-serif"/>
          <w:b w:val="false"/>
          <w:color w:val="000000"/>
          <w:sz w:val="22"/>
          <w:u w:val="single"/>
        </w:rPr>
        <w:t xml:space="preserve">Article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u w:val="single"/>
        </w:rPr>
        <w:t>IX</w:t>
      </w:r>
      <w:r>
        <w:rPr>
          <w:color w:val="000000"/>
        </w:rPr>
        <w:t xml:space="preserve"> </w:t>
      </w:r>
      <w:r>
        <w:rPr>
          <w:rFonts w:ascii="Times New Roman;sans-serif" w:hAnsi="Times New Roman;sans-serif"/>
          <w:b w:val="false"/>
          <w:color w:val="000000"/>
          <w:sz w:val="22"/>
        </w:rPr>
        <w:t>hereof for itself and its Affiliates as if a “Lender” party hereto. Excluded Swap Obligations with respect to any Loan Party shall not be paid with amounts received from such Loan Party, but appropriate adjustments shall be made with respect to payments from other Loan Parties to preserve the allocation to Obligations otherwise set forth above in this Section.</w:t>
      </w:r>
    </w:p>
    <w:p>
      <w:pPr>
        <w:pStyle w:val="TextBody"/>
        <w:spacing w:lineRule="auto" w:line="240" w:before="0" w:after="240"/>
        <w:jc w:val="center"/>
        <w:rPr/>
      </w:pPr>
      <w:r>
        <w:rPr>
          <w:rFonts w:ascii="Times New Roman;sans-serif" w:hAnsi="Times New Roman;sans-serif"/>
          <w:b/>
          <w:color w:val="000000"/>
          <w:sz w:val="22"/>
        </w:rPr>
        <w:t>ARTICLE IX.</w:t>
      </w:r>
      <w:r>
        <w:rPr>
          <w:color w:val="000000"/>
        </w:rPr>
        <w:t xml:space="preserve"> </w:t>
      </w:r>
      <w:r>
        <w:rPr>
          <w:rFonts w:ascii="Times New Roman;sans-serif" w:hAnsi="Times New Roman;sans-serif"/>
          <w:b/>
          <w:color w:val="000000"/>
          <w:sz w:val="22"/>
        </w:rPr>
        <w:t>ADMINISTRATIVE AGENT</w:t>
      </w:r>
    </w:p>
    <w:p>
      <w:pPr>
        <w:pStyle w:val="TextBody"/>
        <w:spacing w:lineRule="auto" w:line="240" w:before="0" w:after="240"/>
        <w:ind w:left="0" w:right="0" w:firstLine="720"/>
        <w:jc w:val="both"/>
        <w:rPr/>
      </w:pPr>
      <w:r>
        <w:rPr>
          <w:rFonts w:ascii="Times New Roman;sans-serif" w:hAnsi="Times New Roman;sans-serif"/>
          <w:b/>
          <w:color w:val="000000"/>
          <w:sz w:val="22"/>
        </w:rPr>
        <w:t>9.01</w:t>
      </w:r>
      <w:r>
        <w:rPr>
          <w:rFonts w:ascii="Times New Roman;sans-serif" w:hAnsi="Times New Roman;sans-serif"/>
          <w:b/>
          <w:color w:val="000000"/>
          <w:sz w:val="22"/>
        </w:rPr>
        <w:t>Appointment and Authority</w:t>
      </w:r>
      <w:r>
        <w:rPr>
          <w:rFonts w:ascii="Times New Roman;sans-serif" w:hAnsi="Times New Roman;sans-serif"/>
          <w:b w:val="false"/>
          <w:color w:val="000000"/>
          <w:sz w:val="22"/>
        </w:rPr>
        <w:t>. Each of the Lenders and each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spacing w:lineRule="auto" w:line="240" w:before="0" w:after="240"/>
        <w:ind w:left="0" w:right="0" w:firstLine="720"/>
        <w:jc w:val="both"/>
        <w:rPr/>
      </w:pPr>
      <w:r>
        <w:rPr>
          <w:rFonts w:ascii="Times New Roman;sans-serif" w:hAnsi="Times New Roman;sans-serif"/>
          <w:b/>
          <w:color w:val="000000"/>
          <w:sz w:val="22"/>
        </w:rPr>
        <w:t>9.02</w:t>
      </w:r>
      <w:r>
        <w:rPr>
          <w:rFonts w:ascii="Times New Roman;sans-serif" w:hAnsi="Times New Roman;sans-serif"/>
          <w:b/>
          <w:color w:val="000000"/>
          <w:sz w:val="22"/>
        </w:rPr>
        <w:t>Rights as a Lender</w:t>
      </w:r>
      <w:r>
        <w:rPr>
          <w:rFonts w:ascii="Times New Roman;sans-serif" w:hAnsi="Times New Roman;sans-serif"/>
          <w:b w:val="false"/>
          <w:color w:val="000000"/>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any other Borrower or any Subsidiary or other Affiliate thereof as if such Person were not the Administrative Agent hereunder and without any duty to account therefor to the Lenders.</w:t>
      </w:r>
    </w:p>
    <w:p>
      <w:pPr>
        <w:pStyle w:val="TextBody"/>
        <w:spacing w:lineRule="auto" w:line="240" w:before="0" w:after="240"/>
        <w:ind w:left="0" w:right="0" w:firstLine="720"/>
        <w:jc w:val="both"/>
        <w:rPr/>
      </w:pPr>
      <w:r>
        <w:rPr>
          <w:rFonts w:ascii="Times New Roman;sans-serif" w:hAnsi="Times New Roman;sans-serif"/>
          <w:b/>
          <w:color w:val="000000"/>
          <w:sz w:val="22"/>
        </w:rPr>
        <w:t>9.03</w:t>
      </w:r>
      <w:r>
        <w:rPr>
          <w:rFonts w:ascii="Times New Roman;sans-serif" w:hAnsi="Times New Roman;sans-serif"/>
          <w:b/>
          <w:color w:val="000000"/>
          <w:sz w:val="22"/>
        </w:rPr>
        <w:t>Exculpatory Provisions</w:t>
      </w:r>
      <w:r>
        <w:rPr>
          <w:rFonts w:ascii="Times New Roman;sans-serif" w:hAnsi="Times New Roman;sans-serif"/>
          <w:b w:val="false"/>
          <w:color w:val="000000"/>
          <w:sz w:val="22"/>
        </w:rPr>
        <w:t>.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shall not be subject to any fiduciary or other implied duties, regardless of whether a Default has occurred and is continuing;</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shall not, except as expressly set forth herein and in the other Loan Documents, have any duty to disclose, and shall not be liable for the failure to disclose, any information relating to the Company or any of the other Borrowers or any of its Affiliates that is communicated to or obtained by the Person serving as the Administrative Agent or any of its Affiliates in any capacity.</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2"/>
          <w:u w:val="single"/>
        </w:rPr>
        <w:t>Sections 10.01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8.02</w:t>
      </w:r>
      <w:r>
        <w:rPr>
          <w:rFonts w:ascii="Times New Roman;sans-serif" w:hAnsi="Times New Roman;sans-serif"/>
          <w:b w:val="false"/>
          <w:color w:val="000000"/>
          <w:sz w:val="22"/>
        </w:rPr>
        <w:t xml:space="preserve">) or (ii) in the absence of its own gross negligence or willful misconduct as determined by a court of competent jurisdiction by final and nonappealable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3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judgment. The Administrative Agent shall be deemed not to have knowledge of any Default unless and until notice describing such Default is given in writing to the Administrative Agent by the Company, a Lender or an L/C Issuer.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or elsewhere herein, other than to confirm receipt of items expressly required to be delivered to the Administrative Agent.</w:t>
      </w:r>
    </w:p>
    <w:p>
      <w:pPr>
        <w:pStyle w:val="TextBody"/>
        <w:spacing w:lineRule="auto" w:line="240" w:before="0" w:after="240"/>
        <w:ind w:left="0" w:right="0" w:firstLine="720"/>
        <w:jc w:val="both"/>
        <w:rPr/>
      </w:pPr>
      <w:r>
        <w:rPr>
          <w:rFonts w:ascii="Times New Roman;sans-serif" w:hAnsi="Times New Roman;sans-serif"/>
          <w:b/>
          <w:color w:val="000000"/>
          <w:sz w:val="22"/>
        </w:rPr>
        <w:t>9.04</w:t>
      </w:r>
      <w:r>
        <w:rPr>
          <w:rFonts w:ascii="Times New Roman;sans-serif" w:hAnsi="Times New Roman;sans-serif"/>
          <w:b/>
          <w:color w:val="000000"/>
          <w:sz w:val="22"/>
        </w:rPr>
        <w:t>Reliance by Administrative Agent</w:t>
      </w:r>
      <w:r>
        <w:rPr>
          <w:rFonts w:ascii="Times New Roman;sans-serif" w:hAnsi="Times New Roman;sans-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applicable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spacing w:lineRule="auto" w:line="240" w:before="0" w:after="240"/>
        <w:ind w:left="0" w:right="0" w:firstLine="720"/>
        <w:jc w:val="both"/>
        <w:rPr/>
      </w:pPr>
      <w:r>
        <w:rPr>
          <w:rFonts w:ascii="Times New Roman;sans-serif" w:hAnsi="Times New Roman;sans-serif"/>
          <w:b/>
          <w:color w:val="000000"/>
          <w:sz w:val="22"/>
        </w:rPr>
        <w:t>9.05</w:t>
      </w:r>
      <w:r>
        <w:rPr>
          <w:rFonts w:ascii="Times New Roman;sans-serif" w:hAnsi="Times New Roman;sans-serif"/>
          <w:b/>
          <w:color w:val="000000"/>
          <w:sz w:val="22"/>
        </w:rPr>
        <w:t>Delegation of Duties</w:t>
      </w:r>
      <w:r>
        <w:rPr>
          <w:rFonts w:ascii="Times New Roman;sans-serif" w:hAnsi="Times New Roman;sans-serif"/>
          <w:b w:val="false"/>
          <w:color w:val="000000"/>
          <w:sz w:val="22"/>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pStyle w:val="TextBody"/>
        <w:spacing w:lineRule="auto" w:line="240" w:before="0" w:after="240"/>
        <w:ind w:left="0" w:right="0" w:firstLine="720"/>
        <w:jc w:val="both"/>
        <w:rPr/>
      </w:pPr>
      <w:r>
        <w:rPr>
          <w:rFonts w:ascii="Times New Roman;sans-serif" w:hAnsi="Times New Roman;sans-serif"/>
          <w:b/>
          <w:color w:val="000000"/>
          <w:sz w:val="22"/>
        </w:rPr>
        <w:t>9.06</w:t>
      </w:r>
      <w:r>
        <w:rPr>
          <w:rFonts w:ascii="Times New Roman;sans-serif" w:hAnsi="Times New Roman;sans-serif"/>
          <w:b/>
          <w:color w:val="000000"/>
          <w:sz w:val="22"/>
        </w:rPr>
        <w:t>Resignation of Administrative Agent</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 may at any time give notice of its resignation to the Lenders, the L/C Issuers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val="false"/>
          <w:color w:val="000000"/>
          <w:sz w:val="22"/>
          <w:u w:val="single"/>
        </w:rPr>
        <w:t>Resignation Effective Date</w:t>
      </w:r>
      <w:r>
        <w:rPr>
          <w:color w:val="000000"/>
        </w:rPr>
        <w:t>”</w:t>
      </w:r>
      <w:r>
        <w:rPr>
          <w:rFonts w:ascii="Times New Roman;sans-serif" w:hAnsi="Times New Roman;sans-serif"/>
          <w:b w:val="false"/>
          <w:color w:val="000000"/>
          <w:sz w:val="22"/>
        </w:rPr>
        <w:t>)), then the retiring Administrative Agent may (but shall not be obligated to) on behalf of the Lenders and the L/C Issuers,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148</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the Person serving as Administrative Agent is a Defaulting Lender pursuant to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val="false"/>
          <w:color w:val="000000"/>
          <w:sz w:val="22"/>
          <w:u w:val="single"/>
        </w:rPr>
        <w:t>Removal Effective Date</w:t>
      </w:r>
      <w:r>
        <w:rPr>
          <w:color w:val="000000"/>
        </w:rPr>
        <w:t>”</w:t>
      </w:r>
      <w:r>
        <w:rPr>
          <w:rFonts w:ascii="Times New Roman;sans-serif" w:hAnsi="Times New Roman;sans-serif"/>
          <w:b w:val="false"/>
          <w:color w:val="000000"/>
          <w:sz w:val="22"/>
        </w:rPr>
        <w:t xml:space="preserve">), then such removal shall nonetheless become effective in accordance with such notice on the Removal Effective Date.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any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ans-serif" w:hAnsi="Times New Roman;sans-serif"/>
          <w:b w:val="false"/>
          <w:color w:val="000000"/>
          <w:sz w:val="22"/>
          <w:u w:val="single"/>
        </w:rPr>
        <w:t>Section 3.01(g)</w:t>
      </w:r>
      <w:r>
        <w:rPr>
          <w:color w:val="000000"/>
        </w:rPr>
        <w:t xml:space="preserve"> </w:t>
      </w:r>
      <w:r>
        <w:rPr>
          <w:rFonts w:ascii="Times New Roman;sans-serif" w:hAnsi="Times New Roman;sans-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foregoing notwithstanding, upon the discharge of the retiring Administrative Agent’s duties hereunder, neither the retiring Administrative Agent nor the successor Administrative Agent or any New Vehicle Swing Line Lender shall be required to honor any request by a vehicle manufacturer or distributor or financial institution for advance of a New Vehicle Swing Line Loan, unless and until (A) such successor Administrative Agent and such manufacturer or distributor or financial institution (and if required pursuant to the terms of such Payment Commitment or Payoff Letter Commitment, the applicable New Vehicle Borrower) have entered into a new Payment Commitment or Payoff Letter Commitment, and (B) any existing Payment Commitment between such manufacturer or distributor or Payoff Commitment Letter between such financial institution and the retiring Administrative Agent has been terminated.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sans-serif" w:hAnsi="Times New Roman;sans-serif"/>
          <w:b w:val="false"/>
          <w:color w:val="000000"/>
          <w:sz w:val="22"/>
          <w:u w:val="single"/>
        </w:rPr>
        <w:t>Section 10.04</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Any resignation by Bank of America as Administrative Agent pursuant to this Section shall also constitute its resignation as an L/C Issuer, Revolving Swing Line Lender, New Vehicle Floorplan Swing Line Lender and Used Vehicle Floorplan Swing Line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Bank of America shall continue to serve as New Vehicle Floorplan Swing Line Lender for at least 75 days following delivery of a notice of resignation as Administrative Agent.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If Bank of America resigns as Revolving Swing Line Lender, New Vehicle Floorplan Swing Line Lender or Used Vehicle Floorplan Swing Line Lender, it shall retain all the rights of the Revolving Swing Line Lender, New Vehicle Floorplan Swing Line Lender or Used Vehicle Floorplan Swing Line Lender, as the case may be,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149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provided for hereunder with respect to the applicable Swing Line Loans made by it and outstanding as of the effective date of such resignation, including the right to require the Lenders to make Base Rate Loans or fund risk participations in outstanding Swing Line Loans pursuant to </w:t>
      </w:r>
      <w:r>
        <w:rPr>
          <w:rFonts w:ascii="Times New Roman;sans-serif" w:hAnsi="Times New Roman;sans-serif"/>
          <w:b w:val="false"/>
          <w:color w:val="000000"/>
          <w:sz w:val="22"/>
          <w:u w:val="single"/>
        </w:rPr>
        <w:t>Section 2.04(c)</w:t>
      </w:r>
      <w:r>
        <w:rPr>
          <w:rFonts w:ascii="Times New Roman;sans-serif" w:hAnsi="Times New Roman;sans-serif"/>
          <w:b w:val="false"/>
          <w:color w:val="000000"/>
          <w:sz w:val="22"/>
        </w:rPr>
        <w:t>. Upon the acceptance of a successor’s appointment as Administrative Agent hereunder, (a) such successor shall succeed to and become vested with all of the rights, powers, privileges and duties of the retiring L/C Issuer, Revolving Swing Line Lender, New Vehicle Floorplan Swing Line Lender and Used Vehicle Floorplan Swing Line Lender, (b) the retiring L/C Issuer, Revolving Swing Line Lender, New Vehicle Floorplan Swing Line Lender and Used Vehicle Floorplan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pStyle w:val="TextBody"/>
        <w:spacing w:lineRule="auto" w:line="240" w:before="0" w:after="240"/>
        <w:ind w:left="0" w:right="0" w:firstLine="720"/>
        <w:jc w:val="both"/>
        <w:rPr/>
      </w:pPr>
      <w:r>
        <w:rPr>
          <w:rFonts w:ascii="Times New Roman;sans-serif" w:hAnsi="Times New Roman;sans-serif"/>
          <w:b/>
          <w:color w:val="000000"/>
          <w:sz w:val="22"/>
        </w:rPr>
        <w:t>9.07</w:t>
      </w:r>
      <w:r>
        <w:rPr>
          <w:rFonts w:ascii="Times New Roman;sans-serif" w:hAnsi="Times New Roman;sans-serif"/>
          <w:b/>
          <w:color w:val="000000"/>
          <w:sz w:val="22"/>
        </w:rPr>
        <w:t>Non-Reliance on Administrative Agent and Other Lenders</w:t>
      </w:r>
      <w:r>
        <w:rPr>
          <w:rFonts w:ascii="Times New Roman;sans-serif" w:hAnsi="Times New Roman;sans-serif"/>
          <w:b w:val="false"/>
          <w:color w:val="000000"/>
          <w:sz w:val="22"/>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spacing w:lineRule="auto" w:line="240" w:before="0" w:after="240"/>
        <w:ind w:left="0" w:right="0" w:firstLine="720"/>
        <w:jc w:val="both"/>
        <w:rPr/>
      </w:pPr>
      <w:r>
        <w:rPr>
          <w:rFonts w:ascii="Times New Roman;sans-serif" w:hAnsi="Times New Roman;sans-serif"/>
          <w:b/>
          <w:color w:val="000000"/>
          <w:sz w:val="22"/>
        </w:rPr>
        <w:t>9.08</w:t>
      </w:r>
      <w:r>
        <w:rPr>
          <w:rFonts w:ascii="Times New Roman;sans-serif" w:hAnsi="Times New Roman;sans-serif"/>
          <w:b/>
          <w:color w:val="000000"/>
          <w:sz w:val="22"/>
        </w:rPr>
        <w:t>No Other Duties, Etc</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Anything herein to the contrary notwithstanding, none of the Bookrunners, Arrangers, Co-Syndication Agents or Co-Documentation Agents listed on the cover page hereof shall have any powers, duties or responsibilities under this Agreement or any of the other Loan Documents, except in its capacity, as applicable, as the Administrative Agent, a Lender or an L/C Issuer hereunder.</w:t>
      </w:r>
    </w:p>
    <w:p>
      <w:pPr>
        <w:pStyle w:val="TextBody"/>
        <w:spacing w:lineRule="auto" w:line="240" w:before="0" w:after="240"/>
        <w:ind w:left="0" w:right="0" w:firstLine="720"/>
        <w:jc w:val="both"/>
        <w:rPr/>
      </w:pPr>
      <w:r>
        <w:rPr>
          <w:rFonts w:ascii="Times New Roman;sans-serif" w:hAnsi="Times New Roman;sans-serif"/>
          <w:b/>
          <w:color w:val="000000"/>
          <w:sz w:val="22"/>
        </w:rPr>
        <w:t>9.09</w:t>
      </w:r>
      <w:r>
        <w:rPr>
          <w:rFonts w:ascii="Times New Roman;sans-serif" w:hAnsi="Times New Roman;sans-serif"/>
          <w:b/>
          <w:color w:val="000000"/>
          <w:sz w:val="22"/>
        </w:rPr>
        <w:t>Administrative Agent May File Proofs of Claim; Credit Bidding</w:t>
      </w:r>
      <w:r>
        <w:rPr>
          <w:rFonts w:ascii="Times New Roman;sans-serif" w:hAnsi="Times New Roman;sans-serif"/>
          <w:b w:val="false"/>
          <w:color w:val="000000"/>
          <w:sz w:val="22"/>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Company or any other Borrower) shall be entitled and empowered, by intervention in such proceeding or otherwise,</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sans-serif" w:hAnsi="Times New Roman;sans-serif"/>
          <w:b w:val="false"/>
          <w:color w:val="000000"/>
          <w:sz w:val="22"/>
          <w:u w:val="single"/>
        </w:rPr>
        <w:t>Sections 2.03(h)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10.04</w:t>
      </w:r>
      <w:r>
        <w:rPr>
          <w:rFonts w:ascii="Times New Roman;sans-serif" w:hAnsi="Times New Roman;sans-serif"/>
          <w:b w:val="false"/>
          <w:color w:val="000000"/>
          <w:sz w:val="22"/>
        </w:rPr>
        <w:t>) allowed in such judicial proceeding; and</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to collect and receive any monies or other property payable or deliverable on any such claims and to distribute the same;</w:t>
      </w:r>
    </w:p>
    <w:p>
      <w:pPr>
        <w:pStyle w:val="TextBody"/>
        <w:spacing w:lineRule="auto" w:line="240" w:before="0" w:after="24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2"/>
          <w:u w:val="single"/>
        </w:rPr>
        <w:t>Sections 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10.04</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150</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The Secured Parties hereby irrevocably authorize the Administrative Agent, at the direction of the Required Lenders, to credit bid all or any portion of the Obligations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(h) of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spacing w:lineRule="auto" w:line="240" w:before="0" w:after="240"/>
        <w:ind w:left="0" w:right="0" w:firstLine="720"/>
        <w:jc w:val="both"/>
        <w:rPr/>
      </w:pPr>
      <w:r>
        <w:rPr>
          <w:rFonts w:ascii="Times New Roman;sans-serif" w:hAnsi="Times New Roman;sans-serif"/>
          <w:b/>
          <w:color w:val="000000"/>
          <w:sz w:val="22"/>
        </w:rPr>
        <w:t>9.10</w:t>
      </w:r>
      <w:r>
        <w:rPr>
          <w:rFonts w:ascii="Times New Roman;sans-serif" w:hAnsi="Times New Roman;sans-serif"/>
          <w:b/>
          <w:color w:val="000000"/>
          <w:sz w:val="22"/>
        </w:rPr>
        <w:t>Collateral and Guaranty Matters</w:t>
      </w:r>
      <w:r>
        <w:rPr>
          <w:rFonts w:ascii="Times New Roman;sans-serif" w:hAnsi="Times New Roman;sans-serif"/>
          <w:b w:val="false"/>
          <w:color w:val="000000"/>
          <w:sz w:val="22"/>
        </w:rPr>
        <w:t>. The Lenders and the L/C Issuers irrevocably authorize the Administrative Agent, at its option and in its discretion,</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release any Lien on any property granted to or held by the Administrative Agent under any Loan Document (i) upon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applicable L/C Issuer shall have been made), (ii) that is sold or to be sold as part of or in connection with any sale permitted hereunder or under any other Loan Document, or (iii) subject to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if approved, authorized or ratified in writing by the Required Lenders;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to subordinate any Lien on any property granted to or held by the Administrative Agent under any Loan Document to the holder of any Lien on such property that is permitted by </w:t>
      </w:r>
      <w:r>
        <w:rPr>
          <w:rFonts w:ascii="Times New Roman;sans-serif" w:hAnsi="Times New Roman;sans-serif"/>
          <w:b w:val="false"/>
          <w:color w:val="000000"/>
          <w:sz w:val="22"/>
          <w:u w:val="single"/>
        </w:rPr>
        <w:t>Section 7.02(b)</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to release any Subsidiary Guarantor from its obligations under the Guaranty if such Person ceases to be a Subsidiary as a result of a transaction permitted hereunder;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to enter into Service Loaner Intercreditor Agreements with respect to Indebtedness permitted by </w:t>
      </w:r>
      <w:r>
        <w:rPr>
          <w:rFonts w:ascii="Times New Roman;sans-serif" w:hAnsi="Times New Roman;sans-serif"/>
          <w:b w:val="false"/>
          <w:color w:val="000000"/>
          <w:sz w:val="22"/>
          <w:u w:val="single"/>
        </w:rPr>
        <w:t>Section 7.01(q)</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to enter into any FMCC Intercreditor Agreement, including any such agreement entered into on or after December 4, 2014, with respect to Indebtedness permitted by </w:t>
      </w:r>
      <w:r>
        <w:rPr>
          <w:rFonts w:ascii="Times New Roman;sans-serif" w:hAnsi="Times New Roman;sans-serif"/>
          <w:b w:val="false"/>
          <w:color w:val="000000"/>
          <w:sz w:val="22"/>
          <w:u w:val="single"/>
        </w:rPr>
        <w:t>Section 7.01(r)</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[intentionally omitted]</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to execute and deliver that certain letter agreement with Ford Motor Company, substantially in the form provided to the Lenders.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Guaranty pursuant to this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purported to be created by the Security Instruments, or any certificate prepared by any Loan Party in connection therewith, nor shall the Administrative Agent be responsible or liable to the Lenders for any failure to monitor or maintain any portion of the Collateral.</w:t>
      </w:r>
    </w:p>
    <w:p>
      <w:pPr>
        <w:pStyle w:val="TextBody"/>
        <w:spacing w:lineRule="auto" w:line="240" w:before="0" w:after="240"/>
        <w:ind w:left="0" w:right="0" w:firstLine="720"/>
        <w:jc w:val="both"/>
        <w:rPr/>
      </w:pPr>
      <w:r>
        <w:rPr>
          <w:rFonts w:ascii="Times New Roman;sans-serif" w:hAnsi="Times New Roman;sans-serif"/>
          <w:b/>
          <w:color w:val="000000"/>
          <w:sz w:val="22"/>
        </w:rPr>
        <w:t>9.11</w:t>
      </w:r>
      <w:r>
        <w:rPr>
          <w:rFonts w:ascii="Times New Roman;sans-serif" w:hAnsi="Times New Roman;sans-serif"/>
          <w:b/>
          <w:color w:val="000000"/>
          <w:sz w:val="22"/>
        </w:rPr>
        <w:t>Secured Cash Management Arrangements and Secured Hedge Agreements</w:t>
      </w:r>
      <w:r>
        <w:rPr>
          <w:rFonts w:ascii="Times New Roman;sans-serif" w:hAnsi="Times New Roman;sans-serif"/>
          <w:b w:val="false"/>
          <w:color w:val="000000"/>
          <w:sz w:val="22"/>
        </w:rPr>
        <w:t xml:space="preserve">. Except as otherwise expressly set forth herein or in any Subsidiary Guaranty or any Security Instrument, no Cash Management Bank or Lender or Affiliate of a Lender party to a Related Swap Agreement that obtains the benefit of the provisions of </w:t>
      </w:r>
      <w:r>
        <w:rPr>
          <w:rFonts w:ascii="Times New Roman;sans-serif" w:hAnsi="Times New Roman;sans-serif"/>
          <w:b w:val="false"/>
          <w:color w:val="000000"/>
          <w:sz w:val="22"/>
          <w:u w:val="single"/>
        </w:rPr>
        <w:t>Section 8.06</w:t>
      </w:r>
      <w:r>
        <w:rPr>
          <w:rFonts w:ascii="Times New Roman;sans-serif" w:hAnsi="Times New Roman;sans-serif"/>
          <w:b w:val="false"/>
          <w:color w:val="000000"/>
          <w:sz w:val="22"/>
        </w:rPr>
        <w:t xml:space="preserve">, any Subsidiary Guaranty or any Collateral by virtue of the provisions hereof or of the Subsidiary Guaranty or any Security Instrument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to the contrary, the Administrative Agent shall not be required to verify the payment of, or that other satisfactory arrangements have been made with respect to, Obligations arising under Secured Cash Management Arrangements and Related Swap Agreements unless the Administrative Agent has received written notice of such Obligations, together with such supporting documentation as the Administrative Agent may request, from the applicable Cash Management Bank or Lender or Affiliate of a Lender, as the case may be.</w:t>
      </w:r>
    </w:p>
    <w:p>
      <w:pPr>
        <w:pStyle w:val="TextBody"/>
        <w:spacing w:lineRule="auto" w:line="240" w:before="0" w:after="240"/>
        <w:ind w:left="0" w:right="0" w:firstLine="720"/>
        <w:jc w:val="both"/>
        <w:rPr/>
      </w:pPr>
      <w:r>
        <w:rPr>
          <w:rFonts w:ascii="Times New Roman;sans-serif" w:hAnsi="Times New Roman;sans-serif"/>
          <w:b/>
          <w:color w:val="000000"/>
          <w:sz w:val="22"/>
        </w:rPr>
        <w:t>9.12</w:t>
      </w:r>
      <w:r>
        <w:rPr>
          <w:rFonts w:ascii="Times New Roman;sans-serif" w:hAnsi="Times New Roman;sans-serif"/>
          <w:b/>
          <w:color w:val="000000"/>
          <w:sz w:val="22"/>
        </w:rPr>
        <w:t>Certain ERISA Matters</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152</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(iv)such other representation, warranty and covenant as may be agreed in writing between the Administrative Agent, in its sole discretion, and such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spacing w:lineRule="auto" w:line="240" w:before="0" w:after="240"/>
        <w:ind w:left="0" w:right="0" w:firstLine="720"/>
        <w:jc w:val="both"/>
        <w:rPr/>
      </w:pPr>
      <w:r>
        <w:rPr>
          <w:rFonts w:ascii="Times New Roman;sans-serif" w:hAnsi="Times New Roman;sans-serif"/>
          <w:b/>
          <w:color w:val="000000"/>
          <w:sz w:val="22"/>
        </w:rPr>
        <w:t>9.13</w:t>
      </w:r>
      <w:r>
        <w:rPr>
          <w:rFonts w:ascii="Times New Roman;sans-serif" w:hAnsi="Times New Roman;sans-serif"/>
          <w:b/>
          <w:color w:val="000000"/>
          <w:sz w:val="22"/>
        </w:rPr>
        <w:t>Recovery of Erroneous Payments</w:t>
      </w:r>
      <w:r>
        <w:rPr>
          <w:rFonts w:ascii="Times New Roman;sans-serif" w:hAnsi="Times New Roman;sans-serif"/>
          <w:b w:val="false"/>
          <w:color w:val="000000"/>
          <w:sz w:val="22"/>
        </w:rPr>
        <w:t>.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spacing w:lineRule="auto" w:line="240" w:before="0" w:after="240"/>
        <w:jc w:val="center"/>
        <w:rPr/>
      </w:pPr>
      <w:r>
        <w:rPr>
          <w:rFonts w:ascii="Times New Roman;sans-serif" w:hAnsi="Times New Roman;sans-serif"/>
          <w:b/>
          <w:color w:val="000000"/>
          <w:sz w:val="22"/>
        </w:rPr>
        <w:t>ARTICLE X.</w:t>
      </w:r>
      <w:r>
        <w:rPr>
          <w:color w:val="000000"/>
        </w:rPr>
        <w:t xml:space="preserve"> </w:t>
      </w:r>
      <w:r>
        <w:rPr>
          <w:rFonts w:ascii="Times New Roman;sans-serif" w:hAnsi="Times New Roman;sans-serif"/>
          <w:b/>
          <w:color w:val="000000"/>
          <w:sz w:val="22"/>
        </w:rPr>
        <w:t>MISCELLANEOUS</w:t>
      </w:r>
    </w:p>
    <w:p>
      <w:pPr>
        <w:pStyle w:val="TextBody"/>
        <w:spacing w:lineRule="auto" w:line="240" w:before="0" w:after="240"/>
        <w:ind w:left="0" w:right="0" w:firstLine="720"/>
        <w:jc w:val="both"/>
        <w:rPr/>
      </w:pPr>
      <w:r>
        <w:rPr>
          <w:rFonts w:ascii="Times New Roman;sans-serif" w:hAnsi="Times New Roman;sans-serif"/>
          <w:b/>
          <w:color w:val="000000"/>
          <w:sz w:val="22"/>
        </w:rPr>
        <w:t>10.01</w:t>
      </w:r>
      <w:r>
        <w:rPr>
          <w:rFonts w:ascii="Times New Roman;sans-serif" w:hAnsi="Times New Roman;sans-serif"/>
          <w:b/>
          <w:color w:val="000000"/>
          <w:sz w:val="22"/>
        </w:rPr>
        <w:t>Amendments, Etc</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3.03(c)</w:t>
      </w:r>
      <w:r>
        <w:rPr>
          <w:color w:val="000000"/>
        </w:rPr>
        <w:t xml:space="preserve"> </w:t>
      </w:r>
      <w:r>
        <w:rPr>
          <w:rFonts w:ascii="Times New Roman;sans-serif" w:hAnsi="Times New Roman;sans-serif"/>
          <w:b w:val="false"/>
          <w:color w:val="000000"/>
          <w:sz w:val="22"/>
        </w:rPr>
        <w:t xml:space="preserve">and the last paragraph of this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no such amendment, waiver or consent shall:</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waive any condition set forth in </w:t>
      </w:r>
      <w:r>
        <w:rPr>
          <w:rFonts w:ascii="Times New Roman;sans-serif" w:hAnsi="Times New Roman;sans-serif"/>
          <w:b w:val="false"/>
          <w:color w:val="000000"/>
          <w:sz w:val="22"/>
          <w:u w:val="single"/>
        </w:rPr>
        <w:t>Section 4.01(a)</w:t>
      </w:r>
      <w:r>
        <w:rPr>
          <w:color w:val="000000"/>
        </w:rPr>
        <w:t xml:space="preserve"> </w:t>
      </w:r>
      <w:r>
        <w:rPr>
          <w:rFonts w:ascii="Times New Roman;sans-serif" w:hAnsi="Times New Roman;sans-serif"/>
          <w:b w:val="false"/>
          <w:color w:val="000000"/>
          <w:sz w:val="22"/>
        </w:rPr>
        <w:t>without the written consent of each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extend or increase the Revolving Commitment, the New Vehicle Floorplan Commitment or the Used Vehicle Floorplan Commitment of any Lender (or reinstate any Revolving Commitment,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New Vehicle Floorplan Commitment or Used Vehicle Floorplan Commitment terminated pursuant to </w:t>
      </w:r>
      <w:r>
        <w:rPr>
          <w:rFonts w:ascii="Times New Roman;sans-serif" w:hAnsi="Times New Roman;sans-serif"/>
          <w:b w:val="false"/>
          <w:color w:val="000000"/>
          <w:sz w:val="22"/>
          <w:u w:val="single"/>
        </w:rPr>
        <w:t>Section 8.05</w:t>
      </w:r>
      <w:r>
        <w:rPr>
          <w:rFonts w:ascii="Times New Roman;sans-serif" w:hAnsi="Times New Roman;sans-serif"/>
          <w:b w:val="false"/>
          <w:color w:val="000000"/>
          <w:sz w:val="22"/>
        </w:rPr>
        <w:t>) without the written consent of such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postpone any date fixed by this Agreement or any other Loan Document for any payment of principal, interest, fees or other amounts due to the Lenders (or any of them) or any scheduled or mandatory reduction of the Aggregate Revolving Commitments, Aggregate New Vehicle Floorplan Commitments or Aggregate Used Vehicle Floorplan Commitments hereunder or under any other Loan Document without the written consent of each Lender directly affected thereby;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only the consent of the Required Lenders shall be required to postpone any date fixed for any mandatory prepayment of principal of any Loan or interest accrued on such principal amount;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reduce the principal of, or the rate of interest specified herein on, any Loan or L/C Borrowing, or (subject to clause (iv) of the second proviso to this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any fees or other amounts payable hereunder or under any other Loan Document without the written consent of each Lender directly affected thereby;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change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8.06</w:t>
      </w:r>
      <w:r>
        <w:rPr>
          <w:color w:val="000000"/>
        </w:rPr>
        <w:t xml:space="preserve"> </w:t>
      </w:r>
      <w:r>
        <w:rPr>
          <w:rFonts w:ascii="Times New Roman;sans-serif" w:hAnsi="Times New Roman;sans-serif"/>
          <w:b w:val="false"/>
          <w:color w:val="000000"/>
          <w:sz w:val="22"/>
        </w:rPr>
        <w:t>in a manner that would alter the pro rata payments or pro rata sharing of payments required thereby without the written consent of each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release the Company from the Company Guaranty or release all or substantially all of the value of the Subsidiary Guaranty without the written consent of each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release all or substantially all of the Collateral in any transaction or series of related transactions, except as specifically required by the Loan Documents, without the written consent of each Lender;</w:t>
      </w:r>
    </w:p>
    <w:p>
      <w:pPr>
        <w:pStyle w:val="TextBody"/>
        <w:spacing w:lineRule="auto" w:line="240" w:before="0" w:after="240"/>
        <w:jc w:val="both"/>
        <w:rPr/>
      </w:pP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applicable Swing Line Lender in addition to the Lenders required above, affect the rights or duties of such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pStyle w:val="TextBody"/>
        <w:spacing w:lineRule="auto" w:line="240" w:before="0" w:after="240"/>
        <w:jc w:val="both"/>
        <w:rPr/>
      </w:pPr>
      <w:r>
        <w:rPr>
          <w:color w:val="000000"/>
        </w:rPr>
        <w:t>    </w:t>
      </w:r>
      <w:r>
        <w:rPr>
          <w:rFonts w:ascii="Times New Roman;sans-serif" w:hAnsi="Times New Roman;sans-serif"/>
          <w:b w:val="false"/>
          <w:color w:val="000000"/>
          <w:sz w:val="22"/>
        </w:rPr>
        <w:t xml:space="preserve">Notwithstanding anything to the contrary contained in this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(y) this Agreement may be amended and restated without the consent of any Lender (but with the consent of the Company and Administrative Agent) if, upon giving effect to such amendment and restatement, such Lender shall no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(z) Administrative Agent and the Company may amend or modify this Agreement and any other Loan Document to (1) cure any ambiguity, omission, defect or inconsistency therein or (2) grant a new Lien for the benefit of the Secured Parties, extend an existing Lien over additional property for the benefit of the Secured Parties or join additional Persons as Credit Parties.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spacing w:lineRule="auto" w:line="240" w:before="0" w:after="240"/>
        <w:ind w:left="0" w:right="0" w:firstLine="720"/>
        <w:jc w:val="both"/>
        <w:rPr/>
      </w:pPr>
      <w:r>
        <w:rPr>
          <w:rFonts w:ascii="Times New Roman;sans-serif" w:hAnsi="Times New Roman;sans-serif"/>
          <w:b/>
          <w:color w:val="000000"/>
          <w:sz w:val="22"/>
        </w:rPr>
        <w:t>10.02</w:t>
      </w:r>
      <w:r>
        <w:rPr>
          <w:rFonts w:ascii="Times New Roman;sans-serif" w:hAnsi="Times New Roman;sans-serif"/>
          <w:b/>
          <w:color w:val="000000"/>
          <w:sz w:val="22"/>
        </w:rPr>
        <w:t>Notices; Effectiveness; Electronic Communication</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Notices Generally</w:t>
      </w:r>
      <w:r>
        <w:rPr>
          <w:rFonts w:ascii="Times New Roman;sans-serif" w:hAnsi="Times New Roman;sans-serif"/>
          <w:b w:val="false"/>
          <w:color w:val="000000"/>
          <w:sz w:val="22"/>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(i)if to the Company, a Borrower, any other Loan Party, the Administrative Agent, Bank of America as an L/C Issuer, the Revolving Swing Line Lender, the New Vehicle Floorplan Swing Line Lender, the Used Vehicle Floorplan Swing Line Lender or the New Vehicle Floorplan Operations Group to the address, facsimile number, electronic mail address or telephone number specified for such Person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to any other Lender or L/C Issuer, to the address, facsimile number, electronic mail address or telephone number specified in its Administrative Questionnaire (including, as appropriate, notices delivered solely to the Person designated by a Lender or L/C Issuer on its Administrative Questionnaire then in effect for the delivery of notices that may contain material non-public information relating to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or any L/C Issuer pursuant to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if such Lender or such L/C Issuer, as applicable, has notified the Administrative Agent that it is incapable of receiving notices under such Article by electronic communication. The Administrative Agent, the Swing Line Lenders, the L/C Issuers or the Company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Unless the Administrative Agent otherwise prescribes, (i) notices and other communications sent to an e-mail address shall be deemed received upon the sender’s receipt of an acknowledgement from the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The Platform</w:t>
      </w:r>
      <w:r>
        <w:rPr>
          <w:rFonts w:ascii="Times New Roman;sans-serif" w:hAnsi="Times New Roman;sans-serif"/>
          <w:b w:val="false"/>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xml:space="preserve">) have any liability to the Company, any Lender, any L/C Issuer or any other Person for losses, claims, damages, liabilities or expenses of any kind (whether in tort, contract or otherwise) arising out of the Company’s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in no event shall any Agent Party have any liability to the Company, any Lender, any L/C Issuer or any other Person for indirect, special, incidental, consequential or punitive damages (as opposed to direct or actual damages).</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Change of Address, Etc.</w:t>
      </w:r>
      <w:r>
        <w:rPr>
          <w:color w:val="000000"/>
        </w:rPr>
        <w:t xml:space="preserve"> </w:t>
      </w:r>
      <w:r>
        <w:rPr>
          <w:rFonts w:ascii="Times New Roman;sans-serif" w:hAnsi="Times New Roman;sans-serif"/>
          <w:b w:val="false"/>
          <w:color w:val="000000"/>
          <w:sz w:val="22"/>
        </w:rPr>
        <w:t>Each of the Company (for itself and on behalf of the other Borrowers), the Administrative Agent, Bank of America, as an L/C Issuer, the Revolving Swing Line Lender, the New Vehicle Floorplan Swing Line Lender, the Used Vehicle Floorplan Swing Line Lender, and the New Vehicle Operations Group may change its address, facsimile or telephone number for notices and other communications hereunder by notice to the other parties hereto. Each other Lender or L/C Issuer may change its address, facsimile or telephone number for notices and other communications hereunder by notice to the Company, the Administrative Agent, the L/C Issuers, the Revolving Swing Line Lender, the New Vehicle Floorplan Swing Line Lender, the Used Vehicle Floorplan Swing Line Lender and the New Vehicle Floorplan Operations Group. In addition, each Lender and each L/C Issuer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or L/C Issuer, as applicable.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Reliance by Administrative Agent, L/C Issuer and Lenders</w:t>
      </w:r>
      <w:r>
        <w:rPr>
          <w:rFonts w:ascii="Times New Roman;sans-serif" w:hAnsi="Times New Roman;sans-serif"/>
          <w:b w:val="false"/>
          <w:color w:val="000000"/>
          <w:sz w:val="22"/>
        </w:rPr>
        <w:t xml:space="preserve">. The Administrative Agent, the L/C Issuers and the Lenders shall be entitled to rely and act upon any notices (including telephonic or electronic Revolving Committed Loan Notices, Revolving Swing Line Loan Notices, New Vehicle Floorplan Committed Loan Notices, New Vehicle Floorplan Swing Line Loan Notices, Used Vehicle Floorplan Committed Loan Notices, Used Vehicle Floorplan Swing Line Loan Notices, Letter of Credit Applications, and Conversion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and each Borrower shall indemnify the Administrative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Agent, each L/C Issuer, each Lender and the Related Parties of each of them from all losses, costs, expenses and liabilities resulting from the reliance by such Person on each notice purportedly given by or on behalf of the Company or any Borrower. All telephonic notices to and other telephonic communications with the Administrative Agent may be recorded by the Administrative Agent, and each of the parties hereto hereby consents to such recording.</w:t>
      </w:r>
    </w:p>
    <w:p>
      <w:pPr>
        <w:pStyle w:val="TextBody"/>
        <w:spacing w:lineRule="auto" w:line="240" w:before="0" w:after="240"/>
        <w:ind w:left="0" w:right="0" w:firstLine="720"/>
        <w:jc w:val="both"/>
        <w:rPr/>
      </w:pPr>
      <w:r>
        <w:rPr>
          <w:rFonts w:ascii="Times New Roman;sans-serif" w:hAnsi="Times New Roman;sans-serif"/>
          <w:b/>
          <w:color w:val="000000"/>
          <w:sz w:val="22"/>
        </w:rPr>
        <w:t>10.03</w:t>
      </w:r>
      <w:r>
        <w:rPr>
          <w:rFonts w:ascii="Times New Roman;sans-serif" w:hAnsi="Times New Roman;sans-serif"/>
          <w:b/>
          <w:color w:val="000000"/>
          <w:sz w:val="22"/>
        </w:rPr>
        <w:t>No Waiver; Cumulative Remedies; Enforcement</w:t>
      </w:r>
      <w:r>
        <w:rPr>
          <w:rFonts w:ascii="Times New Roman;sans-serif" w:hAnsi="Times New Roman;sans-serif"/>
          <w:b w:val="false"/>
          <w:color w:val="000000"/>
          <w:sz w:val="22"/>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 and provided under each other Loan Document, are cumulative and not exclusive of any rights, remedies, powers and privileges provided by law.</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color w:val="000000"/>
        </w:rPr>
        <w:t xml:space="preserve"> </w:t>
      </w:r>
      <w:r>
        <w:rPr>
          <w:rFonts w:ascii="Times New Roman;sans-serif" w:hAnsi="Times New Roman;sans-serif"/>
          <w:b w:val="false"/>
          <w:color w:val="000000"/>
          <w:sz w:val="22"/>
        </w:rPr>
        <w:t xml:space="preserve">for the benefit of all the Lenders and the L/C Issuers;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L/C Issuer) hereunder and under the other Loan Documents, (c) Bank of America as the New Vehicle Floorplan Swing Line Lender or the Used Vehicle Floorplan Swing Line Lender from exercising the rights and remedies that inure to its benefit (solely in its capacity as Swing Line Lender) hereunder and under the other Loan Documents, (d) any Lender from exercising setoff rights in accordance with </w:t>
      </w:r>
      <w:r>
        <w:rPr>
          <w:rFonts w:ascii="Times New Roman;sans-serif" w:hAnsi="Times New Roman;sans-serif"/>
          <w:b w:val="false"/>
          <w:color w:val="000000"/>
          <w:sz w:val="22"/>
          <w:u w:val="single"/>
        </w:rPr>
        <w:t>Section 10.08</w:t>
      </w:r>
      <w:r>
        <w:rPr>
          <w:color w:val="000000"/>
        </w:rPr>
        <w:t xml:space="preserve"> </w:t>
      </w:r>
      <w:r>
        <w:rPr>
          <w:rFonts w:ascii="Times New Roman;sans-serif" w:hAnsi="Times New Roman;sans-serif"/>
          <w:b w:val="false"/>
          <w:color w:val="000000"/>
          <w:sz w:val="22"/>
        </w:rPr>
        <w:t xml:space="preserve">(subject to the terms of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xml:space="preserve">), or (e) any Lender from filing proofs of claim or appearing and filing pleadings on its own behalf during the pendency of a proceeding relative to any Loan Party under any Debtor Relief Law;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color w:val="000000"/>
        </w:rPr>
        <w:t xml:space="preserve"> </w:t>
      </w:r>
      <w:r>
        <w:rPr>
          <w:rFonts w:ascii="Times New Roman;sans-serif" w:hAnsi="Times New Roman;sans-serif"/>
          <w:b w:val="false"/>
          <w:color w:val="000000"/>
          <w:sz w:val="22"/>
        </w:rPr>
        <w:t xml:space="preserve">and (ii) in addition to the matters set forth in clauses (b), (c), (d) and (e) of the preceding proviso and subject to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any Lender may, with the consent of the Required Lenders, enforce any rights and remedies available to it and as authorized by the Required Lenders.</w:t>
      </w:r>
    </w:p>
    <w:p>
      <w:pPr>
        <w:pStyle w:val="TextBody"/>
        <w:spacing w:lineRule="auto" w:line="240" w:before="0" w:after="240"/>
        <w:ind w:left="0" w:right="0" w:firstLine="720"/>
        <w:jc w:val="both"/>
        <w:rPr/>
      </w:pPr>
      <w:r>
        <w:rPr>
          <w:rFonts w:ascii="Times New Roman;sans-serif" w:hAnsi="Times New Roman;sans-serif"/>
          <w:b/>
          <w:color w:val="000000"/>
          <w:sz w:val="22"/>
        </w:rPr>
        <w:t>10.04</w:t>
      </w:r>
      <w:r>
        <w:rPr>
          <w:rFonts w:ascii="Times New Roman;sans-serif" w:hAnsi="Times New Roman;sans-serif"/>
          <w:b/>
          <w:color w:val="000000"/>
          <w:sz w:val="22"/>
        </w:rPr>
        <w:t>Expenses; Indemnity; Damage Waiver</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Company and each Borrower (jointly and severally) shall pay (i) all reasonable out-of-pocket expenses incurred by the Administrative Agent and its Affiliates (including the reasonable fees, charges and disbursements of one law firm acting as outside counsel for the Administrative Agent and one law firm acting as local counsel in each jurisdiction where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Indemnification by the Borrowers</w:t>
      </w:r>
      <w:r>
        <w:rPr>
          <w:rFonts w:ascii="Times New Roman;sans-serif" w:hAnsi="Times New Roman;sans-serif"/>
          <w:b w:val="false"/>
          <w:color w:val="000000"/>
          <w:sz w:val="22"/>
        </w:rPr>
        <w:t xml:space="preserve">. The Company and each Borrower (jointly and severally) shall indemnify the Administrative Agent (and any sub-agent thereof), the Arranger, each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157</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Lender and each L/C Issuer,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related expenses (but limited, in the case of legal fees and expenses, to the reasonable and documented fees, disbursements and other charges of (i) one counsel for the Administrative Agent and Bank of America, as Arranger, taken together, (ii) one counsel for the Lenders and the L/C Issuers, taken together, (iii) if the Administrative Agent deems it necessary, one local counsel in each relevant jurisdiction, and (iv) in the case of any actual or perceived conflict of interest with respect to any of the counsel identified in clauses (i) through (iii) above, one additional counsel for each group of affected persons similarly situated, taken as a whole (which in the case of clause (iii) will, if the Administrative Agent deems it necessary, allow for up to one additional counsel in each relevant jurisdiction)), incurred by any Indemnitee or asserted against any Indemnitee by any third party or by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(ii) any Commitment, Loan or Letter of Credit or the use or proposed use of the proceeds therefrom (including any refusal by the applicable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any Borrower or any of its Subsidiaries, or any Environmental Liability related in any way to the Company,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or (z) arise out of a dispute solely between or among Indemnitees that does not involve an act or omission by any Loan Party or any Loan Party’s Affiliates, other than any action, suit, proceeding or claim against any Indemnitee in its capacity or in fulfilling its role as an agent, arranger, L/C issuer, swing lender or similar role under hereunder or under any other Loan Document. Without limiting the provisions of </w:t>
      </w:r>
      <w:r>
        <w:rPr>
          <w:rFonts w:ascii="Times New Roman;sans-serif" w:hAnsi="Times New Roman;sans-serif"/>
          <w:b w:val="false"/>
          <w:color w:val="000000"/>
          <w:sz w:val="22"/>
          <w:u w:val="single"/>
        </w:rPr>
        <w:t>Section 3.01(c)</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10.04(b)</w:t>
      </w:r>
      <w:r>
        <w:rPr>
          <w:color w:val="000000"/>
        </w:rPr>
        <w:t xml:space="preserve"> </w:t>
      </w:r>
      <w:r>
        <w:rPr>
          <w:rFonts w:ascii="Times New Roman;sans-serif" w:hAnsi="Times New Roman;sans-serif"/>
          <w:b w:val="false"/>
          <w:color w:val="000000"/>
          <w:sz w:val="22"/>
        </w:rPr>
        <w:t>shall not apply with respect to Taxes other than any Taxes that represent losses, claims, damages, etc. arising from any non-Tax claim.</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Company or any Borrower for any reason fails to indefeasibly pay any amount required under subsection (a) or (b) of this Section to be paid by it to the Administrative Agent (or any sub-agent thereof), any L/C Issuer, any Swing Line Lender or any Related Party of any of the foregoing, each Lender severally agrees to pay to the Administrative Agent (or any such sub-agent), such L/C Issuer, such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unreimbursed expense or indemnified loss, claim, damage, liability or related expense, as the case may be, was incurred by or asserted against the Administrative Agent (or any such sub-agent) or such L/C Issuer or such Swing Line Lender in its capacity as such, or against any Related Party of any of the foregoing acting for the Administrative Agent (or any such sub-agent) or such L/C Issuer or such Swing Line Lender in connection with such capacity. The obligations of the Lenders under this subsection (c) are subject to the provisions of </w:t>
      </w:r>
      <w:r>
        <w:rPr>
          <w:rFonts w:ascii="Times New Roman;sans-serif" w:hAnsi="Times New Roman;sans-serif"/>
          <w:b w:val="false"/>
          <w:color w:val="000000"/>
          <w:sz w:val="22"/>
          <w:u w:val="single"/>
        </w:rPr>
        <w:t>Section 2.20(d)</w:t>
      </w:r>
      <w:r>
        <w:rPr>
          <w:rFonts w:ascii="Times New Roman;sans-serif" w:hAnsi="Times New Roman;sans-serif"/>
          <w:b w:val="false"/>
          <w:color w:val="000000"/>
          <w:sz w:val="22"/>
        </w:rPr>
        <w:t>.</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158</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Waiver of Consequential Damages, Etc.</w:t>
      </w:r>
      <w:r>
        <w:rPr>
          <w:color w:val="000000"/>
        </w:rPr>
        <w:t xml:space="preserve"> </w:t>
      </w:r>
      <w:r>
        <w:rPr>
          <w:rFonts w:ascii="Times New Roman;sans-serif" w:hAnsi="Times New Roman;sans-serif"/>
          <w:b w:val="false"/>
          <w:color w:val="000000"/>
          <w:sz w:val="22"/>
        </w:rPr>
        <w:t>To the fullest extent permitted by applicable law, neither the Company nor any Borrower shall assert, and each of the Company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All amounts due under this Section shall be payable not later than ten Business Days after demand therefor.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The agreements in this Section and the indemnity provisions of </w:t>
      </w:r>
      <w:r>
        <w:rPr>
          <w:rFonts w:ascii="Times New Roman;sans-serif" w:hAnsi="Times New Roman;sans-serif"/>
          <w:b w:val="false"/>
          <w:color w:val="000000"/>
          <w:sz w:val="22"/>
          <w:u w:val="single"/>
        </w:rPr>
        <w:t>Section 10.02(e)</w:t>
      </w:r>
      <w:r>
        <w:rPr>
          <w:color w:val="000000"/>
        </w:rPr>
        <w:t xml:space="preserve"> </w:t>
      </w:r>
      <w:r>
        <w:rPr>
          <w:rFonts w:ascii="Times New Roman;sans-serif" w:hAnsi="Times New Roman;sans-serif"/>
          <w:b w:val="false"/>
          <w:color w:val="000000"/>
          <w:sz w:val="22"/>
        </w:rPr>
        <w:t>shall survive the resignation of the Administrative Agent, any L/C Issuer, Bank of America as the Revolving Swing Line Lender, the Used Vehicle Floorplan Swing Line Lender and the Used Vehicle Floorplan Swing Line Lender, the replacement of any Lender, the termination of the Aggregate Commitments and the repayment, satisfaction or discharge of all the other Obligations.</w:t>
      </w:r>
    </w:p>
    <w:p>
      <w:pPr>
        <w:pStyle w:val="TextBody"/>
        <w:spacing w:lineRule="auto" w:line="240" w:before="0" w:after="240"/>
        <w:ind w:left="0" w:right="0" w:firstLine="720"/>
        <w:jc w:val="both"/>
        <w:rPr/>
      </w:pPr>
      <w:r>
        <w:rPr>
          <w:rFonts w:ascii="Times New Roman;sans-serif" w:hAnsi="Times New Roman;sans-serif"/>
          <w:b/>
          <w:color w:val="000000"/>
          <w:sz w:val="22"/>
        </w:rPr>
        <w:t>10.05</w:t>
      </w:r>
      <w:r>
        <w:rPr>
          <w:rFonts w:ascii="Times New Roman;sans-serif" w:hAnsi="Times New Roman;sans-serif"/>
          <w:b/>
          <w:color w:val="000000"/>
          <w:sz w:val="22"/>
        </w:rPr>
        <w:t>Payments Set Aside</w:t>
      </w:r>
      <w:r>
        <w:rPr>
          <w:rFonts w:ascii="Times New Roman;sans-serif" w:hAnsi="Times New Roman;sans-serif"/>
          <w:b w:val="false"/>
          <w:color w:val="000000"/>
          <w:sz w:val="22"/>
        </w:rPr>
        <w:t xml:space="preserve">. To the extent that any payment by or on behalf of the Company or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pStyle w:val="TextBody"/>
        <w:spacing w:lineRule="auto" w:line="240" w:before="0" w:after="240"/>
        <w:ind w:left="0" w:right="0" w:firstLine="720"/>
        <w:jc w:val="both"/>
        <w:rPr/>
      </w:pPr>
      <w:r>
        <w:rPr>
          <w:rFonts w:ascii="Times New Roman;sans-serif" w:hAnsi="Times New Roman;sans-serif"/>
          <w:b/>
          <w:color w:val="000000"/>
          <w:sz w:val="22"/>
        </w:rPr>
        <w:t>10.06</w:t>
      </w:r>
      <w:r>
        <w:rPr>
          <w:rFonts w:ascii="Times New Roman;sans-serif" w:hAnsi="Times New Roman;sans-serif"/>
          <w:b/>
          <w:color w:val="000000"/>
          <w:sz w:val="22"/>
        </w:rPr>
        <w:t>Successors and Assigns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The provisions of this Agreement shall be binding upon and inure to the benefit of the parties hereto and their respective successors and assigns permitted hereby, except that neither the Company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Eligible Assignees all or a portion of its rights and obligations under this Agreement (including all or a portion of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its Revolving Commitment and the Revolving Loans at the time owing to it (including for purposes of this subsection (b), participations in L/C Obligations and in Revolving Swing Line Loans) or its New Vehicle Floorplan Commitment and the New Vehicle Floorplan Loans at the time owing to it (including for purposes of this subsection (b), participations in New Vehicle Floorplan Swing Line Loans), or its Used Vehicle Floorplan Commitment and the Used Vehicle Floorplan Loans at the time owing to it (including for purposes of this subsection (b), participations in Used Vehicle Floorplan Swing Line Loans) (such Lender’s portion of Loans, Commitments and risk participations with respect to an Applicable Facility being referred to in this </w:t>
      </w:r>
      <w:r>
        <w:rPr>
          <w:rFonts w:ascii="Times New Roman;sans-serif" w:hAnsi="Times New Roman;sans-serif"/>
          <w:b w:val="false"/>
          <w:color w:val="000000"/>
          <w:sz w:val="22"/>
          <w:u w:val="single"/>
        </w:rPr>
        <w:t>Section 10.06</w:t>
      </w:r>
      <w:r>
        <w:rPr>
          <w:color w:val="000000"/>
        </w:rPr>
        <w:t xml:space="preserve"> </w:t>
      </w:r>
      <w:r>
        <w:rPr>
          <w:rFonts w:ascii="Times New Roman;sans-serif" w:hAnsi="Times New Roman;sans-serif"/>
          <w:b w:val="false"/>
          <w:color w:val="000000"/>
          <w:sz w:val="22"/>
        </w:rPr>
        <w:t>as its “</w:t>
      </w:r>
      <w:r>
        <w:rPr>
          <w:rFonts w:ascii="Times New Roman;sans-serif" w:hAnsi="Times New Roman;sans-serif"/>
          <w:b w:val="false"/>
          <w:color w:val="000000"/>
          <w:sz w:val="22"/>
          <w:u w:val="single"/>
        </w:rPr>
        <w:t>Applicable Share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assignment shall be subject to the following conditions: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(i)Minimum Amounts.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(A)in the case of an assignment of the entire remaining amount of the assigning Lender’s Commitment under any Applicable Facility and the Loans at the time owing to it under such Applicable Facility or in the case of an assignment to a Lender, an Affiliate of a Lender or an Approved Fund, no minimum amount need be assigned; and</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(B)in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pStyle w:val="TextBody"/>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xml:space="preserve">. Each partial assignment shall be made as an assignment of a proportionate part of all the assigning Lender’s rights and obligations under this Agreement with respect to the Loans and Commitments assigned (i.e. if a Lender assigns 25% of its Revolving Facility Commitment, such Lender must also simultaneously assign 25% of its New Vehicle Floorplan Commitment and 25% of its Used Vehicle Floorplan Commitment); and each assignment (whether partial or total) shall be allocated on a pro rata basis among the assigning Lender’s Loans and Commitments under each of the Facilities; except that this clause (ii) shall not apply to rights in respect of the Revolving Swing Line Lender’s, Used Vehicle Floorplan Swing Line Lender’s or New Vehicle Floorplan Swing Line Lender’s rights and obligations in respect of its applicable Swing Line Loans. </w:t>
      </w:r>
    </w:p>
    <w:p>
      <w:pPr>
        <w:pStyle w:val="TextBody"/>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No consent shall be required for any assignment except to the extent required by subsection (b)(i)(B) of this Section and, in addition:</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be deemed to have consented to any such assignment unless it shall object thereto by written notice to the Administrative Agent within ten (10) Business Days after having received notice thereof;</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consent of the Administrative Agent (such consent not to be unreasonably withheld or delayed) shall be required if such assignment is to a Person that is not a Lender, an Affiliate of such Lender or an Approved Fund with respect to such Lender;</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160</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(C)the consent of the L/C Issuers (such consent not to be unreasonably withheld or delayed) shall be required for any assignment that increases the obligation of the assignee to participate in exposure under one or more Letters of Credit (whether or not then outstanding);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(D)the consent of the applicable Swing Line Lender (such consent not to be unreasonably withheld or delayed) shall be required for any assignment in respect of any Applicable Facility.</w:t>
      </w:r>
    </w:p>
    <w:p>
      <w:pPr>
        <w:pStyle w:val="TextBody"/>
        <w:spacing w:lineRule="auto" w:line="240" w:before="0" w:after="24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spacing w:lineRule="auto" w:line="240" w:before="0" w:after="240"/>
        <w:ind w:left="0" w:right="0" w:firstLine="72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No such assignment shall be made (A) to the Company or any of the Company’s Subsidiaries, (B) to any Defaulting Lender or any of its Subsidiaries, or (C) any competitor of the Company which has been identified in writing by the Company in a document that has been posted on a site maintained by the Administrative Agent and available to all of the Lenders prior to assignor’s and assignee’s execution of the applicable Assignment and Assumption (any such Person, a “</w:t>
      </w:r>
      <w:r>
        <w:rPr>
          <w:rFonts w:ascii="Times New Roman;sans-serif" w:hAnsi="Times New Roman;sans-serif"/>
          <w:b w:val="false"/>
          <w:color w:val="000000"/>
          <w:sz w:val="22"/>
          <w:u w:val="single"/>
        </w:rPr>
        <w:t>Competitor</w:t>
      </w:r>
      <w:r>
        <w:rPr>
          <w:color w:val="000000"/>
        </w:rPr>
        <w:t>”</w:t>
      </w:r>
      <w:r>
        <w:rPr>
          <w:rFonts w:ascii="Times New Roman;sans-serif" w:hAnsi="Times New Roman;sans-serif"/>
          <w:b w:val="false"/>
          <w:color w:val="000000"/>
          <w:sz w:val="22"/>
        </w:rPr>
        <w:t xml:space="preserve">), or any Person who, upon becoming a Lender hereunder, would constitute any of the foregoing Persons described in this clause (B), or (C) to a natural person (or a holding company investment vehicle or trust for, or owned and operated for the primary benefit of a natural person). The Administrative Agent shall have no responsibility for determining whether any assignee is a Competitor. </w:t>
      </w:r>
    </w:p>
    <w:p>
      <w:pPr>
        <w:pStyle w:val="TextBody"/>
        <w:spacing w:lineRule="auto" w:line="240" w:before="0" w:after="240"/>
        <w:ind w:left="0" w:right="0" w:firstLine="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Representation Regarding Competitors</w:t>
      </w:r>
      <w:r>
        <w:rPr>
          <w:rFonts w:ascii="Times New Roman;sans-serif" w:hAnsi="Times New Roman;sans-serif"/>
          <w:b w:val="false"/>
          <w:color w:val="000000"/>
          <w:sz w:val="22"/>
        </w:rPr>
        <w:t xml:space="preserve">. The Assignment and Assumption shall contain a representation and warranty (A) from the assignor that the assignee is not a Competitor and (B) from the assignee that it is not primarily engaged in the business of owning or operating automobile dealerships. </w:t>
      </w:r>
    </w:p>
    <w:p>
      <w:pPr>
        <w:pStyle w:val="TextBody"/>
        <w:spacing w:lineRule="auto" w:line="240" w:before="0" w:after="240"/>
        <w:ind w:left="0" w:right="0" w:firstLine="72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Subject to acceptance and recording thereof by the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3.01</w:t>
      </w:r>
      <w:r>
        <w:rPr>
          <w:rFonts w:ascii="Times New Roman;sans-serif" w:hAnsi="Times New Roman;sans-serif"/>
          <w:b w:val="false"/>
          <w:color w:val="000000"/>
          <w:sz w:val="22"/>
        </w:rPr>
        <w:t xml:space="preserv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10.04</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Revolving Note, New Vehicle Floorplan Note and Used Vehicle Floorplan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Administrative Agent, acting solely for this purpose as an agent of the Company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absent manifest error, and the Company,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each of the Borrowers, any Lender and any L/C Issuer, at any reasonable time and from time to time upon reasonable prior notice.</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Any Lender may at any time, without the consent of, or notice to, the Company, any Borrower, the Revolving Swing Line Lender, the New Vehicle Floorplan Swing Line Lender, the Used Vehicle Floorplan Swing Line Lender, any L/C Issuer or the Administrative Agent, sell participations to any Person (other than (w) a Defaulting Lender, (x) a natural person or a holding company investment vehicle or trust for, or owned and operated for the primary benefit of a natural person, (y) the Company or any of the Company’s Affiliates or Subsidiaries or (z) any competitor of the Company which has been identified in writing by the Company in a document that has been made available to all of the Lenders)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 and/or the Loans (including such Lender’s participations in L/C Obligations, Revolving Swing Line Loans, New Vehicle Floorplan Swing Line Loans and/or Used Vehicle Floorplan Swing Line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Lender’s obligations under this Agreement shall remain unchanged, (ii) such Lender shall remain solely responsible to the other parties hereto for the performance of such obligations and (iii) the Company,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without regard to the existence of any participation. The Administrative Agent shall have no responsibility for determining whether any Participant is a competitor.</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and shall contain a representation and warranty (A) from the Lender selling the participation that the prospective participant is not a Competitor and (B) from the prospective participant that it is not primarily engaged in the business of owning or operating automobile dealerships;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waiver or other modification described in the first proviso to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 xml:space="preserve">that affects such Participant. Subject to subsection (e) of this Section, the Company agrees that each Participant shall be entitled to the benefits of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3.04</w:t>
      </w:r>
      <w:r>
        <w:rPr>
          <w:color w:val="000000"/>
        </w:rPr>
        <w:t xml:space="preserve"> </w:t>
      </w:r>
      <w:r>
        <w:rPr>
          <w:rFonts w:ascii="Times New Roman;sans-serif" w:hAnsi="Times New Roman;sans-serif"/>
          <w:b w:val="false"/>
          <w:color w:val="000000"/>
          <w:sz w:val="22"/>
        </w:rPr>
        <w:t xml:space="preserve">to the same extent as if it were a Lender and had acquired its interest by assignment pursuant to subsection (b) of this Section (it being understood that the documentation required under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 xml:space="preserve">shall be delivered to the Lender who sells the participation) to the same extent as if it were a Lender and had acquired its interest by assignment pursuant to subsection (b) of this Section; provided that such Participant (A) agrees to be subject to the provisions of </w:t>
      </w:r>
      <w:r>
        <w:rPr>
          <w:rFonts w:ascii="Times New Roman;sans-serif" w:hAnsi="Times New Roman;sans-serif"/>
          <w:b w:val="false"/>
          <w:color w:val="000000"/>
          <w:sz w:val="22"/>
          <w:u w:val="single"/>
        </w:rPr>
        <w:t>Sections 3.05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10.13</w:t>
      </w:r>
      <w:r>
        <w:rPr>
          <w:color w:val="000000"/>
        </w:rPr>
        <w:t xml:space="preserve"> </w:t>
      </w:r>
      <w:r>
        <w:rPr>
          <w:rFonts w:ascii="Times New Roman;sans-serif" w:hAnsi="Times New Roman;sans-serif"/>
          <w:b w:val="false"/>
          <w:color w:val="000000"/>
          <w:sz w:val="22"/>
        </w:rPr>
        <w:t xml:space="preserve">as if it were an assignee under subsection (b) of this Section and (B) shall not be entitled to receive any greater payment under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with respect to any participation, than the Lender from whom it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sans-serif" w:hAnsi="Times New Roman;sans-serif"/>
          <w:b w:val="false"/>
          <w:color w:val="000000"/>
          <w:sz w:val="22"/>
          <w:u w:val="single"/>
        </w:rPr>
        <w:t>Section 3.05</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10.08</w:t>
      </w:r>
      <w:r>
        <w:rPr>
          <w:color w:val="000000"/>
        </w:rPr>
        <w:t xml:space="preserve"> </w:t>
      </w:r>
      <w:r>
        <w:rPr>
          <w:rFonts w:ascii="Times New Roman;sans-serif" w:hAnsi="Times New Roman;sans-serif"/>
          <w:b w:val="false"/>
          <w:color w:val="000000"/>
          <w:sz w:val="22"/>
        </w:rPr>
        <w:t xml:space="preserve">as though it were a Lender; provided that such Participant agrees to be subject to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Limitations upon Participant Rights</w:t>
      </w:r>
      <w:r>
        <w:rPr>
          <w:rFonts w:ascii="Times New Roman;sans-serif" w:hAnsi="Times New Roman;sans-serif"/>
          <w:b w:val="false"/>
          <w:color w:val="000000"/>
          <w:sz w:val="22"/>
        </w:rPr>
        <w:t xml:space="preserve">. A Participant shall not be entitled to receive any greater payment under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color w:val="000000"/>
        </w:rPr>
        <w:t xml:space="preserve"> </w:t>
      </w:r>
      <w:r>
        <w:rPr>
          <w:rFonts w:ascii="Times New Roman;sans-serif" w:hAnsi="Times New Roman;sans-serif"/>
          <w:b w:val="false"/>
          <w:color w:val="000000"/>
          <w:sz w:val="22"/>
        </w:rPr>
        <w:t xml:space="preserve">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unless the Company is notified of the participation sold to such Participant and such Participant agrees, for the benefit of the Company, to comply with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as though it were a Lender.</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Resignation as L/C Issuer, Revolving Swing Line Lender, New Vehicle Floorplan Swing Line Lender or Used Vehicle Floorplan Swing Line Lender after Assignment</w:t>
      </w:r>
      <w:r>
        <w:rPr>
          <w:rFonts w:ascii="Times New Roman;sans-serif" w:hAnsi="Times New Roman;sans-serif"/>
          <w:b w:val="false"/>
          <w:color w:val="000000"/>
          <w:sz w:val="22"/>
        </w:rPr>
        <w:t xml:space="preserve">. Notwithstanding anything to the contrary contained herein, (i) if at any time Bank of America assigns all of its Commitment and Loans pursuant to subsection (b) above, Bank of America may, (A) upon 30 days’ notice to the Company and the Lenders, resign as an L/C Issuer and/or (B) upon 30 days’ notice to the Company, resign as Revolving Swing Line Lender and/or (C) upon 30 days’ notice to the Company, resign as New Vehicle Floorplan Swing Line Lender and/or (D) upon 30 days notice to the Company, resign as Used Vehicle Floorplan Swing Line Lender, and (ii) if any time any other L/C Issuer assigns all of its Commitment and Loans pursuant to subsection (b) above, such L/C Issuer may, upon 30 days’ notice to the Company and the Lenders, resign as an L/C Issuer. In the event of any such resignation as L/C Issuer, Revolving Swing Line Lender, New Vehicle Floorplan Swing Line Lender or Used Vehicle Floorplan Swing Line Lender, the Company shall be entitled to appoint from among the Lenders a successor L/C Issuer, Revolving Swing Line Lender, New Vehicle Floorplan Swing Line Lender or Used Vehicle Floorplan Swing Line Lender hereunder;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xml:space="preserve">, that no failure by the Company to appoint any such successor shall affect the resignation of Bank of America or any other Person as L/C Issuer, Revolving Swing Line Lender, New Vehicle Floorplan Swing Line Lender or Used Vehicle Floorplan Swing Line Lender, as the case may be. If Bank of America or any other Person resigns as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Eurodollar Committed Loans or fund risk participations in Unreimbursed Amounts pursuant to Section 2.03(c)). If Bank of America resigns as Revolving Swing Line Lender, it shall retain all the rights of the Revolving Swing Line Lender provided for hereunder with respect to Revolving Swing Line Loans made by it and outstanding as of the effective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date of such resignation, including the right to require the Revolving Lenders to make Eurodollar Rate Committed Loans or fund risk participations in outstanding Revolving Swing Line Loans pursuant to Section 2.04(c). If Bank of America resigns as New Vehicle Floorplan Swing Line Lender, it shall retain all the rights of the New Vehicle Floorplan Swing Line Lender provided for hereunder with respect to New Vehicle Floorplan Swing Line Loans made by it and outstanding as of the effective date of such resignation, including the right to require the New Vehicle Floorplan Lenders to make Eurodollar Rate Committed Loans or fund risk participations in outstanding New Vehicle Floorplan Swing Line Loans pursuant to Section 2.07(d). If Bank of America resigns as Used Vehicle Floorplan Swing Line Lender, it shall retain all the rights of the Used Vehicle Floorplan Swing Line Lender provided for hereunder with respect to Used Vehicle Floorplan Swing Line Loans made by it and outstanding as of the effective date of such resignation, including the right to require the Used Vehicle Floorplan Lenders to make Eurodollar Rate Committed Loans or fund risk participations in outstanding Used Vehicle Floorplan Swing Line Loans pursuant to Section 2.12(c). Upon the appointment of a successor L/C Issuer, Revolving Swing Line Lender, New Vehicle Floorplan Swing Line Lender and/or Used Vehicle Floorplan Swing Line Lender, (a) such successor shall succeed to and become vested with all of the rights, powers, privileges and duties of the retiring L/C Issuer, Revolving Swing Line Lender, New Vehicle Floorplan Swing Line Lender or Used Vehicle Floorplan Swing Line Lender, as the case may be, and (b) the successor L/C Issuer shall issue letters of credit in substitution for the Letters of Credit, if any, outstanding at the time of such succession or make other arrangements satisfactory to Bank of America or such other applicable retiring L/C Issuer to effectively assume the obligations of Bank of America or the applicable retiring L/C Issuer with respect to such Letters of Credit.</w:t>
      </w:r>
    </w:p>
    <w:p>
      <w:pPr>
        <w:pStyle w:val="TextBody"/>
        <w:spacing w:lineRule="auto" w:line="240" w:before="0" w:after="240"/>
        <w:ind w:left="0" w:right="0" w:firstLine="720"/>
        <w:jc w:val="both"/>
        <w:rPr/>
      </w:pPr>
      <w:r>
        <w:rPr>
          <w:rFonts w:ascii="Times New Roman;sans-serif" w:hAnsi="Times New Roman;sans-serif"/>
          <w:b/>
          <w:color w:val="000000"/>
          <w:sz w:val="22"/>
        </w:rPr>
        <w:t>10.07</w:t>
      </w:r>
      <w:r>
        <w:rPr>
          <w:rFonts w:ascii="Times New Roman;sans-serif" w:hAnsi="Times New Roman;sans-serif"/>
          <w:b/>
          <w:color w:val="000000"/>
          <w:sz w:val="22"/>
        </w:rPr>
        <w:t>Treatment of Certain Information; Confidentiality</w:t>
      </w:r>
      <w:r>
        <w:rPr>
          <w:rFonts w:ascii="Times New Roman;sans-serif" w:hAnsi="Times New Roman;sans-serif"/>
          <w:b w:val="false"/>
          <w:color w:val="000000"/>
          <w:sz w:val="22"/>
        </w:rPr>
        <w:t xml:space="preserve">. Each of the Administrative Agent, the Lenders and the L/C Issuers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sans-serif" w:hAnsi="Times New Roman;sans-serif"/>
          <w:b w:val="false"/>
          <w:color w:val="000000"/>
          <w:sz w:val="22"/>
          <w:u w:val="single"/>
        </w:rPr>
        <w:t>Section 2.22(c)</w:t>
      </w:r>
      <w:r>
        <w:rPr>
          <w:color w:val="000000"/>
        </w:rPr>
        <w:t xml:space="preserve"> </w:t>
      </w:r>
      <w:r>
        <w:rPr>
          <w:rFonts w:ascii="Times New Roman;sans-serif" w:hAnsi="Times New Roman;sans-serif"/>
          <w:b w:val="false"/>
          <w:color w:val="000000"/>
          <w:sz w:val="22"/>
        </w:rPr>
        <w:t xml:space="preserve">or (ii) any actual or prospective counterparty (or its Related Parties) to any swap or derivative transaction relating to the Company and its obligations, (g) on a confidential basis to (i) any rating agency in connection with rating the Company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or (i)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Company.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purposes of this Section, “Information” means all information received from the Company or any Subsidiary relating to Company or any Subsidiary or any of their respective businesses, other than any such information that is available to the Administrative Agent, any Lender or any L/C Issuer on a nonconfidential basis prior to disclosure by the Company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164</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spacing w:lineRule="auto" w:line="240" w:before="0" w:after="240"/>
        <w:ind w:left="0" w:right="0" w:firstLine="720"/>
        <w:jc w:val="both"/>
        <w:rPr/>
      </w:pPr>
      <w:r>
        <w:rPr>
          <w:rFonts w:ascii="Times New Roman;sans-serif" w:hAnsi="Times New Roman;sans-serif"/>
          <w:b/>
          <w:color w:val="000000"/>
          <w:sz w:val="22"/>
        </w:rPr>
        <w:t>10.08</w:t>
      </w:r>
      <w:r>
        <w:rPr>
          <w:rFonts w:ascii="Times New Roman;sans-serif" w:hAnsi="Times New Roman;sans-serif"/>
          <w:b/>
          <w:color w:val="000000"/>
          <w:sz w:val="22"/>
        </w:rPr>
        <w:t>Right of Setoff</w:t>
      </w:r>
      <w:r>
        <w:rPr>
          <w:rFonts w:ascii="Times New Roman;sans-serif" w:hAnsi="Times New Roman;sans-serif"/>
          <w:b w:val="false"/>
          <w:color w:val="000000"/>
          <w:sz w:val="22"/>
        </w:rPr>
        <w:t xml:space="preserve">.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Borrower against any and all of the obligations of the Company or any Borrower, as applicable,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Company or such Borrower may be contingent or unmatured or are owed to a branch, office or Affiliate of such Lender or such L/C Issuer different from the branch, office or Affiliate holding such deposit or obligated on such indebtedness;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pStyle w:val="TextBody"/>
        <w:spacing w:lineRule="auto" w:line="240" w:before="0" w:after="240"/>
        <w:ind w:left="0" w:right="0" w:firstLine="720"/>
        <w:jc w:val="both"/>
        <w:rPr/>
      </w:pPr>
      <w:r>
        <w:rPr>
          <w:rFonts w:ascii="Times New Roman;sans-serif" w:hAnsi="Times New Roman;sans-serif"/>
          <w:b/>
          <w:color w:val="000000"/>
          <w:sz w:val="22"/>
        </w:rPr>
        <w:t>10.09</w:t>
      </w:r>
      <w:r>
        <w:rPr>
          <w:rFonts w:ascii="Times New Roman;sans-serif" w:hAnsi="Times New Roman;sans-serif"/>
          <w:b/>
          <w:color w:val="000000"/>
          <w:sz w:val="22"/>
        </w:rPr>
        <w:t>Interest Rate Limitation</w:t>
      </w:r>
      <w:r>
        <w:rPr>
          <w:rFonts w:ascii="Times New Roman;sans-serif" w:hAnsi="Times New Roman;sans-serif"/>
          <w:b w:val="false"/>
          <w:color w:val="000000"/>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spacing w:lineRule="auto" w:line="240" w:before="0" w:after="240"/>
        <w:ind w:left="0" w:right="0" w:firstLine="720"/>
        <w:jc w:val="both"/>
        <w:rPr/>
      </w:pPr>
      <w:r>
        <w:rPr>
          <w:rFonts w:ascii="Times New Roman;sans-serif" w:hAnsi="Times New Roman;sans-serif"/>
          <w:b/>
          <w:color w:val="000000"/>
          <w:sz w:val="22"/>
        </w:rPr>
        <w:t>10.10</w:t>
      </w:r>
      <w:r>
        <w:rPr>
          <w:rFonts w:ascii="Times New Roman;sans-serif" w:hAnsi="Times New Roman;sans-serif"/>
          <w:b/>
          <w:color w:val="000000"/>
          <w:sz w:val="22"/>
        </w:rPr>
        <w:t>Counterparts; Integration; Effectiveness</w:t>
      </w:r>
      <w:r>
        <w:rPr>
          <w:rFonts w:ascii="Times New Roman;sans-serif" w:hAnsi="Times New Roman;sans-serif"/>
          <w:b w:val="false"/>
          <w:color w:val="000000"/>
          <w:sz w:val="22"/>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pStyle w:val="TextBody"/>
        <w:spacing w:lineRule="auto" w:line="240" w:before="0" w:after="240"/>
        <w:ind w:left="0" w:right="0" w:firstLine="720"/>
        <w:jc w:val="both"/>
        <w:rPr/>
      </w:pPr>
      <w:r>
        <w:rPr>
          <w:rFonts w:ascii="Times New Roman;sans-serif" w:hAnsi="Times New Roman;sans-serif"/>
          <w:b/>
          <w:color w:val="000000"/>
          <w:sz w:val="22"/>
        </w:rPr>
        <w:t>10.11</w:t>
      </w:r>
      <w:r>
        <w:rPr>
          <w:rFonts w:ascii="Times New Roman;sans-serif" w:hAnsi="Times New Roman;sans-serif"/>
          <w:b/>
          <w:color w:val="000000"/>
          <w:sz w:val="22"/>
        </w:rPr>
        <w:t>Survival of Representations and Warranties</w:t>
      </w:r>
      <w:r>
        <w:rPr>
          <w:rFonts w:ascii="Times New Roman;sans-serif" w:hAnsi="Times New Roman;sans-serif"/>
          <w:b w:val="false"/>
          <w:color w:val="000000"/>
          <w:sz w:val="22"/>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spacing w:lineRule="auto" w:line="240" w:before="0" w:after="240"/>
        <w:ind w:left="0" w:right="0" w:firstLine="720"/>
        <w:jc w:val="both"/>
        <w:rPr/>
      </w:pPr>
      <w:r>
        <w:rPr>
          <w:rFonts w:ascii="Times New Roman;sans-serif" w:hAnsi="Times New Roman;sans-serif"/>
          <w:b/>
          <w:color w:val="000000"/>
          <w:sz w:val="22"/>
        </w:rPr>
        <w:t>10.12</w:t>
      </w:r>
      <w:r>
        <w:rPr>
          <w:rFonts w:ascii="Times New Roman;sans-serif" w:hAnsi="Times New Roman;sans-serif"/>
          <w:b/>
          <w:color w:val="000000"/>
          <w:sz w:val="22"/>
        </w:rPr>
        <w:t>Severability</w:t>
      </w:r>
      <w:r>
        <w:rPr>
          <w:rFonts w:ascii="Times New Roman;sans-serif" w:hAnsi="Times New Roman;sans-serif"/>
          <w:b w:val="false"/>
          <w:color w:val="000000"/>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ans-serif" w:hAnsi="Times New Roman;sans-serif"/>
          <w:b w:val="false"/>
          <w:color w:val="000000"/>
          <w:sz w:val="22"/>
          <w:u w:val="single"/>
        </w:rPr>
        <w:t>Section 10.12</w:t>
      </w:r>
      <w:r>
        <w:rPr>
          <w:rFonts w:ascii="Times New Roman;sans-serif" w:hAnsi="Times New Roman;sans-serif"/>
          <w:b w:val="false"/>
          <w:color w:val="000000"/>
          <w:sz w:val="22"/>
        </w:rPr>
        <w:t>, if and to the extent that the enforceability of any provisions in this Agreement relating to Defaulting Lenders shall be limited by Debtor Relief Laws, as determined in good faith by the Administrative Agent, the L/C Issuers, the Revolving Swing Line Lender, the New Vehicle Floorplan Swing Line Lender or the Used Vehicle Floorplan Swing Line Lenders, as applicable, then such provisions shall be deemed to be in effect only to the extent not so limited.</w:t>
      </w:r>
    </w:p>
    <w:p>
      <w:pPr>
        <w:pStyle w:val="TextBody"/>
        <w:spacing w:lineRule="auto" w:line="240" w:before="0" w:after="240"/>
        <w:ind w:left="0" w:right="0" w:firstLine="720"/>
        <w:jc w:val="both"/>
        <w:rPr/>
      </w:pPr>
      <w:r>
        <w:rPr>
          <w:rFonts w:ascii="Times New Roman;sans-serif" w:hAnsi="Times New Roman;sans-serif"/>
          <w:b/>
          <w:color w:val="000000"/>
          <w:sz w:val="22"/>
        </w:rPr>
        <w:t>10.13</w:t>
      </w:r>
      <w:r>
        <w:rPr>
          <w:rFonts w:ascii="Times New Roman;sans-serif" w:hAnsi="Times New Roman;sans-serif"/>
          <w:b/>
          <w:color w:val="000000"/>
          <w:sz w:val="22"/>
        </w:rPr>
        <w:t>Replacement of Lenders</w:t>
      </w:r>
      <w:r>
        <w:rPr>
          <w:rFonts w:ascii="Times New Roman;sans-serif" w:hAnsi="Times New Roman;sans-serif"/>
          <w:b w:val="false"/>
          <w:color w:val="000000"/>
          <w:sz w:val="22"/>
        </w:rPr>
        <w:t xml:space="preserve">. If the Company or any other Borrower is entitled to replace a Lender pursuant to the provisions of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or if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all of its interests, rights (other than its existing rights to payments pursuant to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Company shall have paid to the Administrative Agent the assignment fee specified in </w:t>
      </w:r>
      <w:r>
        <w:rPr>
          <w:rFonts w:ascii="Times New Roman;sans-serif" w:hAnsi="Times New Roman;sans-serif"/>
          <w:b w:val="false"/>
          <w:color w:val="000000"/>
          <w:sz w:val="22"/>
          <w:u w:val="single"/>
        </w:rPr>
        <w:t>Section 10.06(b)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such Lender shall have received payment of an amount equal to 100% of the outstanding principal of its Loans and L/C Advances, accrued interest thereon, accrued fees and all other amounts payable to it hereunder and under the other Loan Documents from the assignee (to the extent of such outstanding principal and accrued interest and fees) or the Company (in the case of all other amounts);</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in the case of any such assignment resulting from a claim for compensation under </w:t>
      </w:r>
      <w:r>
        <w:rPr>
          <w:rFonts w:ascii="Times New Roman;sans-serif" w:hAnsi="Times New Roman;sans-serif"/>
          <w:b w:val="false"/>
          <w:color w:val="000000"/>
          <w:sz w:val="22"/>
          <w:u w:val="single"/>
        </w:rPr>
        <w:t>Section 3.04</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such assignment will result in a reduction in such compensation or payments thereafter;</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such assignment does not conflict with applicable Laws; and</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in the case of an assignment resulting from a Lender becoming a Non-Consenting Lender, the applicable assignee shall have consented to the applicable amendment, waiver or consent.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Lender shall not be required to make any such assignment or delegation if, prior thereto, as a result of a waiver by such Lender or otherwise, the circumstances entitling the Company to require such assignment and delegation cease to apply.</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Each party hereto agrees that (a) an assignment required pursuant to this </w:t>
      </w:r>
      <w:r>
        <w:rPr>
          <w:rFonts w:ascii="Times New Roman;sans-serif" w:hAnsi="Times New Roman;sans-serif"/>
          <w:b w:val="false"/>
          <w:color w:val="000000"/>
          <w:sz w:val="22"/>
          <w:u w:val="single"/>
        </w:rPr>
        <w:t>Section 10.13</w:t>
      </w:r>
      <w:r>
        <w:rPr>
          <w:color w:val="000000"/>
        </w:rPr>
        <w:t xml:space="preserve"> </w:t>
      </w:r>
      <w:r>
        <w:rPr>
          <w:rFonts w:ascii="Times New Roman;sans-serif" w:hAnsi="Times New Roman;sans-serif"/>
          <w:b w:val="false"/>
          <w:color w:val="000000"/>
          <w:sz w:val="22"/>
        </w:rPr>
        <w:t xml:space="preserve">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such documents shall be without recourse to or warranty by the parties thereto.</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166</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Notwithstanding anything in this </w:t>
      </w:r>
      <w:r>
        <w:rPr>
          <w:rFonts w:ascii="Times New Roman;sans-serif" w:hAnsi="Times New Roman;sans-serif"/>
          <w:b w:val="false"/>
          <w:color w:val="000000"/>
          <w:sz w:val="22"/>
          <w:u w:val="single"/>
        </w:rPr>
        <w:t>Section 10.13</w:t>
      </w:r>
      <w:r>
        <w:rPr>
          <w:color w:val="000000"/>
        </w:rPr>
        <w:t xml:space="preserve"> </w:t>
      </w:r>
      <w:r>
        <w:rPr>
          <w:rFonts w:ascii="Times New Roman;sans-serif" w:hAnsi="Times New Roman;sans-serif"/>
          <w:b w:val="false"/>
          <w:color w:val="000000"/>
          <w:sz w:val="22"/>
        </w:rPr>
        <w:t xml:space="preserve">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10.14</w:t>
      </w:r>
      <w:r>
        <w:rPr>
          <w:rFonts w:ascii="Times New Roman;sans-serif" w:hAnsi="Times New Roman;sans-serif"/>
          <w:b/>
          <w:color w:val="000000"/>
          <w:sz w:val="22"/>
        </w:rPr>
        <w:t>Governing Law; Jurisdiction; Etc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SUBMISSION TO JURISDICTION</w:t>
      </w:r>
      <w:r>
        <w:rPr>
          <w:rFonts w:ascii="Times New Roman;sans-serif" w:hAnsi="Times New Roman;sans-serif"/>
          <w:b w:val="false"/>
          <w:color w:val="000000"/>
          <w:sz w:val="22"/>
        </w:rPr>
        <w:t>. THE COMPANY AND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COMPANY OR ANY BORROWER OR ITS PROPERTIES IN THE COURTS OF ANY JURISDICTION.</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WAIVER OF VENUE</w:t>
      </w:r>
      <w:r>
        <w:rPr>
          <w:rFonts w:ascii="Times New Roman;sans-serif" w:hAnsi="Times New Roman;sans-serif"/>
          <w:b w:val="false"/>
          <w:color w:val="000000"/>
          <w:sz w:val="22"/>
        </w:rPr>
        <w:t>. THE COMPANY AND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SERVICE OF PROCESS</w:t>
      </w:r>
      <w:r>
        <w:rPr>
          <w:rFonts w:ascii="Times New Roman;sans-serif" w:hAnsi="Times New Roman;sans-serif"/>
          <w:b w:val="false"/>
          <w:color w:val="000000"/>
          <w:sz w:val="22"/>
        </w:rPr>
        <w:t xml:space="preserve">. EACH PARTY HERETO IRREVOCABLY CONSENTS TO SERVICE OF PROCESS IN THE MANNER PROVIDED FOR NOTICES IN </w:t>
      </w:r>
      <w:r>
        <w:rPr>
          <w:rFonts w:ascii="Times New Roman;sans-serif" w:hAnsi="Times New Roman;sans-serif"/>
          <w:b w:val="false"/>
          <w:color w:val="000000"/>
          <w:sz w:val="22"/>
          <w:u w:val="single"/>
        </w:rPr>
        <w:t>SECTION 10.02</w:t>
      </w:r>
      <w:r>
        <w:rPr>
          <w:rFonts w:ascii="Times New Roman;sans-serif" w:hAnsi="Times New Roman;sans-serif"/>
          <w:b w:val="false"/>
          <w:color w:val="000000"/>
          <w:sz w:val="22"/>
        </w:rPr>
        <w:t>. NOTHING IN THIS AGREEMENT WILL AFFECT THE RIGHT OF ANY PARTY HERETO TO SERVE PROCESS IN ANY OTHER MANNER PERMITTED BY APPLICABLE LAW.</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167</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10.15</w:t>
      </w:r>
      <w:r>
        <w:rPr>
          <w:rFonts w:ascii="Times New Roman;sans-serif" w:hAnsi="Times New Roman;sans-serif"/>
          <w:b/>
          <w:color w:val="000000"/>
          <w:sz w:val="22"/>
        </w:rPr>
        <w:t>Waiver of Jury Trial</w:t>
      </w:r>
      <w:r>
        <w:rPr>
          <w:rFonts w:ascii="Times New Roman;sans-serif" w:hAnsi="Times New Roman;sans-serif"/>
          <w:b w:val="false"/>
          <w:color w:val="000000"/>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spacing w:lineRule="auto" w:line="240" w:before="0" w:after="240"/>
        <w:ind w:left="0" w:right="0" w:firstLine="720"/>
        <w:jc w:val="both"/>
        <w:rPr/>
      </w:pPr>
      <w:r>
        <w:rPr>
          <w:rFonts w:ascii="Times New Roman;sans-serif" w:hAnsi="Times New Roman;sans-serif"/>
          <w:b/>
          <w:color w:val="000000"/>
          <w:sz w:val="22"/>
        </w:rPr>
        <w:t>10.16</w:t>
      </w:r>
      <w:r>
        <w:rPr>
          <w:rFonts w:ascii="Times New Roman;sans-serif" w:hAnsi="Times New Roman;sans-serif"/>
          <w:b/>
          <w:color w:val="000000"/>
          <w:sz w:val="22"/>
        </w:rPr>
        <w:t>No Advisory or Fiduciary Responsibility</w:t>
      </w:r>
      <w:r>
        <w:rPr>
          <w:rFonts w:ascii="Times New Roman;sans-serif" w:hAnsi="Times New Roman;sans-serif"/>
          <w:b w:val="false"/>
          <w:color w:val="000000"/>
          <w:sz w:val="22"/>
        </w:rPr>
        <w:t>. In connection with all aspects of each transaction contemplated hereby (including in connection with any amendment, waiver or other modification hereof or of any other Loan Document), the Company and each other Borrower acknowledges and agrees, and acknowledges its Affiliates’ understanding, that: (i) (A) the arranging and other services regarding this Agreement provided by the Administrative Agent and the Arranger are arm’s-length commercial transactions between the Borrowers and their respective Affiliates, on the one hand, and the Administrative Agent and the Arranger, on the other hand, (B) each of the Company and the other Borrowers has consulted its own legal, accounting, regulatory and tax advisors to the extent it has deemed appropriate, and (C) each of the Company and the other Borrowers is capable of evaluating, and understands and accepts, the terms, risks and conditions of the transactions contemplated hereby and by the other Loan Documents; (ii) (A) the Administrative Agent and the Arranger each is and has been acting solely as a principal and, except as expressly agreed in writing by the relevant parties, has not been, is not, and will not be acting as an advisor, agent or fiduciary for the Company, any other Borrower or any of their respective Affiliates, or any other Person and (B) neither the Administrative Agent nor the Arranger has any obligation to the Company, any other Borrower or any of their respective Affiliates with respect to the transactions contemplated hereby except those obligations expressly set forth herein and in the other Loan Documents; and (iii) the Administrative Agent and the Arranger and their respective Affiliates may be engaged in a broad range of transactions that involve interests that differ from those of the Company and the other Borrowers and their respective Affiliates, and neither the Administrative Agent nor the Arranger has any obligation to disclose any of such interests to the Company, any other Borrower or any of their respective Affiliates. To the fullest extent permitted by law, each of the Company and the other Borrowers hereby waives and releases any claims that it may have against the Administrative Agent and the Arranger with respect to any breach or alleged breach of agency or fiduciary duty in connection with any aspect of any transaction contemplated hereby.</w:t>
      </w:r>
    </w:p>
    <w:p>
      <w:pPr>
        <w:pStyle w:val="TextBody"/>
        <w:spacing w:lineRule="auto" w:line="240" w:before="0" w:after="240"/>
        <w:ind w:left="0" w:right="0" w:firstLine="720"/>
        <w:jc w:val="both"/>
        <w:rPr/>
      </w:pPr>
      <w:r>
        <w:rPr>
          <w:rFonts w:ascii="Times New Roman;sans-serif" w:hAnsi="Times New Roman;sans-serif"/>
          <w:b/>
          <w:color w:val="000000"/>
          <w:sz w:val="22"/>
        </w:rPr>
        <w:t>10.17</w:t>
      </w:r>
      <w:r>
        <w:rPr>
          <w:rFonts w:ascii="Times New Roman;sans-serif" w:hAnsi="Times New Roman;sans-serif"/>
          <w:b/>
          <w:color w:val="000000"/>
          <w:sz w:val="22"/>
        </w:rPr>
        <w:t>Electronic Execution; Electronic Records; Counterparts</w:t>
      </w:r>
      <w:r>
        <w:rPr>
          <w:rFonts w:ascii="Times New Roman;sans-serif" w:hAnsi="Times New Roman;sans-serif"/>
          <w:b w:val="false"/>
          <w:color w:val="000000"/>
          <w:sz w:val="22"/>
        </w:rPr>
        <w:t>. This Agreement, any Loan Document and any other Communication, including Communications required to be in writing (including without limitation Assignment and Assumptions, amendments or other modification modifications, Revolving Committed Loan Notices, Revolving Swing Line Loan Notices, New Vehicle Floorplan Committed Loan Notices, New Vehicle Floorplan Swing Line Loan Notices, Used Vehicle Floorplan Committed Loan Notices, Used Vehicle Floorplan Swing Line Loan Notices, waivers and consents), may be in the form of an Electronic Record and may be executed using Electronic Signatures. Each of the Loan Parties and each of the Administrative Agent, and the Lender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sans-serif" w:hAnsi="Times New Roman;sans-serif"/>
          <w:b w:val="false"/>
          <w:color w:val="000000"/>
          <w:sz w:val="22"/>
          <w:u w:val="single"/>
        </w:rPr>
        <w:t>Electronic Copy</w:t>
      </w:r>
      <w:r>
        <w:rPr>
          <w:color w:val="000000"/>
        </w:rPr>
        <w:t>”</w:t>
      </w:r>
      <w:r>
        <w:rPr>
          <w:rFonts w:ascii="Times New Roman;sans-serif" w:hAnsi="Times New Roman;sans-serif"/>
          <w:b w:val="false"/>
          <w:color w:val="000000"/>
          <w:sz w:val="22"/>
        </w:rPr>
        <w:t xml:space="preserve">), which shall be deemed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168</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any Swingline Lender is under any obligation to accept an Electronic Signature in any form or in any format unless expressly agreed to by such Person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without limiting the foregoing, (a) to the extent the Administrative Agent, any L/C Issuer and/or any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sans-serif" w:hAnsi="Times New Roman;sans-serif"/>
          <w:b w:val="false"/>
          <w:color w:val="000000"/>
          <w:sz w:val="22"/>
          <w:u w:val="single"/>
        </w:rPr>
        <w:t>Electronic Record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shall have the meanings assigned to them, respectively, by 15 USC §7006, as it may be amended from time to time.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Neither the Administrative Agent, any L/C Issuer nor any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any Swingline Lender’s reliance on any Electronic Signature transmitted by telecopy, emailed .pdf or any other electronic means). The Administrative Agent, any L/C Issuer and any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Loan Parties and each Lender Party hereby waives (i) any argument, defense or right to contest the legal effect, validity or enforceability of this Agreement or any other Loan Document based solely on the lack of paper original copies of this Agreement and/or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spacing w:lineRule="auto" w:line="240" w:before="0" w:after="240"/>
        <w:ind w:left="0" w:right="0" w:firstLine="720"/>
        <w:jc w:val="both"/>
        <w:rPr/>
      </w:pPr>
      <w:r>
        <w:rPr>
          <w:rFonts w:ascii="Times New Roman;sans-serif" w:hAnsi="Times New Roman;sans-serif"/>
          <w:b/>
          <w:color w:val="000000"/>
          <w:sz w:val="22"/>
        </w:rPr>
        <w:t>10.18</w:t>
      </w:r>
      <w:r>
        <w:rPr>
          <w:rFonts w:ascii="Times New Roman;sans-serif" w:hAnsi="Times New Roman;sans-serif"/>
          <w:b/>
          <w:color w:val="000000"/>
          <w:sz w:val="22"/>
        </w:rPr>
        <w:t>USA PATRIOT Act</w:t>
      </w:r>
      <w:r>
        <w:rPr>
          <w:rFonts w:ascii="Times New Roman;sans-serif" w:hAnsi="Times New Roman;sans-serif"/>
          <w:b w:val="false"/>
          <w:color w:val="000000"/>
          <w:sz w:val="22"/>
        </w:rPr>
        <w:t>. Each Lender that is subject to the Act (as hereinafter defined) and the Administrative Agent (for itself and not on behalf of any Lender) hereby notifies the Company and the other Borrowers that pursuant to the requirements of the USA PATRIOT Act (Title III of Pub. L. 107-56 (signed into law October 26, 2001)) (the “</w:t>
      </w:r>
      <w:r>
        <w:rPr>
          <w:rFonts w:ascii="Times New Roman;sans-serif" w:hAnsi="Times New Roman;sans-serif"/>
          <w:b w:val="false"/>
          <w:color w:val="000000"/>
          <w:sz w:val="22"/>
          <w:u w:val="single"/>
        </w:rPr>
        <w:t>Act</w:t>
      </w:r>
      <w:r>
        <w:rPr>
          <w:color w:val="000000"/>
        </w:rPr>
        <w:t>”</w:t>
      </w:r>
      <w:r>
        <w:rPr>
          <w:rFonts w:ascii="Times New Roman;sans-serif" w:hAnsi="Times New Roman;sans-serif"/>
          <w:b w:val="false"/>
          <w:color w:val="000000"/>
          <w:sz w:val="22"/>
        </w:rPr>
        <w:t>), it is required to obtain, verify and record information that identifies the Company and the other Borrowers, which information includes the name and address of the Company and the other Borrowers and other information that will allow such Lender or the Administrative Agent, as applicable, to identify the Company and each other Borrower in accordance with the Act. The Company and each other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pStyle w:val="TextBody"/>
        <w:spacing w:lineRule="auto" w:line="240" w:before="0" w:after="240"/>
        <w:ind w:left="0" w:right="0" w:firstLine="720"/>
        <w:jc w:val="both"/>
        <w:rPr/>
      </w:pPr>
      <w:r>
        <w:rPr>
          <w:rFonts w:ascii="Times New Roman;sans-serif" w:hAnsi="Times New Roman;sans-serif"/>
          <w:b/>
          <w:color w:val="000000"/>
          <w:sz w:val="22"/>
        </w:rPr>
        <w:t>10.19</w:t>
      </w:r>
      <w:r>
        <w:rPr>
          <w:rFonts w:ascii="Times New Roman;sans-serif" w:hAnsi="Times New Roman;sans-serif"/>
          <w:b/>
          <w:color w:val="000000"/>
          <w:sz w:val="22"/>
        </w:rPr>
        <w:t>Designated Senior Debt</w:t>
      </w:r>
      <w:r>
        <w:rPr>
          <w:rFonts w:ascii="Times New Roman;sans-serif" w:hAnsi="Times New Roman;sans-serif"/>
          <w:b w:val="false"/>
          <w:color w:val="000000"/>
          <w:sz w:val="22"/>
        </w:rPr>
        <w:t xml:space="preserve">. Each party acknowledges and agrees that the Indebtedness under the Loan Documents is “Designated Senior Debt” (or any similar term) under, and as defined in, any agreements evidencing Subordinated Indebtedness. </w:t>
      </w:r>
    </w:p>
    <w:p>
      <w:pPr>
        <w:pStyle w:val="TextBody"/>
        <w:spacing w:lineRule="auto" w:line="240" w:before="0" w:after="240"/>
        <w:ind w:left="0" w:right="0" w:firstLine="720"/>
        <w:jc w:val="both"/>
        <w:rPr/>
      </w:pPr>
      <w:r>
        <w:rPr>
          <w:rFonts w:ascii="Times New Roman;sans-serif" w:hAnsi="Times New Roman;sans-serif"/>
          <w:b/>
          <w:color w:val="000000"/>
          <w:sz w:val="22"/>
        </w:rPr>
        <w:t>10.20</w:t>
      </w:r>
      <w:r>
        <w:rPr>
          <w:rFonts w:ascii="Times New Roman;sans-serif" w:hAnsi="Times New Roman;sans-serif"/>
          <w:b/>
          <w:color w:val="000000"/>
          <w:sz w:val="22"/>
        </w:rPr>
        <w:t>Keepwell</w:t>
      </w:r>
      <w:r>
        <w:rPr>
          <w:rFonts w:ascii="Times New Roman;sans-serif" w:hAnsi="Times New Roman;sans-serif"/>
          <w:b w:val="false"/>
          <w:color w:val="000000"/>
          <w:sz w:val="22"/>
        </w:rPr>
        <w:t xml:space="preserve">. Each Borrower that is a Qualified ECP Guarantor at the time the joint and several liability of any Specified Loan Party (pursuant to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2.25</w:t>
      </w:r>
      <w:r>
        <w:rPr>
          <w:rFonts w:ascii="Times New Roman;sans-serif" w:hAnsi="Times New Roman;sans-serif"/>
          <w:b w:val="false"/>
          <w:color w:val="000000"/>
          <w:sz w:val="22"/>
        </w:rPr>
        <w:t xml:space="preserve">, if applicable), or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169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Borrower’s obligations and undertakings under this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voidable under applicable law relating to fraudulent conveyance or fraudulent transfer, and not for any greater amount). The obligations and undertakings of each Borrower under this Section shall remain in full force and effect until the Obligations have been indefeasibly paid and performed in full. Each Borrower intends this Section to constitute, and this Section shall be deemed to constitute, a guarantee of the obligations of, and a “keepwell, support or other agreement” for the benefit of, each Specified Loan Party for all purposes of the Commodity Exchange Act.</w:t>
      </w:r>
    </w:p>
    <w:p>
      <w:pPr>
        <w:pStyle w:val="TextBody"/>
        <w:spacing w:lineRule="auto" w:line="240" w:before="0" w:after="240"/>
        <w:ind w:left="0" w:right="0" w:firstLine="720"/>
        <w:jc w:val="both"/>
        <w:rPr/>
      </w:pPr>
      <w:r>
        <w:rPr>
          <w:rFonts w:ascii="Times New Roman;sans-serif" w:hAnsi="Times New Roman;sans-serif"/>
          <w:b/>
          <w:color w:val="000000"/>
          <w:sz w:val="22"/>
        </w:rPr>
        <w:t>10.21</w:t>
      </w:r>
      <w:r>
        <w:rPr>
          <w:rFonts w:ascii="Times New Roman;sans-serif" w:hAnsi="Times New Roman;sans-serif"/>
          <w:b/>
          <w:color w:val="000000"/>
          <w:sz w:val="22"/>
        </w:rPr>
        <w:t>Acknowledgement and Consent to Bail-In of Affected Financial Institutions</w:t>
      </w:r>
      <w:r>
        <w:rPr>
          <w:rFonts w:ascii="Times New Roman;sans-serif" w:hAnsi="Times New Roman;sans-serif"/>
          <w:b w:val="false"/>
          <w:color w:val="000000"/>
          <w:sz w:val="22"/>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application of any Write-Down and Conversion Powers by the applicable Resolution Authority to any such liabilities arising hereunder which may be payable to it by any Lender or L/C Issuer that is an Affected Financial Institution; and</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effects of any Bail-In Action on any such liability, including, if applicable: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 reduction in full or in part or cancellation of any such liability;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variation of the terms of such liability in connection with the exercise of the Write-Down and Conversion Powers of the applicable Resolution Authority.</w:t>
      </w:r>
    </w:p>
    <w:p>
      <w:pPr>
        <w:pStyle w:val="TextBody"/>
        <w:spacing w:lineRule="auto" w:line="240" w:before="0" w:after="240"/>
        <w:ind w:left="0" w:right="0" w:firstLine="720"/>
        <w:jc w:val="both"/>
        <w:rPr/>
      </w:pPr>
      <w:r>
        <w:rPr>
          <w:rFonts w:ascii="Times New Roman;sans-serif" w:hAnsi="Times New Roman;sans-serif"/>
          <w:b/>
          <w:color w:val="000000"/>
          <w:sz w:val="22"/>
        </w:rPr>
        <w:t>10.22</w:t>
      </w:r>
      <w:r>
        <w:rPr>
          <w:rFonts w:ascii="Times New Roman;sans-serif" w:hAnsi="Times New Roman;sans-serif"/>
          <w:b/>
          <w:color w:val="000000"/>
          <w:sz w:val="22"/>
        </w:rPr>
        <w:t>Acknowledgement Regarding Any Supported QFCs</w:t>
      </w:r>
      <w:r>
        <w:rPr>
          <w:rFonts w:ascii="Times New Roman;sans-serif" w:hAnsi="Times New Roman;sans-serif"/>
          <w:b w:val="false"/>
          <w:color w:val="000000"/>
          <w:sz w:val="22"/>
        </w:rPr>
        <w:t>. To the extent that the Loan Documents provide support, through a guarantee or otherwise, for any Swap Contract or any other agreement or instrument that is a QFC (such support, “</w:t>
      </w:r>
      <w:r>
        <w:rPr>
          <w:rFonts w:ascii="Times New Roman;sans-serif" w:hAnsi="Times New Roman;sans-serif"/>
          <w:b w:val="false"/>
          <w:color w:val="000000"/>
          <w:sz w:val="22"/>
          <w:u w:val="single"/>
        </w:rPr>
        <w:t>QFC Credit Suppor</w:t>
      </w:r>
      <w:r>
        <w:rPr>
          <w:rFonts w:ascii="Times New Roman;sans-serif" w:hAnsi="Times New Roman;sans-serif"/>
          <w:b w:val="false"/>
          <w:color w:val="000000"/>
          <w:sz w:val="22"/>
        </w:rPr>
        <w:t>t”, 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170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As used in this </w:t>
      </w:r>
      <w:r>
        <w:rPr>
          <w:rFonts w:ascii="Times New Roman;sans-serif" w:hAnsi="Times New Roman;sans-serif"/>
          <w:b w:val="false"/>
          <w:color w:val="000000"/>
          <w:sz w:val="22"/>
          <w:u w:val="single"/>
        </w:rPr>
        <w:t>Section 10.22</w:t>
      </w:r>
      <w:r>
        <w:rPr>
          <w:rFonts w:ascii="Times New Roman;sans-serif" w:hAnsi="Times New Roman;sans-serif"/>
          <w:b w:val="false"/>
          <w:color w:val="000000"/>
          <w:sz w:val="22"/>
        </w:rPr>
        <w:t>, the following terms have the following meanings: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BHC Act Affiliate</w:t>
      </w:r>
      <w:r>
        <w:rPr>
          <w:color w:val="000000"/>
        </w:rPr>
        <w:t xml:space="preserve">” </w:t>
      </w:r>
      <w:r>
        <w:rPr>
          <w:rFonts w:ascii="Times New Roman;sans-serif" w:hAnsi="Times New Roman;sans-serif"/>
          <w:b w:val="false"/>
          <w:color w:val="000000"/>
          <w:sz w:val="22"/>
        </w:rPr>
        <w:t>of a party means an “affiliate” (as such term is defined under, and interpreted in accordance with, 12 U.S.C. 1841(k)) of such party.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spacing w:lineRule="auto" w:line="240"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3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171</w:t>
                      </w:r>
                    </w:p>
                  </w:txbxContent>
                </v:textbox>
              </v:rect>
            </w:pict>
          </mc:Fallback>
        </mc:AlternateContent>
      </w:r>
    </w:p>
    <w:p>
      <w:pPr>
        <w:pStyle w:val="TextBody"/>
        <w:spacing w:before="0" w:after="24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ind w:left="0" w:right="0" w:firstLine="7"/>
        <w:jc w:val="both"/>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481965"/>
                <wp:effectExtent l="0" t="0" r="0" b="0"/>
                <wp:wrapNone/>
                <wp:docPr id="336" name="Frame334"/>
                <a:graphic xmlns:a="http://schemas.openxmlformats.org/drawingml/2006/main">
                  <a:graphicData uri="http://schemas.microsoft.com/office/word/2010/wordprocessingShape">
                    <wps:wsp>
                      <wps:cNvSpPr txBox="1"/>
                      <wps:spPr>
                        <a:xfrm>
                          <a:off x="0" y="0"/>
                          <a:ext cx="6480175" cy="48196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THIRD AMENDED AND RESTATED CREDIT AGREEMENT</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THIRD AMENDED AND RESTATED CREDIT AGREEMENT</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THIRD AMENDMENT TO </w:t>
      </w:r>
    </w:p>
    <w:p>
      <w:pPr>
        <w:pStyle w:val="TextBody"/>
        <w:spacing w:lineRule="auto" w:line="240" w:before="0" w:after="360"/>
        <w:jc w:val="center"/>
        <w:rPr/>
      </w:pPr>
      <w:r>
        <w:rPr>
          <w:rFonts w:ascii="Times New Roman;sans-serif" w:hAnsi="Times New Roman;sans-serif"/>
          <w:b/>
          <w:color w:val="000000"/>
          <w:sz w:val="22"/>
        </w:rPr>
        <w:t>THIRD AMENDED AND RESTATED CREDIT</w:t>
      </w:r>
      <w:r>
        <w:rPr>
          <w:color w:val="000000"/>
        </w:rPr>
        <w:t xml:space="preserve"> </w:t>
      </w:r>
      <w:r>
        <w:rPr>
          <w:rFonts w:ascii="Times New Roman;sans-serif" w:hAnsi="Times New Roman;sans-serif"/>
          <w:b/>
          <w:color w:val="000000"/>
          <w:sz w:val="22"/>
        </w:rPr>
        <w:t>AGREEMENT</w:t>
      </w:r>
    </w:p>
    <w:p>
      <w:pPr>
        <w:pStyle w:val="TextBody"/>
        <w:spacing w:lineRule="auto" w:line="240" w:before="0" w:after="0"/>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THIRD AMENDMENT TO THIRD AMENDED AND RESTATED CREDIT AGREEMENT</w:t>
      </w:r>
      <w:r>
        <w:rPr>
          <w:rFonts w:ascii="Times New Roman;sans-serif" w:hAnsi="Times New Roman;sans-serif"/>
          <w:b w:val="false"/>
          <w:color w:val="000000"/>
          <w:sz w:val="22"/>
        </w:rPr>
        <w:t>, dated as of October 29, 2021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xml:space="preserve">) is by and among </w:t>
      </w:r>
      <w:r>
        <w:rPr>
          <w:rFonts w:ascii="Times New Roman;sans-serif" w:hAnsi="Times New Roman;sans-serif"/>
          <w:b/>
          <w:color w:val="000000"/>
          <w:sz w:val="22"/>
        </w:rPr>
        <w:t>ASBURY AUTOMOTIVE GROUP, INC</w:t>
      </w:r>
      <w:r>
        <w:rPr>
          <w:rFonts w:ascii="Times New Roman;sans-serif" w:hAnsi="Times New Roman;sans-serif"/>
          <w:b w:val="false"/>
          <w:color w:val="000000"/>
          <w:sz w:val="22"/>
        </w:rPr>
        <w:t>., a Delaware corporation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certain Subsidiaries of the Company party hereto as New Vehicle Borrowers (each a “</w:t>
      </w:r>
      <w:r>
        <w:rPr>
          <w:rFonts w:ascii="Times New Roman;sans-serif" w:hAnsi="Times New Roman;sans-serif"/>
          <w:b w:val="false"/>
          <w:color w:val="000000"/>
          <w:sz w:val="22"/>
          <w:u w:val="single"/>
        </w:rPr>
        <w:t>New Vehicle Borrower</w:t>
      </w:r>
      <w:r>
        <w:rPr>
          <w:color w:val="000000"/>
        </w:rPr>
        <w:t xml:space="preserve">” </w:t>
      </w:r>
      <w:r>
        <w:rPr>
          <w:rFonts w:ascii="Times New Roman;sans-serif" w:hAnsi="Times New Roman;sans-serif"/>
          <w:b w:val="false"/>
          <w:color w:val="000000"/>
          <w:sz w:val="22"/>
        </w:rPr>
        <w:t>and collectively with the Used Vehicle Borrowers (defined below), the “</w:t>
      </w:r>
      <w:r>
        <w:rPr>
          <w:rFonts w:ascii="Times New Roman;sans-serif" w:hAnsi="Times New Roman;sans-serif"/>
          <w:b w:val="false"/>
          <w:color w:val="000000"/>
          <w:sz w:val="22"/>
          <w:u w:val="single"/>
        </w:rPr>
        <w:t>Vehicle Borrowers</w:t>
      </w:r>
      <w:r>
        <w:rPr>
          <w:color w:val="000000"/>
        </w:rPr>
        <w:t>”</w:t>
      </w:r>
      <w:r>
        <w:rPr>
          <w:rFonts w:ascii="Times New Roman;sans-serif" w:hAnsi="Times New Roman;sans-serif"/>
          <w:b w:val="false"/>
          <w:color w:val="000000"/>
          <w:sz w:val="22"/>
        </w:rPr>
        <w:t>), certain Subsidiaries of the Company party hereto as Used Vehicle Borrowers (each a “</w:t>
      </w:r>
      <w:r>
        <w:rPr>
          <w:rFonts w:ascii="Times New Roman;sans-serif" w:hAnsi="Times New Roman;sans-serif"/>
          <w:b w:val="false"/>
          <w:color w:val="000000"/>
          <w:sz w:val="22"/>
          <w:u w:val="single"/>
        </w:rPr>
        <w:t>Used Vehicle Borrower</w:t>
      </w:r>
      <w:r>
        <w:rPr>
          <w:color w:val="000000"/>
        </w:rPr>
        <w:t>”</w:t>
      </w:r>
      <w:r>
        <w:rPr>
          <w:rFonts w:ascii="Times New Roman;sans-serif" w:hAnsi="Times New Roman;sans-serif"/>
          <w:b w:val="false"/>
          <w:color w:val="000000"/>
          <w:sz w:val="22"/>
        </w:rPr>
        <w:t>, and collectively with the Company, the “</w:t>
      </w:r>
      <w:r>
        <w:rPr>
          <w:rFonts w:ascii="Times New Roman;sans-serif" w:hAnsi="Times New Roman;sans-serif"/>
          <w:b w:val="false"/>
          <w:color w:val="000000"/>
          <w:sz w:val="22"/>
          <w:u w:val="single"/>
        </w:rPr>
        <w:t>Used Vehicle Borrowers</w:t>
      </w:r>
      <w:r>
        <w:rPr>
          <w:color w:val="000000"/>
        </w:rPr>
        <w:t>”</w:t>
      </w:r>
      <w:r>
        <w:rPr>
          <w:rFonts w:ascii="Times New Roman;sans-serif" w:hAnsi="Times New Roman;sans-serif"/>
          <w:b w:val="false"/>
          <w:color w:val="000000"/>
          <w:sz w:val="22"/>
        </w:rPr>
        <w:t xml:space="preserve">), the Guarantors party hereto, the Lenders, and </w:t>
      </w:r>
      <w:r>
        <w:rPr>
          <w:rFonts w:ascii="Times New Roman;sans-serif" w:hAnsi="Times New Roman;sans-serif"/>
          <w:b/>
          <w:color w:val="000000"/>
          <w:sz w:val="22"/>
        </w:rPr>
        <w:t>BANK OF AMERICA, N.A.</w:t>
      </w:r>
      <w:r>
        <w:rPr>
          <w:rFonts w:ascii="Times New Roman;sans-serif" w:hAnsi="Times New Roman;sans-serif"/>
          <w:b w:val="false"/>
          <w:color w:val="000000"/>
          <w:sz w:val="22"/>
        </w:rPr>
        <w:t>, as Administrative Agent, Revolving Swing Line Lender, New Vehicle Floorplan Swing Line Lender, Used Vehicle Floorplan Swing Line Lender and an L/C Issuer. The Vehicle Borrowers, including the Company in its capacity as Borrower under the Revolving Credit Facility, are referred to collectively as the “</w:t>
      </w:r>
      <w:r>
        <w:rPr>
          <w:rFonts w:ascii="Times New Roman;sans-serif" w:hAnsi="Times New Roman;sans-serif"/>
          <w:b w:val="false"/>
          <w:color w:val="000000"/>
          <w:sz w:val="22"/>
          <w:u w:val="single"/>
        </w:rPr>
        <w:t>Borrowers</w:t>
      </w:r>
      <w:r>
        <w:rPr>
          <w:color w:val="000000"/>
        </w:rPr>
        <w:t xml:space="preserve">” </w:t>
      </w:r>
      <w:r>
        <w:rPr>
          <w:rFonts w:ascii="Times New Roman;sans-serif" w:hAnsi="Times New Roman;sans-serif"/>
          <w:b w:val="false"/>
          <w:color w:val="000000"/>
          <w:sz w:val="22"/>
        </w:rPr>
        <w:t>and individually as a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w: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W I TN E S S E T H:</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Administrative Agent, Revolving Swing Line Lender, New Vehicle Floorplan Swing Line Lender, Used Vehicle Floorplan Swing Line Lender, L/C Issuer, certain financial institutions from time to time party thereto as lenders and the Borrowers are parties to that certain Third Amended and Restated Credit Agreement, dated as of September 25, 2019 (as otherwise amended, supplemented or modified from time to time,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capitalized terms used but not defined herein shall have the meanings set forth in the Amended Credit Agreement).</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and the Borrowers have advised the Administrative Agent and the Lenders of their desire (a) to acquire (i) from Miller Family Real Estate, L.L.C. dba Larry H. Miller Real Estate and Larry H. Miller Corporation - Boise a fee simple interest in certain real properties and a leasehold interest in certain real properties (such acquisition, collectively, the “</w:t>
      </w:r>
      <w:r>
        <w:rPr>
          <w:rFonts w:ascii="Times New Roman;sans-serif" w:hAnsi="Times New Roman;sans-serif"/>
          <w:b w:val="false"/>
          <w:color w:val="000000"/>
          <w:sz w:val="22"/>
          <w:u w:val="single"/>
        </w:rPr>
        <w:t>Miller Real Estate Acquisition</w:t>
      </w:r>
      <w:r>
        <w:rPr>
          <w:color w:val="000000"/>
        </w:rPr>
        <w:t>”</w:t>
      </w:r>
      <w:r>
        <w:rPr>
          <w:rFonts w:ascii="Times New Roman;sans-serif" w:hAnsi="Times New Roman;sans-serif"/>
          <w:b w:val="false"/>
          <w:color w:val="000000"/>
          <w:sz w:val="22"/>
        </w:rPr>
        <w:t>), (ii) all or substantially all of the assets associated with the Miller dealerships, the “</w:t>
      </w:r>
      <w:r>
        <w:rPr>
          <w:rFonts w:ascii="Times New Roman;sans-serif" w:hAnsi="Times New Roman;sans-serif"/>
          <w:b w:val="false"/>
          <w:color w:val="000000"/>
          <w:sz w:val="22"/>
          <w:u w:val="single"/>
        </w:rPr>
        <w:t>Target</w:t>
      </w:r>
      <w:r>
        <w:rPr>
          <w:color w:val="000000"/>
        </w:rPr>
        <w:t>”</w:t>
      </w:r>
      <w:r>
        <w:rPr>
          <w:rFonts w:ascii="Times New Roman;sans-serif" w:hAnsi="Times New Roman;sans-serif"/>
          <w:b w:val="false"/>
          <w:color w:val="000000"/>
          <w:sz w:val="22"/>
        </w:rPr>
        <w:t>), and (iii) the equity interests in LHM Auto Intermediate Holdings I, LLC, a Delaware limited liability company, and LHM Auto Intermediate Holdings II, LLC, a Delaware limited liability company, and the Total Care Auto, Powered by Landcar insurance business affiliated with the Target (such acquisition, collectively, the “</w:t>
      </w:r>
      <w:r>
        <w:rPr>
          <w:rFonts w:ascii="Times New Roman;sans-serif" w:hAnsi="Times New Roman;sans-serif"/>
          <w:b w:val="false"/>
          <w:color w:val="000000"/>
          <w:sz w:val="22"/>
          <w:u w:val="single"/>
        </w:rPr>
        <w:t>Miller Acquisition</w:t>
      </w:r>
      <w:r>
        <w:rPr>
          <w:color w:val="000000"/>
        </w:rPr>
        <w:t xml:space="preserve">” </w:t>
      </w:r>
      <w:r>
        <w:rPr>
          <w:rFonts w:ascii="Times New Roman;sans-serif" w:hAnsi="Times New Roman;sans-serif"/>
          <w:b w:val="false"/>
          <w:color w:val="000000"/>
          <w:sz w:val="22"/>
        </w:rPr>
        <w:t>and all documents, agreements, certificates and instruments executed in connection therewith, collectively, the “</w:t>
      </w:r>
      <w:r>
        <w:rPr>
          <w:rFonts w:ascii="Times New Roman;sans-serif" w:hAnsi="Times New Roman;sans-serif"/>
          <w:b w:val="false"/>
          <w:color w:val="000000"/>
          <w:sz w:val="22"/>
          <w:u w:val="single"/>
        </w:rPr>
        <w:t>Miller Acquisition Documents</w:t>
      </w:r>
      <w:r>
        <w:rPr>
          <w:color w:val="000000"/>
        </w:rPr>
        <w:t>”</w:t>
      </w:r>
      <w:r>
        <w:rPr>
          <w:rFonts w:ascii="Times New Roman;sans-serif" w:hAnsi="Times New Roman;sans-serif"/>
          <w:b w:val="false"/>
          <w:color w:val="000000"/>
          <w:sz w:val="22"/>
        </w:rPr>
        <w:t>), and (b) for the Company or any of its Subsidiaries to incur certain Indebtedness, which may include Indebtedness incurred under (i) the Amended Credit Agreement (as defined herein), (ii) senior or senior subordinated notes or other securities issued in a Rule 144A/Regulation S offering (the “</w:t>
      </w:r>
      <w:r>
        <w:rPr>
          <w:rFonts w:ascii="Times New Roman;sans-serif" w:hAnsi="Times New Roman;sans-serif"/>
          <w:b w:val="false"/>
          <w:color w:val="000000"/>
          <w:sz w:val="22"/>
          <w:u w:val="single"/>
        </w:rPr>
        <w:t>Senior Notes</w:t>
      </w:r>
      <w:r>
        <w:rPr>
          <w:color w:val="000000"/>
        </w:rPr>
        <w:t>”</w:t>
      </w:r>
      <w:r>
        <w:rPr>
          <w:rFonts w:ascii="Times New Roman;sans-serif" w:hAnsi="Times New Roman;sans-serif"/>
          <w:b w:val="false"/>
          <w:color w:val="000000"/>
          <w:sz w:val="22"/>
        </w:rPr>
        <w:t>), (iii) two senior bridge facilities, each between the Company and Bank of America, and (iv) an up to $775 million senior secured real estate term loan credit facility (the “</w:t>
      </w:r>
      <w:r>
        <w:rPr>
          <w:rFonts w:ascii="Times New Roman;sans-serif" w:hAnsi="Times New Roman;sans-serif"/>
          <w:b w:val="false"/>
          <w:color w:val="000000"/>
          <w:sz w:val="22"/>
          <w:u w:val="single"/>
        </w:rPr>
        <w:t>Real Estate Credit Facility</w:t>
      </w:r>
      <w:r>
        <w:rPr>
          <w:color w:val="000000"/>
        </w:rPr>
        <w:t>”</w:t>
      </w:r>
      <w:r>
        <w:rPr>
          <w:rFonts w:ascii="Times New Roman;sans-serif" w:hAnsi="Times New Roman;sans-serif"/>
          <w:b w:val="false"/>
          <w:color w:val="000000"/>
          <w:sz w:val="22"/>
        </w:rPr>
        <w:t>) to certain of the Company’s subsidiaries (such Indebtedness, collectively, the “</w:t>
      </w:r>
      <w:r>
        <w:rPr>
          <w:rFonts w:ascii="Times New Roman;sans-serif" w:hAnsi="Times New Roman;sans-serif"/>
          <w:b w:val="false"/>
          <w:color w:val="000000"/>
          <w:sz w:val="22"/>
          <w:u w:val="single"/>
        </w:rPr>
        <w:t>Acquisition Indebtedness</w:t>
      </w:r>
      <w:r>
        <w:rPr>
          <w:color w:val="000000"/>
        </w:rPr>
        <w:t>”</w:t>
      </w:r>
      <w:r>
        <w:rPr>
          <w:rFonts w:ascii="Times New Roman;sans-serif" w:hAnsi="Times New Roman;sans-serif"/>
          <w:b w:val="false"/>
          <w:color w:val="000000"/>
          <w:sz w:val="22"/>
        </w:rPr>
        <w:t>), the proceeds of which will be used to consummate the transactions contemplated by the Miller Acquisition Documents.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and the Borrowers have requested (a) an increase in each of the Facilities, so that after giving effect to such increase, (i) the Aggregate Revolving Commitments will be $450,000,000, (ii) the Aggregate New Vehicle Floorplan Commitments will be of $1,750,000,000, and (iii) the Aggregate Used Vehicle Floorplan Commitments will be $350,000,000 (the increases described in clause (a) hereof are collectively referred to herein as the “</w:t>
      </w:r>
      <w:r>
        <w:rPr>
          <w:rFonts w:ascii="Times New Roman;sans-serif" w:hAnsi="Times New Roman;sans-serif"/>
          <w:b w:val="false"/>
          <w:color w:val="000000"/>
          <w:sz w:val="22"/>
          <w:u w:val="single"/>
        </w:rPr>
        <w:t>Increase</w:t>
      </w:r>
      <w:r>
        <w:rPr>
          <w:color w:val="000000"/>
        </w:rPr>
        <w:t>”</w:t>
      </w:r>
      <w:r>
        <w:rPr>
          <w:rFonts w:ascii="Times New Roman;sans-serif" w:hAnsi="Times New Roman;sans-serif"/>
          <w:b w:val="false"/>
          <w:color w:val="000000"/>
          <w:sz w:val="22"/>
        </w:rPr>
        <w:t>), and (b) certain other amendments to the Credit Agreement, as more specifically set forth herein.</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Lenders are willing to provide the Increase and the Administrative Agent, the Collateral Agent and the Lenders have agreed to such requests, subject to the terms and conditions of this Amendment. </w:t>
      </w:r>
    </w:p>
    <w:p>
      <w:pPr>
        <w:pStyle w:val="TextBody"/>
        <w:spacing w:lineRule="auto" w:line="240"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by this Amendment, the Administrative Agent, the Consenting Lenders, the Company and the Borrowers desire and intend to evidence the amendments set forth herein.</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in consideration of the premises and the agreements, provisions and covenants herein contained, the parties hereto agree as follows:</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3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283"/>
                        <w:rPr/>
                      </w:pPr>
                      <w:r>
                        <w:rPr/>
                      </w:r>
                    </w:p>
                  </w:txbxContent>
                </v:textbox>
              </v:rect>
            </w:pict>
          </mc:Fallback>
        </mc:AlternateContent>
      </w:r>
    </w:p>
    <w:p>
      <w:pPr>
        <w:pStyle w:val="TextBody"/>
        <w:spacing w:lineRule="auto" w:line="240" w:before="120" w:after="240"/>
        <w:jc w:val="center"/>
        <w:rPr>
          <w:rFonts w:ascii="Times New Roman;sans-serif" w:hAnsi="Times New Roman;sans-serif"/>
          <w:b/>
          <w:color w:val="000000"/>
          <w:sz w:val="22"/>
        </w:rPr>
      </w:pPr>
      <w:r>
        <w:rPr>
          <w:rFonts w:ascii="Times New Roman;sans-serif" w:hAnsi="Times New Roman;sans-serif"/>
          <w:b/>
          <w:color w:val="000000"/>
          <w:sz w:val="22"/>
        </w:rPr>
        <w:t>SECTION 1 - DEFINITIONS; AMENDMENTS</w:t>
      </w:r>
    </w:p>
    <w:p>
      <w:pPr>
        <w:pStyle w:val="TextBody"/>
        <w:spacing w:lineRule="auto" w:line="240" w:before="0" w:after="0"/>
        <w:ind w:left="0" w:right="0" w:firstLine="720"/>
        <w:jc w:val="both"/>
        <w:rPr/>
      </w:pPr>
      <w:r>
        <w:rPr>
          <w:rFonts w:ascii="Times New Roman;sans-serif" w:hAnsi="Times New Roman;sans-serif"/>
          <w:b/>
          <w:color w:val="000000"/>
          <w:sz w:val="22"/>
        </w:rPr>
        <w:t>1.1</w:t>
      </w:r>
      <w:r>
        <w:rPr>
          <w:rFonts w:ascii="Times New Roman;sans-serif" w:hAnsi="Times New Roman;sans-serif"/>
          <w:b/>
          <w:color w:val="000000"/>
          <w:sz w:val="22"/>
        </w:rPr>
        <w:t xml:space="preserve">Definitions. </w:t>
      </w:r>
      <w:r>
        <w:rPr>
          <w:rFonts w:ascii="Times New Roman;sans-serif" w:hAnsi="Times New Roman;sans-serif"/>
          <w:b w:val="false"/>
          <w:color w:val="000000"/>
          <w:sz w:val="22"/>
        </w:rPr>
        <w:t xml:space="preserve">As used in the Amendment, the following terms shall have the meanings set forth below: </w:t>
      </w:r>
    </w:p>
    <w:p>
      <w:pPr>
        <w:pStyle w:val="TextBody"/>
        <w:spacing w:before="0" w:after="0"/>
        <w:jc w:val="both"/>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Commitment Increase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Third Amendment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w:t>
      </w:r>
      <w:r>
        <w:rPr>
          <w:rFonts w:ascii="Times New Roman;sans-serif" w:hAnsi="Times New Roman;sans-serif"/>
          <w:b w:val="false"/>
          <w:color w:val="000000"/>
          <w:sz w:val="22"/>
        </w:rPr>
        <w:t>.</w:t>
      </w:r>
    </w:p>
    <w:p>
      <w:pPr>
        <w:pStyle w:val="TextBody"/>
        <w:spacing w:lineRule="auto" w:line="240" w:before="0" w:after="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1.2Amendments to Credit Agreement Effective on Third Amendment Effective Date.</w:t>
      </w:r>
    </w:p>
    <w:p>
      <w:pPr>
        <w:pStyle w:val="TextBody"/>
        <w:spacing w:before="0" w:after="0"/>
        <w:jc w:val="both"/>
        <w:rPr/>
      </w:pPr>
      <w:r>
        <w:rPr/>
      </w:r>
    </w:p>
    <w:p>
      <w:pPr>
        <w:pStyle w:val="TextBody"/>
        <w:spacing w:lineRule="auto" w:line="240" w:before="0" w:after="240"/>
        <w:ind w:left="0" w:right="0" w:firstLine="135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Section 1.02</w:t>
      </w:r>
      <w:r>
        <w:rPr>
          <w:color w:val="000000"/>
        </w:rPr>
        <w:t xml:space="preserve"> </w:t>
      </w:r>
      <w:r>
        <w:rPr>
          <w:rFonts w:ascii="Times New Roman;sans-serif" w:hAnsi="Times New Roman;sans-serif"/>
          <w:b w:val="false"/>
          <w:color w:val="000000"/>
          <w:sz w:val="22"/>
        </w:rPr>
        <w:t xml:space="preserve">of the Credit Agreement is hereby amended by amending the definition of “Excluded Property” contained therein by deleting the “and” after clause (c) of such definition and inserting the following at the end of clause (d) of such definition before the proviso: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 and (e) any real property, fixtures, related real property rights, related contracts and proceeds of the foregoing (including, without limitation, insurance proceeds in respect of the foregoing), that in each case secures Indebtedness permitted by </w:t>
      </w:r>
      <w:r>
        <w:rPr>
          <w:rFonts w:ascii="Times New Roman;sans-serif" w:hAnsi="Times New Roman;sans-serif"/>
          <w:b w:val="false"/>
          <w:color w:val="000000"/>
          <w:sz w:val="22"/>
          <w:u w:val="single"/>
        </w:rPr>
        <w:t>Section 7.01(s)</w:t>
      </w:r>
      <w:r>
        <w:rPr>
          <w:color w:val="000000"/>
        </w:rPr>
        <w:t xml:space="preserve"> </w:t>
      </w:r>
      <w:r>
        <w:rPr>
          <w:rFonts w:ascii="Times New Roman;sans-serif" w:hAnsi="Times New Roman;sans-serif"/>
          <w:b w:val="false"/>
          <w:color w:val="000000"/>
          <w:sz w:val="22"/>
        </w:rPr>
        <w:t>to the extent that a grant of a security interest thereon would conflict with or result in a violation of the terms of such Indebtedness;</w:t>
      </w:r>
    </w:p>
    <w:p>
      <w:pPr>
        <w:pStyle w:val="TextBody"/>
        <w:spacing w:lineRule="auto" w:line="240" w:before="0" w:after="240"/>
        <w:ind w:left="0" w:right="0" w:firstLine="135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Section 7.01(s)</w:t>
      </w:r>
      <w:r>
        <w:rPr>
          <w:color w:val="000000"/>
        </w:rPr>
        <w:t xml:space="preserve"> </w:t>
      </w:r>
      <w:r>
        <w:rPr>
          <w:rFonts w:ascii="Times New Roman;sans-serif" w:hAnsi="Times New Roman;sans-serif"/>
          <w:b w:val="false"/>
          <w:color w:val="000000"/>
          <w:sz w:val="22"/>
        </w:rPr>
        <w:t xml:space="preserve">of the Credit Agreement is hereby amended by deleting such section in its entirety and inserting the following in lieu thereof: </w:t>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 Indebtedness of the Company under a bridge loan facility with a maturity that is 364 days or less from the date of the incurrence of such Indebtedness.</w:t>
      </w:r>
    </w:p>
    <w:p>
      <w:pPr>
        <w:pStyle w:val="TextBody"/>
        <w:spacing w:before="0" w:after="0"/>
        <w:ind w:left="0" w:right="0" w:firstLine="720"/>
        <w:jc w:val="both"/>
        <w:rPr/>
      </w:pPr>
      <w:r>
        <w:rPr/>
      </w:r>
    </w:p>
    <w:p>
      <w:pPr>
        <w:pStyle w:val="TextBody"/>
        <w:spacing w:lineRule="auto" w:line="240" w:before="0" w:after="240"/>
        <w:ind w:left="0" w:right="0" w:firstLine="135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Section 7.02</w:t>
      </w:r>
      <w:r>
        <w:rPr>
          <w:color w:val="000000"/>
        </w:rPr>
        <w:t xml:space="preserve"> </w:t>
      </w:r>
      <w:r>
        <w:rPr>
          <w:rFonts w:ascii="Times New Roman;sans-serif" w:hAnsi="Times New Roman;sans-serif"/>
          <w:b w:val="false"/>
          <w:color w:val="000000"/>
          <w:sz w:val="22"/>
        </w:rPr>
        <w:t>of the Credit Agreement is hereby amended by deleting the “and” after clause (q) thereof, relabeling clause (r) thereof as clause (s), and inserting the following new clause (r) in lieu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(r)</w:t>
      </w:r>
      <w:r>
        <w:rPr>
          <w:color w:val="000000"/>
        </w:rPr>
        <w:t xml:space="preserve"> </w:t>
      </w:r>
      <w:r>
        <w:rPr>
          <w:rFonts w:ascii="Times New Roman;sans-serif" w:hAnsi="Times New Roman;sans-serif"/>
          <w:b w:val="false"/>
          <w:color w:val="000000"/>
          <w:sz w:val="22"/>
        </w:rPr>
        <w:t xml:space="preserve">Liens on real property, fixtures, related real property rights and related contracts, and proceeds of the foregoing (including, without limitation, insurance proceeds in respect of the foregoing) owned by such Loan Party (in each case, other than property included in the Revolving Borrowing Base), securing Indebtedness permitted by </w:t>
      </w:r>
      <w:r>
        <w:rPr>
          <w:rFonts w:ascii="Times New Roman;sans-serif" w:hAnsi="Times New Roman;sans-serif"/>
          <w:b w:val="false"/>
          <w:color w:val="000000"/>
          <w:sz w:val="22"/>
          <w:u w:val="single"/>
        </w:rPr>
        <w:t>Section 7.01(s)</w:t>
      </w:r>
      <w:r>
        <w:rPr>
          <w:rFonts w:ascii="Times New Roman;sans-serif" w:hAnsi="Times New Roman;sans-serif"/>
          <w:b w:val="false"/>
          <w:color w:val="000000"/>
          <w:sz w:val="22"/>
        </w:rPr>
        <w:t>; and</w:t>
      </w:r>
    </w:p>
    <w:p>
      <w:pPr>
        <w:pStyle w:val="TextBody"/>
        <w:spacing w:lineRule="auto" w:line="240" w:before="0" w:after="0"/>
        <w:ind w:left="0" w:right="0" w:firstLine="720"/>
        <w:jc w:val="both"/>
        <w:rPr/>
      </w:pPr>
      <w:r>
        <w:rPr>
          <w:rFonts w:ascii="Times New Roman;sans-serif" w:hAnsi="Times New Roman;sans-serif"/>
          <w:b/>
          <w:color w:val="000000"/>
          <w:sz w:val="22"/>
        </w:rPr>
        <w:t>1.3</w:t>
      </w:r>
      <w:r>
        <w:rPr>
          <w:rFonts w:ascii="Times New Roman;sans-serif" w:hAnsi="Times New Roman;sans-serif"/>
          <w:b/>
          <w:color w:val="000000"/>
          <w:sz w:val="22"/>
        </w:rPr>
        <w:t xml:space="preserve">Amendments to Credit Agreement Effective on Commitment Increase Effective Date. </w:t>
      </w:r>
      <w:r>
        <w:rPr>
          <w:rFonts w:ascii="Times New Roman;sans-serif" w:hAnsi="Times New Roman;sans-serif"/>
          <w:b w:val="false"/>
          <w:color w:val="000000"/>
          <w:sz w:val="22"/>
        </w:rPr>
        <w:t>Simultaneously with the Commitment Increase Effective Date, the parties hereby agree that:</w:t>
      </w:r>
    </w:p>
    <w:p>
      <w:pPr>
        <w:pStyle w:val="TextBody"/>
        <w:spacing w:before="0" w:after="0"/>
        <w:ind w:left="0" w:right="0" w:firstLine="720"/>
        <w:jc w:val="both"/>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 xml:space="preserve">(a)     the Existing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365F91"/>
          <w:sz w:val="22"/>
        </w:rPr>
        <w:t>double-underlined text</w:t>
      </w:r>
      <w:r>
        <w:rPr>
          <w:rFonts w:ascii="Times New Roman;sans-serif" w:hAnsi="Times New Roman;sans-serif"/>
          <w:b w:val="false"/>
          <w:color w:val="000000"/>
          <w:sz w:val="22"/>
        </w:rPr>
        <w:t>), each as set forth in the pages of a conformed copy of the Existing Credit Agreement, as amended hereby, attached as Annex A hereto (as so amended, the “Amended Credit Agreement” and the Amended Credit Agreement as otherwise amended, restated, supplemented or otherwise modified from time to time on or after the date hereof, the “Credit Agreement”);</w:t>
      </w:r>
    </w:p>
    <w:p>
      <w:pPr>
        <w:pStyle w:val="TextBody"/>
        <w:spacing w:before="0" w:after="0"/>
        <w:ind w:left="0" w:right="0" w:firstLine="144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aggregate Commitments of each of the Lenders under the Credit Agreement shall be increased by the respective amount specified on the schedule attached as Annex B hereto; </w:t>
      </w:r>
    </w:p>
    <w:p>
      <w:pPr>
        <w:pStyle w:val="TextBody"/>
        <w:spacing w:before="0" w:after="0"/>
        <w:ind w:left="0" w:right="0" w:firstLine="144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in order to effect the Increase, Schedule 2.01 to the Credit Agreement shall be deleted and replaced in its entirety by the corresponding Schedule 2.01 attached as Annex C hereto;</w:t>
      </w:r>
    </w:p>
    <w:p>
      <w:pPr>
        <w:pStyle w:val="TextBody"/>
        <w:ind w:left="0" w:right="0" w:firstLine="1440"/>
        <w:jc w:val="both"/>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8" name="Frame3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Exhibit G to the Credit Agreement, Compliance Certificate, is hereby replaced in its entirety with the form of the Exhibit G attached hereto as Annex D;</w:t>
      </w:r>
    </w:p>
    <w:p>
      <w:pPr>
        <w:pStyle w:val="TextBody"/>
        <w:spacing w:before="0" w:after="0"/>
        <w:ind w:left="0" w:right="0" w:firstLine="144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new Exhibit R to the Credit Agreement, Notice of Prepayment, in the form of the Exhibit R attached hereto as Annex E hereto shall be added to the Credit Agreement; and</w:t>
      </w:r>
    </w:p>
    <w:p>
      <w:pPr>
        <w:pStyle w:val="TextBody"/>
        <w:spacing w:before="0" w:after="0"/>
        <w:ind w:left="0" w:right="0" w:firstLine="144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This Amendment is not a novation of the Existing Credit Agreement or of any credit facility or guaranty provided thereunder or in respect thereof. Notwithstanding that the cover page of the Amended Credit Agreement is dated “as of September 25, 2019” and Section 4.01 of the Amended Credit Agreement attached hereto contains those conditions which were applicable to the initial Closing Date of September 25, 2019, (i) the changes to the Existing Credit Agreement effected by Section 1.2 of this Amendment shall be effective as of the satisfaction to the conditions effectiveness set forth in Section 2.1 of this Amendment, (ii) the changes to the Existing Credit Agreement effected by Sections 1.3 and 1.4 of this Agreement shall be effective as of the satisfaction to the conditions to effectiveness set forth in Section 2.2 of this Amendment, and (iii) the changes to the Existing Credit Agreement effected by Section 1.5 of this Amendment shall be effective as of the satisfaction to the conditions to effectiveness set forth in Section 2.3 of this Amendment. The signature pages contained may be left off of the Amended Credit Agreement. </w:t>
      </w:r>
    </w:p>
    <w:p>
      <w:pPr>
        <w:pStyle w:val="TextBody"/>
        <w:spacing w:before="0" w:after="0"/>
        <w:ind w:left="0" w:right="0" w:firstLine="720"/>
        <w:jc w:val="both"/>
        <w:rPr/>
      </w:pPr>
      <w:r>
        <w:rPr/>
      </w:r>
    </w:p>
    <w:p>
      <w:pPr>
        <w:pStyle w:val="TextBody"/>
        <w:spacing w:lineRule="auto" w:line="240" w:before="0" w:after="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1.4Assignments and Allocations.</w:t>
      </w:r>
    </w:p>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Simultaneously with the Commitment Increase Effective Date, the parties hereby agree that (i) the Revolving Commitment of each of the Revolving Lenders under the Credit Agreement shall be as set forth in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(as amended hereby), the outstanding amount of the Revolving Loans (as defined in and</w:t>
      </w:r>
      <w:r>
        <w:rPr>
          <w:color w:val="000000"/>
        </w:rPr>
        <w:t xml:space="preserve"> </w:t>
      </w:r>
      <w:r>
        <w:rPr>
          <w:rFonts w:ascii="Times New Roman;sans-serif" w:hAnsi="Times New Roman;sans-serif"/>
          <w:b w:val="false"/>
          <w:color w:val="000000"/>
          <w:sz w:val="22"/>
        </w:rPr>
        <w:t>under the Credit Agreement, without giving effect to any Revolving Borrowings of Revolving Loans under the Credit Agreement on the Commitment Increase Effective Date, but after giving effect to any repayment or reduction thereof with the proceeds of any applicable sources) shall be reallocated in accordance with such Revolving Commitments and the requisite assignments shall be deemed to be made in such amounts by and between the Revolving Lenders and from each Revolving Lender</w:t>
      </w:r>
      <w:r>
        <w:rPr>
          <w:color w:val="000000"/>
        </w:rPr>
        <w:t xml:space="preserve"> </w:t>
      </w:r>
      <w:r>
        <w:rPr>
          <w:rFonts w:ascii="Times New Roman;sans-serif" w:hAnsi="Times New Roman;sans-serif"/>
          <w:b w:val="false"/>
          <w:color w:val="000000"/>
          <w:sz w:val="22"/>
        </w:rPr>
        <w:t xml:space="preserve">to each other Revolving Lender (including to Revolving Lenders who increase their Revolving Commitments in connection with this Amendment), with the same force and effect as if such assignments were evidenced by applicable Assignments and Assumptions (as defined in the Credit Agreement) under the Credit Agreement but without the payment of any related assignment fee, and no other documents or instruments shall be, or shall be required to be, executed in connection with such assignments (all of which requirements are hereby waived), (ii) the New Vehicle Floorplan Commitment of each of the New Vehicle Floorplan Lenders under the Credit Agreement shall be as set forth in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(as amended hereby), the outstanding amount of the New Vehicle Floorplan Loans (as defined in and</w:t>
      </w:r>
      <w:r>
        <w:rPr>
          <w:color w:val="000000"/>
        </w:rPr>
        <w:t xml:space="preserve"> </w:t>
      </w:r>
      <w:r>
        <w:rPr>
          <w:rFonts w:ascii="Times New Roman;sans-serif" w:hAnsi="Times New Roman;sans-serif"/>
          <w:b w:val="false"/>
          <w:color w:val="000000"/>
          <w:sz w:val="22"/>
        </w:rPr>
        <w:t>under the Credit Agreement, without giving effect to any New Vehicle Floorplan Borrowings of New Vehicle Floorplan Loans under the Credit Agreement on the Commitment Increase Effective Date, but after giving effect to any repayment or reduction thereof with the proceeds of any applicable sources) shall be reallocated in accordance with such New Vehicle Floorplan Commitments and the requisite assignments shall be deemed to be made in such amounts by and between the New Vehicle Floorplan Lenders and from each New Vehicle Floorplan Lender</w:t>
      </w:r>
      <w:r>
        <w:rPr>
          <w:color w:val="000000"/>
        </w:rPr>
        <w:t xml:space="preserve"> </w:t>
      </w:r>
      <w:r>
        <w:rPr>
          <w:rFonts w:ascii="Times New Roman;sans-serif" w:hAnsi="Times New Roman;sans-serif"/>
          <w:b w:val="false"/>
          <w:color w:val="000000"/>
          <w:sz w:val="22"/>
        </w:rPr>
        <w:t xml:space="preserve">to each other New Vehicle Floorplan Lender (including to New Vehicle Floorplan Lenders who increase their New Vehicle Floorplan Commitments in connection with this Amendment), with the same force and effect as if such assignments were evidenced by applicable Assignments and Assumptions (as defined in the Credit Agreement) under the Credit Agreement but without the payment of any related assignment fee, and no other documents or instruments shall be, or shall be required to be, executed in connection with such assignments (all of which requirements are hereby waived), and (iii) the Used Vehicle Floorplan Commitment of each of the Used Vehicle Floorplan Lenders under the Credit Agreement shall be as set forth in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(as amended hereby), the outstanding amount of the Used Vehicle Floorplan Loans (as defined in and</w:t>
      </w:r>
      <w:r>
        <w:rPr>
          <w:color w:val="000000"/>
        </w:rPr>
        <w:t xml:space="preserve"> </w:t>
      </w:r>
      <w:r>
        <w:rPr>
          <w:rFonts w:ascii="Times New Roman;sans-serif" w:hAnsi="Times New Roman;sans-serif"/>
          <w:b w:val="false"/>
          <w:color w:val="000000"/>
          <w:sz w:val="22"/>
        </w:rPr>
        <w:t>under the Credit Agreement, without giving effect to any Used Vehicle Floorplan Borrowings of Used Vehicle Floorplan Loans under the Credit Agreement on the Commitment Increase Effective Date, but after giving effect to any repayment or reduction thereof with the proceeds of any applicable sources) shall be reallocated in accordance with such Used Vehicle Floorplan Commitments and the requisite assignments shall be deemed to be made in such amounts by and between the Used Vehicle Floorplan Lenders and from each Used Vehicle Floorplan Lender</w:t>
      </w:r>
      <w:r>
        <w:rPr>
          <w:color w:val="000000"/>
        </w:rPr>
        <w:t xml:space="preserve"> </w:t>
      </w:r>
      <w:r>
        <w:rPr>
          <w:rFonts w:ascii="Times New Roman;sans-serif" w:hAnsi="Times New Roman;sans-serif"/>
          <w:b w:val="false"/>
          <w:color w:val="000000"/>
          <w:sz w:val="22"/>
        </w:rPr>
        <w:t xml:space="preserve">to each other Used Vehicle Floorplan Lender (including to Used Vehicle Floorplan Lenders who increase their Used Vehicle Floorplan Commitments in connection with this Amendment), with the same force and effect as if such assignments were evidenced by applicable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9" name="Frame3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Assignments and Assumptions (as defined in the Credit Agreement) under the Credit Agreement but without the payment of any related assignment fee, and no other documents or instruments, shall be, or shall be required to be, executed in connection with such assignments (all of which requirements are hereby waived).</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On the Commitment Increase Effective Date, the applicable Lenders shall make full cash settlement with one another, in each case through the Administrative Agent, as the Administrative Agent may direct or approve, with respect to all assignments, reallocations and other changes in Commitments, such that after giving effect to such settlements, each Lender’s Applicable Percentage of the Aggregate Commitments equals (with customary rounding) its Applicable Percentage of the Outstanding Amount of all Loans.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increase in Commitments pursuant to this Amendment is not an exercise of Section 2.22 of the Credit Agreement; and notwithstanding Section 2.22 of the Credit Agreement, the increase in Commitments pursuant to this Amendment is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required to be allocated among the Facilities in approximately the same ratio as the Commitments existing between the Facilities as of the original Closing Date. However, nothing contained herein shall modify or alter such requirement of Section 2.22 of the Credit Agreement in the event the Company requests a separate increase in Commitments pursuant to Section 2.22 of the Credit Agreement at any time after the date hereof. For the avoidance of doubt, the increase in Commitments pursuant to this Amendment shall not occur unless the Commitment Increase Effective Date has occurred.</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In the event of any assignment of a Commitment by a Lender, any increase in Commitments pursuant to Section 2.22 of the Credit Agreement, any reduction in Commitments pursuant to Section 2.14 of the Credit Agreement, any conversion of Aggregate Revolving Commitments to Aggregate New Vehicle Floorplan Commitments or Aggregate Used Vehicle Floorplan Commitments pursuant to Section 2.14 of the Credit Agreement or any conversion of Aggregate New Vehicle Floorplan Commitments or Aggregate Used Vehicle Floorplan Commitments to Aggregate Revolving Commitments pursuant to Section 2.14 of the Credit Agreement between the Third Amendment Effective Date and the Commitment Increase Effective Date, the Company, each other Loan Party and each Consenting Lender agrees that the Administrative Agent shall modify Schedule 2.01 as appropriate to reflect any such assignments, increases, reductions or conversions, as applicable, and the Company, each other Loan Party and each Consenting Lender authorizes the Administrative Agent to so modify Schedule 2.01 and attach Schedule 2.01 (as so modified) to this Amendment.</w:t>
      </w:r>
    </w:p>
    <w:p>
      <w:pPr>
        <w:pStyle w:val="TextBody"/>
        <w:spacing w:lineRule="auto" w:line="240" w:before="0" w:after="0"/>
        <w:ind w:left="0" w:right="0" w:firstLine="720"/>
        <w:jc w:val="both"/>
        <w:rPr/>
      </w:pPr>
      <w:r>
        <w:rPr>
          <w:rFonts w:ascii="Times New Roman;sans-serif" w:hAnsi="Times New Roman;sans-serif"/>
          <w:b/>
          <w:color w:val="000000"/>
          <w:sz w:val="22"/>
        </w:rPr>
        <w:t>1.5</w:t>
      </w:r>
      <w:r>
        <w:rPr>
          <w:rFonts w:ascii="Times New Roman;sans-serif" w:hAnsi="Times New Roman;sans-serif"/>
          <w:b/>
          <w:color w:val="000000"/>
          <w:sz w:val="22"/>
        </w:rPr>
        <w:t>Additional Amendments to Credit Agreement if Commitment Increase Effective Date Does Not Occur by December 31, 2021.</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(a)</w:t>
      </w:r>
      <w:r>
        <w:rPr>
          <w:rFonts w:ascii="Times New Roman;sans-serif" w:hAnsi="Times New Roman;sans-serif"/>
          <w:b/>
          <w:color w:val="000000"/>
          <w:sz w:val="22"/>
        </w:rPr>
        <w:t>Section 1.02</w:t>
      </w:r>
      <w:r>
        <w:rPr>
          <w:color w:val="000000"/>
        </w:rPr>
        <w:t xml:space="preserve"> </w:t>
      </w:r>
      <w:r>
        <w:rPr>
          <w:rFonts w:ascii="Times New Roman;sans-serif" w:hAnsi="Times New Roman;sans-serif"/>
          <w:b w:val="false"/>
          <w:color w:val="000000"/>
          <w:sz w:val="22"/>
        </w:rPr>
        <w:t xml:space="preserve">of the Credit Agreement is hereby amended by deleting the definition of “New Vehicle Floorplan Offset Agreement” in its entirety and inserting the following in lieu thereof: </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color w:val="000000"/>
          <w:sz w:val="22"/>
        </w:rPr>
        <w:t>New Vehicle Floorplan Offset Agreement” means, collectively:</w:t>
      </w:r>
    </w:p>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2"/>
        </w:rPr>
        <w:t>(a)an offset agreement in form and substance reasonably satisfactory to the Administrative Agent and the New Vehicle Floorplan Swing Line Lender, (i) providing for the crediting of monies of the Company or any of its Subsidiaries to a general ledger account maintained with Bank of America (a “</w:t>
      </w:r>
      <w:r>
        <w:rPr>
          <w:rFonts w:ascii="Times New Roman;sans-serif" w:hAnsi="Times New Roman;sans-serif"/>
          <w:b w:val="false"/>
          <w:color w:val="000000"/>
          <w:sz w:val="22"/>
          <w:u w:val="single"/>
        </w:rPr>
        <w:t>New Vehicle Floorplan Offset Account</w:t>
      </w:r>
      <w:r>
        <w:rPr>
          <w:color w:val="000000"/>
        </w:rPr>
        <w:t>”</w:t>
      </w:r>
      <w:r>
        <w:rPr>
          <w:rFonts w:ascii="Times New Roman;sans-serif" w:hAnsi="Times New Roman;sans-serif"/>
          <w:b w:val="false"/>
          <w:color w:val="000000"/>
          <w:sz w:val="22"/>
        </w:rPr>
        <w:t>), and the withdrawal of monies from such account, (ii) providing that interest accrued on New Vehicle Floorplan Committed Loans will be offset by an amount equal to (A) the amount that is credited to the New Vehicle Floorplan Offset Account from time to time (a “</w:t>
      </w:r>
      <w:r>
        <w:rPr>
          <w:rFonts w:ascii="Times New Roman;sans-serif" w:hAnsi="Times New Roman;sans-serif"/>
          <w:b w:val="false"/>
          <w:color w:val="000000"/>
          <w:sz w:val="22"/>
          <w:u w:val="single"/>
        </w:rPr>
        <w:t>Floorplan Offset Amount</w:t>
      </w:r>
      <w:r>
        <w:rPr>
          <w:color w:val="000000"/>
        </w:rPr>
        <w:t>”</w:t>
      </w:r>
      <w:r>
        <w:rPr>
          <w:rFonts w:ascii="Times New Roman;sans-serif" w:hAnsi="Times New Roman;sans-serif"/>
          <w:b w:val="false"/>
          <w:color w:val="000000"/>
          <w:sz w:val="22"/>
        </w:rPr>
        <w:t xml:space="preserve">), multiplied by (B) the interest rate applicable to New Vehicle Floorplan Committed Loans from time to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Floorplan Offset Amount shall not exceed 20% of the aggregate Outstanding Amount of all New Vehicle Floorplan Loans at any time;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(b)if applicable, any New Vehicle Automated Sweep Agreement.</w:t>
      </w:r>
    </w:p>
    <w:p>
      <w:pPr>
        <w:pStyle w:val="TextBody"/>
        <w:jc w:val="both"/>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40" name="Frame3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color w:val="000000"/>
          <w:sz w:val="22"/>
        </w:rPr>
        <w:t>Section 1.02</w:t>
      </w:r>
      <w:r>
        <w:rPr>
          <w:color w:val="000000"/>
        </w:rPr>
        <w:t xml:space="preserve"> </w:t>
      </w:r>
      <w:r>
        <w:rPr>
          <w:rFonts w:ascii="Times New Roman;sans-serif" w:hAnsi="Times New Roman;sans-serif"/>
          <w:b w:val="false"/>
          <w:color w:val="000000"/>
          <w:sz w:val="22"/>
        </w:rPr>
        <w:t>of the Credit Agreement is hereby amended by deleting the definition of “New Vehicle Floorplan Swing Line Sublimit” in its entirety and inserting the following in lieu thereof:</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New Vehicle Floorplan Swing Line Sublimit</w:t>
      </w:r>
      <w:r>
        <w:rPr>
          <w:color w:val="000000"/>
        </w:rPr>
        <w:t xml:space="preserve">” </w:t>
      </w:r>
      <w:r>
        <w:rPr>
          <w:rFonts w:ascii="Times New Roman;sans-serif" w:hAnsi="Times New Roman;sans-serif"/>
          <w:b w:val="false"/>
          <w:color w:val="000000"/>
          <w:sz w:val="22"/>
        </w:rPr>
        <w:t>means, at any time, an amount equal to the lesser of (a) $85,000,000 or (b) the Aggregate New Vehicle Floorplan Commitments. The New Vehicle Floorplan Swing Line Sublimit is part of, and not in addition to, the Aggregate New Vehicle Floorplan Commitments.</w:t>
      </w:r>
    </w:p>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color w:val="000000"/>
          <w:sz w:val="22"/>
        </w:rPr>
        <w:t>Section 2.07(d)</w:t>
      </w:r>
      <w:r>
        <w:rPr>
          <w:color w:val="000000"/>
        </w:rPr>
        <w:t xml:space="preserve"> </w:t>
      </w:r>
      <w:r>
        <w:rPr>
          <w:rFonts w:ascii="Times New Roman;sans-serif" w:hAnsi="Times New Roman;sans-serif"/>
          <w:b w:val="false"/>
          <w:color w:val="000000"/>
          <w:sz w:val="22"/>
        </w:rPr>
        <w:t>of the Credit Agreement is hereby amended by deleting first sentence of such section in its entirety and inserting the following in lieu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If at any time during an Asbury New Vehicle Control Period (i) the amount of any repayment of New Vehicle Floorplan Swing Line Loans exceeds (ii) an amount equal to the Outstanding Amount of New Vehicle Floorplan Swing Line Loans (such excess of the amount in clause (i) over the amount in clause (ii) being referred to as the “</w:t>
      </w:r>
      <w:r>
        <w:rPr>
          <w:rFonts w:ascii="Times New Roman;sans-serif" w:hAnsi="Times New Roman;sans-serif"/>
          <w:b w:val="false"/>
          <w:color w:val="000000"/>
          <w:sz w:val="22"/>
          <w:u w:val="single"/>
        </w:rPr>
        <w:t>Negative New Vehicle Swing Line Balance</w:t>
      </w:r>
      <w:r>
        <w:rPr>
          <w:color w:val="000000"/>
        </w:rPr>
        <w:t>”</w:t>
      </w:r>
      <w:r>
        <w:rPr>
          <w:rFonts w:ascii="Times New Roman;sans-serif" w:hAnsi="Times New Roman;sans-serif"/>
          <w:b w:val="false"/>
          <w:color w:val="000000"/>
          <w:sz w:val="22"/>
        </w:rPr>
        <w:t xml:space="preserve">), the Outstanding Amount of such New Vehicle Floorplan Swing Line Loans shall be reduced by the amount of such repayment, and (Y) the Negative New Vehicle Swing Line Balance shall be held by the New Vehicle Swing Line Lender to prepay subsequent New Vehicle Floorplan Swing Line Loans or, (Z) if and when the Company submits a notice of prepayment of New Vehicle Committed Loans pursuant to </w:t>
      </w:r>
      <w:r>
        <w:rPr>
          <w:rFonts w:ascii="Times New Roman;sans-serif" w:hAnsi="Times New Roman;sans-serif"/>
          <w:b w:val="false"/>
          <w:color w:val="000000"/>
          <w:sz w:val="22"/>
          <w:u w:val="single"/>
        </w:rPr>
        <w:t>Section 2.13(c)</w:t>
      </w:r>
      <w:r>
        <w:rPr>
          <w:rFonts w:ascii="Times New Roman;sans-serif" w:hAnsi="Times New Roman;sans-serif"/>
          <w:b w:val="false"/>
          <w:color w:val="000000"/>
          <w:sz w:val="22"/>
        </w:rPr>
        <w:t xml:space="preserve">, the Negative New Vehicle Swing Line Balance may be used to prepay such New Vehicle Floorplan Committed Loans.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color w:val="000000"/>
          <w:sz w:val="22"/>
        </w:rPr>
        <w:t>Section 2.07(f)(i)</w:t>
      </w:r>
      <w:r>
        <w:rPr>
          <w:color w:val="000000"/>
        </w:rPr>
        <w:t xml:space="preserve"> </w:t>
      </w:r>
      <w:r>
        <w:rPr>
          <w:rFonts w:ascii="Times New Roman;sans-serif" w:hAnsi="Times New Roman;sans-serif"/>
          <w:b w:val="false"/>
          <w:color w:val="000000"/>
          <w:sz w:val="22"/>
        </w:rPr>
        <w:t>of the Credit Agreement is hereby amended by deleting first sentence of such section in its entirety and inserting the following in lieu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The New Vehicle Floorplan Swing Line Lender at any time in its sole and absolute discretion may request (and during an Asbury New Vehicle Control Period, upon direction of the Company shall request), on behalf of the New Vehicle Borrowers (which hereby irrevocably authorize the New Vehicle Floorplan Swing Line Lender to so request on their behalf), that each New Vehicle Floorplan Lender make a Eurodollar Rate Committed Loan in an amount equal to such Lender’s Applicable New Vehicle Floorplan Percentage of the amount of New Vehicle Floorplan Swing Line Loans that the New Vehicle Floorplan Swing Line Lender (or the Company, during an Asbury New Vehicle Control Period), in its sole discretion chooses to refinance (including, subject to </w:t>
      </w:r>
      <w:r>
        <w:rPr>
          <w:rFonts w:ascii="Times New Roman;sans-serif" w:hAnsi="Times New Roman;sans-serif"/>
          <w:b w:val="false"/>
          <w:color w:val="000000"/>
          <w:sz w:val="22"/>
          <w:u w:val="single"/>
        </w:rPr>
        <w:t>Section 2.08(b)(iv)</w:t>
      </w:r>
      <w:r>
        <w:rPr>
          <w:rFonts w:ascii="Times New Roman;sans-serif" w:hAnsi="Times New Roman;sans-serif"/>
          <w:b w:val="false"/>
          <w:color w:val="000000"/>
          <w:sz w:val="22"/>
        </w:rPr>
        <w:t xml:space="preserve">, any New Vehicle Floorplan Overdrafts). </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color w:val="000000"/>
          <w:sz w:val="22"/>
        </w:rPr>
        <w:t>Section 2.16</w:t>
      </w:r>
      <w:r>
        <w:rPr>
          <w:color w:val="000000"/>
        </w:rPr>
        <w:t xml:space="preserve"> </w:t>
      </w:r>
      <w:r>
        <w:rPr>
          <w:rFonts w:ascii="Times New Roman;sans-serif" w:hAnsi="Times New Roman;sans-serif"/>
          <w:b w:val="false"/>
          <w:color w:val="000000"/>
          <w:sz w:val="22"/>
        </w:rPr>
        <w:t>of the Credit Agreement is hereby amended by deleting clause (d) such section in its entirety and inserting the following in lieu thereof:</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(d)    Subject to provisos (i) and (ii) in the last paragraph of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 xml:space="preserve">, Bank of America may enter into a New Vehicle Floorplan Offset Agreement with the Company, any New Vehicle Borrowers or any other Subsidiary from time to time, and while such an agreement is in effect and any Floorplan Offset Amount is credited to the respective New Vehicle Floorplan Offset Account, New Vehicle Floorplan Committed Loans in an aggregate outstanding principal amount equal to the Floorplan Offset Amount will not bear interest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Floorplan Offset Amount shall not exceed 20% of the aggregate Outstanding Amount of all New Vehicle Floorplan Loans at any time. </w:t>
      </w:r>
    </w:p>
    <w:p>
      <w:pPr>
        <w:pStyle w:val="TextBody"/>
        <w:spacing w:before="360" w:after="240"/>
        <w:jc w:val="center"/>
        <w:rPr/>
      </w:pPr>
      <w:r>
        <w:rPr/>
      </w:r>
    </w:p>
    <w:p>
      <w:pPr>
        <w:pStyle w:val="TextBody"/>
        <w:spacing w:before="0" w:after="2"/>
        <w:ind w:left="0" w:right="0" w:firstLine="7"/>
        <w:jc w:val="center"/>
        <w:rPr/>
      </w:pPr>
      <w:r>
        <w:rPr/>
      </w:r>
    </w:p>
    <w:p>
      <w:pPr>
        <w:pStyle w:val="TextBody"/>
        <w:spacing w:before="0" w:after="2"/>
        <w:ind w:left="0" w:right="0" w:firstLine="7"/>
        <w:jc w:val="center"/>
        <w:rPr/>
      </w:pPr>
      <w:r>
        <w:rPr/>
      </w:r>
    </w:p>
    <w:p>
      <w:pPr>
        <w:pStyle w:val="TextBody"/>
        <w:spacing w:before="0" w:after="2"/>
        <w:ind w:left="0" w:right="0" w:firstLine="7"/>
        <w:jc w:val="center"/>
        <w:rPr/>
      </w:pPr>
      <w:r>
        <w:rPr/>
      </w:r>
    </w:p>
    <w:p>
      <w:pPr>
        <w:pStyle w:val="TextBody"/>
        <w:spacing w:before="0" w:after="2"/>
        <w:ind w:left="0" w:right="0" w:firstLine="7"/>
        <w:jc w:val="center"/>
        <w:rPr/>
      </w:pPr>
      <w:r>
        <w:rPr/>
      </w:r>
    </w:p>
    <w:p>
      <w:pPr>
        <w:pStyle w:val="TextBody"/>
        <w:spacing w:before="0" w:after="2"/>
        <w:ind w:left="0" w:right="0" w:firstLine="7"/>
        <w:jc w:val="center"/>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41" name="Frame3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
        <w:ind w:left="0" w:right="0" w:firstLine="7"/>
        <w:jc w:val="center"/>
        <w:rPr>
          <w:rFonts w:ascii="Times New Roman;sans-serif" w:hAnsi="Times New Roman;sans-serif"/>
          <w:b/>
          <w:color w:val="000000"/>
          <w:sz w:val="22"/>
        </w:rPr>
      </w:pPr>
      <w:r>
        <w:rPr>
          <w:rFonts w:ascii="Times New Roman;sans-serif" w:hAnsi="Times New Roman;sans-serif"/>
          <w:b/>
          <w:color w:val="000000"/>
          <w:sz w:val="22"/>
        </w:rPr>
        <w:t>SECTION 2 - CONDITIONS PRECEDENT TO EFFECTIVENESS</w:t>
      </w:r>
    </w:p>
    <w:p>
      <w:pPr>
        <w:pStyle w:val="TextBody"/>
        <w:spacing w:before="0" w:after="2"/>
        <w:ind w:left="0" w:right="0" w:firstLine="7"/>
        <w:jc w:val="center"/>
        <w:rPr/>
      </w:pPr>
      <w:r>
        <w:rPr/>
      </w:r>
    </w:p>
    <w:p>
      <w:pPr>
        <w:pStyle w:val="TextBody"/>
        <w:spacing w:before="0" w:after="2"/>
        <w:ind w:left="0" w:right="0" w:firstLine="7"/>
        <w:jc w:val="center"/>
        <w:rPr/>
      </w:pPr>
      <w:r>
        <w:rPr/>
      </w:r>
    </w:p>
    <w:p>
      <w:pPr>
        <w:pStyle w:val="TextBody"/>
        <w:spacing w:lineRule="auto" w:line="240" w:before="0" w:after="0"/>
        <w:ind w:left="0" w:right="0" w:firstLine="7"/>
        <w:jc w:val="both"/>
        <w:rPr/>
      </w:pPr>
      <w:r>
        <w:rPr>
          <w:rFonts w:ascii="Times New Roman;sans-serif" w:hAnsi="Times New Roman;sans-serif"/>
          <w:b/>
          <w:color w:val="000000"/>
          <w:sz w:val="22"/>
        </w:rPr>
        <w:t>2.1</w:t>
      </w:r>
      <w:r>
        <w:rPr>
          <w:color w:val="000000"/>
        </w:rPr>
        <w:t>    </w:t>
      </w:r>
      <w:r>
        <w:rPr>
          <w:rFonts w:ascii="Times New Roman;sans-serif" w:hAnsi="Times New Roman;sans-serif"/>
          <w:b w:val="false"/>
          <w:color w:val="000000"/>
          <w:sz w:val="22"/>
        </w:rPr>
        <w:t>This Amendment (other than the amendments contained in Sections 1.3, 1.4 and 1.5 of this Amendment) shall become effective upon the satisfaction or waiver by the Administrative Agent and Consenting Lenders of the following condition precedent (the date of such satisfaction or waiver, the “</w:t>
      </w:r>
      <w:r>
        <w:rPr>
          <w:rFonts w:ascii="Times New Roman;sans-serif" w:hAnsi="Times New Roman;sans-serif"/>
          <w:b w:val="false"/>
          <w:color w:val="000000"/>
          <w:sz w:val="22"/>
          <w:u w:val="single"/>
        </w:rPr>
        <w:t>Third Amendment Effective Date</w:t>
      </w:r>
      <w:r>
        <w:rPr>
          <w:color w:val="000000"/>
        </w:rPr>
        <w:t>”</w:t>
      </w:r>
      <w:r>
        <w:rPr>
          <w:rFonts w:ascii="Times New Roman;sans-serif" w:hAnsi="Times New Roman;sans-serif"/>
          <w:b w:val="false"/>
          <w:color w:val="000000"/>
          <w:sz w:val="22"/>
        </w:rPr>
        <w:t>): the Administrative Agent’s receipt of executed counterparts of this Amendment from the Administrative Agent, the Borrowers, the Guarantors, each Lender (including, without limitation each Lender increasing any of its Commitments or joining the Credit Agreement pursuant to this Amendment), in each case sufficient in number for distribution to the Administrative Agent, the Administrative Agent’s counsel and the Company.</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2"/>
        </w:rPr>
        <w:t>2.2    </w:t>
      </w:r>
      <w:r>
        <w:rPr>
          <w:rFonts w:ascii="Times New Roman;sans-serif" w:hAnsi="Times New Roman;sans-serif"/>
          <w:b w:val="false"/>
          <w:color w:val="000000"/>
          <w:sz w:val="22"/>
        </w:rPr>
        <w:t>The amendments contained in Sections 1.3 and 1.4 of this Amendment shall only be effective upon the later of (1) the date that the Borrowers specify in the notice described in clause (e) below and (2) the date of the satisfaction or waiver by the Administrative Agent and each Lender (including, without limitation each Lender increasing any of its Commitments or joining the Credit Agreement pursuant to this Amendment) of each of the following conditions precedent (such later date, the “</w:t>
      </w:r>
      <w:r>
        <w:rPr>
          <w:rFonts w:ascii="Times New Roman;sans-serif" w:hAnsi="Times New Roman;sans-serif"/>
          <w:b w:val="false"/>
          <w:color w:val="000000"/>
          <w:sz w:val="22"/>
          <w:u w:val="single"/>
        </w:rPr>
        <w:t>Commitment Increase Effective Date</w:t>
      </w:r>
      <w:r>
        <w:rPr>
          <w:color w:val="000000"/>
        </w:rPr>
        <w:t>”</w:t>
      </w:r>
      <w:r>
        <w:rPr>
          <w:rFonts w:ascii="Times New Roman;sans-serif" w:hAnsi="Times New Roman;sans-serif"/>
          <w:b w:val="false"/>
          <w:color w:val="000000"/>
          <w:sz w:val="22"/>
        </w:rPr>
        <w:t>) (provided that such specified date and such satisfaction or waiver must occur on or before December 31, 2021) (in addition to the condition set forth in Section 2.1 of this Amendment):</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Agent’s receipt of the following, each of which (in the case of clauses (i), (ii), and (iv)), shall be originals or telecopies (followed promptly by originals) unless otherwise specified, each of which (in the case of clauses (i), (ii), and (iii)), shall be properly executed by a Responsible Officer of the signing Loan Party, each dated the Commitment Increase Effective Date (or, in the case of certificates of governmental officials or the items referred to in clause (v) below, a recent date before the Commitment Increase Effective Date) and each in form and substance satisfactory to the Administrative Agent and each of the Lenders:</w:t>
      </w:r>
    </w:p>
    <w:p>
      <w:pPr>
        <w:pStyle w:val="TextBody"/>
        <w:spacing w:lineRule="auto" w:line="240" w:before="0" w:after="240"/>
        <w:ind w:left="0" w:right="0" w:firstLine="720"/>
        <w:jc w:val="both"/>
        <w:rPr/>
      </w:pPr>
      <w:r>
        <w:rPr>
          <w:rFonts w:ascii="Times New Roman;sans-serif" w:hAnsi="Times New Roman;sans-serif"/>
          <w:b w:val="false"/>
          <w:color w:val="000000"/>
          <w:sz w:val="22"/>
        </w:rPr>
        <w:t>(i)(A) a Revolving Note executed by the Company in favor of each Lender requesting a Revolving Note, (B) a New Vehicle Floorplan Note executed by the New Vehicle Borrowers in favor of each Lender requesting a New Vehicle Floorplan Note, and (C) a Used Vehicle Floorplan Note executed by the Used Vehicle Borrowers in favor of each Lender requesting a Used Vehicle Floorplan Note;</w:t>
      </w:r>
      <w:r>
        <w:rPr>
          <w:color w:val="000000"/>
        </w:rPr>
        <w:t xml:space="preserv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Amendment and the other Loan Documents to which such Loan Party is a party;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(iii)such documents and certifications as the Administrative Agent may reasonably require to evidence that each Loan Party is duly organized or formed, and that such Loan Party is validly existing, in good standing and qualified to engage in business in the jurisdiction of its organization or formation, and each other jurisdiction where its ownership, lease or operation of properties or the conduct of its business requires such qualification, except to the extent that failure to do so could not reasonably be expected to have a Material Adverse Effect;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(iv)an amendment to the New Vehicle Floorplan Offset Agreement, executed by the parties thereto, in form and substance satisfactory to the Administrative Agent and the New Vehicle Swing Line Lender;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(v)an amendment to the New Vehicle Automated Sweep Agreement, executed by the parties thereto, in form and substance satisfactory to the Administrative Agent and the New Vehicle Swing Line Lender;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(vi)favorable opinions of Jones Day, counsel to the Loan Parties, and, if requested by the Administrative Agent in its sole discretion, of local counsel to the Loan Parties in each state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42" name="Frame3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where a Loan Party is organized, in each case addressed to the Administrative Agent and each Lender, in form and substance reasonably satisfactory to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 Upon the reasonable request of any Lender made at least ten (10) Business Days prior to the Commitment Increase Effective Date, each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(3) Business Days prior to the Commitment Increase Effective Date and (ii) at least three (3) Business Days prior to the Commitment Increase Effective Date, any Loan Party that qualifies as a “legal entity customer” under the Beneficial Ownership Regulation shall have delivered, to each Lender that so requests, a Beneficial Ownership Certification in relation to such Loan Party.</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All fees set forth in that certain the letter agreement, dated October 26, 2021 among the Company, the Administrative Agent and the Arranger and any other fees required to be paid on or before the Commitment Increase Effective Date shall have been paid.</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Company shall have paid all reasonable accrued fees, charges and disbursements of counsel to the Administrative Agent (directly to such counsel if requested by the Administrative Agent) to the extent invoiced prior to or on the Commitment Increase Effective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such additional amounts of such fees, charges and disbursements as shall constitute its reasonable estimate of such fees, charges and disbursements incurred or to be incurred by it through the closing proceedings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estimate shall not thereafter preclude a final settling of accounts between the Company and the Administrative Agent).</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Borrowers shall have delivered to the Administrative Agent not less than five (5) Business Days’ prior written notice specifying the date (which must be before December 31, 2021) that they elect for the amendments set forth in Section 1.4 of this Amendment to become effective, which notice must be received on or before December 22, 2021.</w:t>
      </w:r>
    </w:p>
    <w:p>
      <w:pPr>
        <w:pStyle w:val="TextBody"/>
        <w:spacing w:lineRule="auto" w:line="240" w:before="0" w:after="0"/>
        <w:ind w:left="0" w:right="0" w:firstLine="720"/>
        <w:jc w:val="both"/>
        <w:rPr/>
      </w:pPr>
      <w:r>
        <w:rPr>
          <w:rFonts w:ascii="Times New Roman;sans-serif" w:hAnsi="Times New Roman;sans-serif"/>
          <w:b/>
          <w:color w:val="000000"/>
          <w:sz w:val="22"/>
        </w:rPr>
        <w:t>2.3    </w:t>
      </w:r>
      <w:r>
        <w:rPr>
          <w:rFonts w:ascii="Times New Roman;sans-serif" w:hAnsi="Times New Roman;sans-serif"/>
          <w:b w:val="false"/>
          <w:color w:val="000000"/>
          <w:sz w:val="22"/>
        </w:rPr>
        <w:t>If the Commitment Increase Effective Date has not occurred by December 31, 2021,</w:t>
      </w:r>
      <w:r>
        <w:rPr>
          <w:color w:val="000000"/>
        </w:rPr>
        <w:t xml:space="preserve"> </w:t>
      </w:r>
      <w:r>
        <w:rPr>
          <w:rFonts w:ascii="Times New Roman;sans-serif" w:hAnsi="Times New Roman;sans-serif"/>
          <w:b w:val="false"/>
          <w:color w:val="000000"/>
          <w:sz w:val="22"/>
        </w:rPr>
        <w:t>then the amendments contained in Section 1.5 of this Amendment shall become effective on January 1, 2022 if the following conditions have been satisfied on or before December 31, 2021 (in addition to the condition set forth in Section 2.1 of this Amendment):</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Agent’s receipt of the following, each of which shall be originals or telecopies (followed promptly by originals) properly executed by a Responsible Officer of the signing Loan Party:</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 amendment to the New Vehicle Floorplan Offset Agreement, executed by the parties thereto, in form and substance satisfactory to the Administrative Agent and the New Vehicle Swing Line Lender;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(ii)an amendment to the New Vehicle Automated Sweep Agreement, executed by the parties thereto, in form and substance satisfactory to the Administrative Agent and the New Vehicle Swing Line Lender.</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SECTION 3 - MISCELLANEOUS</w:t>
      </w:r>
    </w:p>
    <w:p>
      <w:pPr>
        <w:pStyle w:val="TextBody"/>
        <w:spacing w:lineRule="auto" w:line="240" w:before="0" w:after="0"/>
        <w:ind w:left="0" w:right="0" w:firstLine="720"/>
        <w:jc w:val="both"/>
        <w:rPr/>
      </w:pPr>
      <w:r>
        <w:rPr>
          <w:rFonts w:ascii="Times New Roman;sans-serif" w:hAnsi="Times New Roman;sans-serif"/>
          <w:b/>
          <w:color w:val="000000"/>
          <w:sz w:val="22"/>
        </w:rPr>
        <w:t>3.1</w:t>
      </w:r>
      <w:r>
        <w:rPr>
          <w:color w:val="000000"/>
        </w:rPr>
        <w:t>    </w:t>
      </w:r>
      <w:r>
        <w:rPr>
          <w:rFonts w:ascii="Times New Roman;sans-serif" w:hAnsi="Times New Roman;sans-serif"/>
          <w:b/>
          <w:color w:val="000000"/>
          <w:sz w:val="22"/>
          <w:u w:val="single"/>
        </w:rPr>
        <w:t>Binding Effect</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This Amendment shall be binding upon the parties hereto and their respective successors and assigns and shall inure to the benefit of the parties hereto and the successors and assigns of Lender.</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color w:val="000000"/>
          <w:sz w:val="22"/>
        </w:rPr>
        <w:t>3.2    </w:t>
      </w:r>
      <w:r>
        <w:rPr>
          <w:rFonts w:ascii="Times New Roman;sans-serif" w:hAnsi="Times New Roman;sans-serif"/>
          <w:b/>
          <w:color w:val="000000"/>
          <w:sz w:val="22"/>
          <w:u w:val="single"/>
        </w:rPr>
        <w:t>Affirmation of Borrowers and Guarantors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Each Borrower and each Guarantor hereby (a) consents to the amendments and modifications to the Credit Agreement effected hereby, and (b) confirms and agrees that, notwithstanding the effectiveness of this Amendment, each Loan Document to which such Borrower or such Guarantor, as applicable, is a party is, and the obligations of such Borrower or such Guarantor, as applicable, contained in the Credit Agreement, as amended and modified hereby, or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3" name="Frame3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any other Loan Documents to which it is a party are, and shall continue to be, in full force and effect and are hereby ratified and confirmed in all respects, in each case as amended and modified by this Amendment. Without limiting the generality of the foregoing, the execution of this Amendment shall not constitute a novation or discharge of, any obligation of any Loan Party under the Credit Agreement or any other Loan Document, and each Loan Party agrees that the Security Instruments and any other documents or instruments executed, filed or recorded in connection therewith, shall remain outstanding and in full force and effect, and all of the Collateral described therein and Liens granted in favor of the Administrative Agent created thereunder do and shall continue to secure the Obligations and the “Obligations”, “Guarantied Obligations” or “Secured Obligations” (as those terms are defined in the Company Guaranty and the Subsidiary Guaranty) and any other obligations to the extent provided in the Security Instruments and that all such Liens continue to be perfected as security for the Obligations and the “Obligations”, “Guarantied Obligations” or “Secured Obligations” (as those terms are defined in the Company Guaranty and the Subsidiary Guaranty) and any other obligations secured thereby. </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rFonts w:ascii="Times New Roman;sans-serif" w:hAnsi="Times New Roman;sans-serif"/>
          <w:b/>
          <w:color w:val="000000"/>
          <w:sz w:val="22"/>
        </w:rPr>
        <w:t>3.3    </w:t>
      </w:r>
      <w:r>
        <w:rPr>
          <w:rFonts w:ascii="Times New Roman;sans-serif" w:hAnsi="Times New Roman;sans-serif"/>
          <w:b/>
          <w:color w:val="000000"/>
          <w:sz w:val="22"/>
          <w:u w:val="single"/>
        </w:rPr>
        <w:t>Representations and Warranties</w:t>
      </w:r>
      <w:r>
        <w:rPr>
          <w:rFonts w:ascii="Times New Roman;sans-serif" w:hAnsi="Times New Roman;sans-serif"/>
          <w:b/>
          <w:color w:val="000000"/>
          <w:sz w:val="22"/>
        </w:rPr>
        <w:t xml:space="preserve">. </w:t>
      </w:r>
    </w:p>
    <w:p>
      <w:pPr>
        <w:pStyle w:val="TextBody"/>
        <w:spacing w:lineRule="auto" w:line="240" w:before="9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This Amendment has been duly authorized, executed and delivered by each of the other Loan Parties party hereto and constitutes a legal, valid and binding obligation of each such party, except as may be limited by general principles of equity or by the effect of any applicable bankruptcy, insolvency, reorganization, moratorium or similar law affecting creditors’ rights generally.</w:t>
      </w:r>
    </w:p>
    <w:p>
      <w:pPr>
        <w:pStyle w:val="TextBody"/>
        <w:spacing w:before="92" w:after="283"/>
        <w:ind w:left="0" w:right="0" w:firstLine="1440"/>
        <w:jc w:val="both"/>
        <w:rPr/>
      </w:pPr>
      <w:r>
        <w:rPr/>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representations and warranties made by each Loan Party in Article V of the Credit Agreement and in each of the other Loan Documents to which such Loan Party is a party are true and correct in all material respects (or if qualified by materiality or Material Adverse Effect, in all respects) on and as of the Third Amendment Effective Date, except to the extent that such representations and warranties expressly relate to an earlier date in which case they are true and correct in all material respects (or if qualified by materiality or Material Adverse Effect, in all respects) as of such earlier date.</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 Default or Event of Default has occurred and is continuing as of the Third Amendment Effective Date.</w:t>
      </w:r>
    </w:p>
    <w:p>
      <w:pPr>
        <w:pStyle w:val="TextBody"/>
        <w:spacing w:lineRule="auto" w:line="240" w:before="0" w:after="0"/>
        <w:ind w:left="0" w:right="0" w:firstLine="720"/>
        <w:jc w:val="both"/>
        <w:rPr/>
      </w:pPr>
      <w:r>
        <w:rPr>
          <w:rFonts w:ascii="Times New Roman;sans-serif" w:hAnsi="Times New Roman;sans-serif"/>
          <w:b/>
          <w:color w:val="000000"/>
          <w:sz w:val="22"/>
        </w:rPr>
        <w:t>3.4    </w:t>
      </w:r>
      <w:r>
        <w:rPr>
          <w:rFonts w:ascii="Times New Roman;sans-serif" w:hAnsi="Times New Roman;sans-serif"/>
          <w:b/>
          <w:color w:val="000000"/>
          <w:sz w:val="22"/>
          <w:u w:val="single"/>
        </w:rPr>
        <w:t>Severability</w:t>
      </w:r>
      <w:r>
        <w:rPr>
          <w:rFonts w:ascii="Times New Roman;sans-serif" w:hAnsi="Times New Roman;sans-serif"/>
          <w:b w:val="false"/>
          <w:color w:val="000000"/>
          <w:sz w:val="22"/>
        </w:rPr>
        <w:t>. In case any provision in or obligation hereunder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rFonts w:ascii="Times New Roman;sans-serif" w:hAnsi="Times New Roman;sans-serif"/>
          <w:b/>
          <w:color w:val="000000"/>
          <w:sz w:val="22"/>
        </w:rPr>
        <w:t>3.5     </w:t>
      </w:r>
      <w:r>
        <w:rPr>
          <w:rFonts w:ascii="Times New Roman;sans-serif" w:hAnsi="Times New Roman;sans-serif"/>
          <w:b/>
          <w:color w:val="000000"/>
          <w:sz w:val="22"/>
          <w:u w:val="single"/>
        </w:rPr>
        <w:t>Reference to and Effect on Credit Agreement and the Loan Documents</w:t>
      </w:r>
      <w:r>
        <w:rPr>
          <w:rFonts w:ascii="Times New Roman;sans-serif" w:hAnsi="Times New Roman;sans-serif"/>
          <w:b/>
          <w:color w:val="000000"/>
          <w:sz w:val="22"/>
        </w:rPr>
        <w:t>.</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On and after the effectiveness of this Amendment,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and modified by this Amendment and as further amended, restated or modified from time to time in accordance with the terms thereof.</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Credit Agreement and each of the other Loan Documents, as specifically amended and modified by this Amendment, are and shall continue to be in full force and effect and are hereby in all respects ratified and confirmed. </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the Lenders and the Loan Parties agree that this Amendment shall be a Loan Document for all purposes of the Credit Agreement (as specifically amended by this Amendment) and the other Loan Documents.</w:t>
      </w:r>
    </w:p>
    <w:p>
      <w:pPr>
        <w:pStyle w:val="TextBody"/>
        <w:spacing w:lineRule="auto" w:line="240"/>
        <w:ind w:left="0" w:right="0" w:firstLine="720"/>
        <w:jc w:val="both"/>
        <w:rPr/>
      </w:pPr>
      <w:r>
        <w:rPr>
          <w:rFonts w:ascii="Times New Roman;sans-serif" w:hAnsi="Times New Roman;sans-serif"/>
          <w:b/>
          <w:color w:val="000000"/>
          <w:sz w:val="22"/>
        </w:rPr>
        <w:t>3.6    </w:t>
      </w:r>
      <w:r>
        <w:rPr>
          <w:rFonts w:ascii="Times New Roman;sans-serif" w:hAnsi="Times New Roman;sans-serif"/>
          <w:b/>
          <w:color w:val="000000"/>
          <w:sz w:val="22"/>
          <w:u w:val="single"/>
        </w:rPr>
        <w:t>No Waiver.</w:t>
      </w:r>
      <w:r>
        <w:rPr>
          <w:color w:val="000000"/>
        </w:rPr>
        <w:t xml:space="preserve"> </w:t>
      </w:r>
      <w:r>
        <w:rPr>
          <w:rFonts w:ascii="Times New Roman;sans-serif" w:hAnsi="Times New Roman;sans-serif"/>
          <w:b w:val="false"/>
          <w:color w:val="000000"/>
          <w:sz w:val="22"/>
        </w:rPr>
        <w:t xml:space="preserve">The execution, delivery and effectiveness of this Amendment shall not, except as expressly provided herein, constitute a waiver or novation of any right, power or remedy of any Lender, L/C Issuer, Revolving Swing Line Lender, New Vehicle Floorplan Swing Line Lender, Used Vehicle Floorplan Swing Line Lender or the Administrative Agent under any of the Loan Documents, nor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4" name="Frame3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constitute a waiver or novation of any provision of any of the Loan Documents. This Amendment is limited to the matters expressly referred to herein and shall not constitute an amendment or waiver of, or an indication of the Lender's willingness to amend or waive, any other provisions of the Credit Agreement or the same provisions for any other date or purpose.</w:t>
      </w:r>
    </w:p>
    <w:p>
      <w:pPr>
        <w:pStyle w:val="TextBody"/>
        <w:spacing w:before="0" w:after="0"/>
        <w:ind w:left="0" w:right="0" w:firstLine="720"/>
        <w:rPr/>
      </w:pPr>
      <w:r>
        <w:rPr/>
      </w:r>
    </w:p>
    <w:p>
      <w:pPr>
        <w:pStyle w:val="TextBody"/>
        <w:spacing w:lineRule="auto" w:line="240" w:before="0" w:after="0"/>
        <w:ind w:left="0" w:right="0" w:firstLine="720"/>
        <w:jc w:val="both"/>
        <w:rPr/>
      </w:pPr>
      <w:r>
        <w:rPr>
          <w:rFonts w:ascii="Times New Roman;sans-serif" w:hAnsi="Times New Roman;sans-serif"/>
          <w:b/>
          <w:color w:val="000000"/>
          <w:sz w:val="22"/>
        </w:rPr>
        <w:t>3.7    </w:t>
      </w:r>
      <w:r>
        <w:rPr>
          <w:rFonts w:ascii="Times New Roman;sans-serif" w:hAnsi="Times New Roman;sans-serif"/>
          <w:b/>
          <w:color w:val="000000"/>
          <w:sz w:val="22"/>
          <w:u w:val="single"/>
        </w:rPr>
        <w:t>Waiver, Modification, Etc</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No provision or term of this Amendment may be modified, altered, waived, discharged or terminated orally, but only by an instrument in writing executed by the party against whom such modification, alteration, waiver, discharge or termination is sought to be enforced.</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period from the date of this Amendment through the earlier of December 31, 2021 and the Commitment Increase Effective Date, no amendment or waiver of any provision of any Loan Document:</w:t>
      </w:r>
    </w:p>
    <w:p>
      <w:pPr>
        <w:pStyle w:val="TextBody"/>
        <w:spacing w:before="0" w:after="0"/>
        <w:ind w:left="0" w:right="0" w:firstLine="720"/>
        <w:jc w:val="both"/>
        <w:rPr/>
      </w:pPr>
      <w:r>
        <w:rPr/>
      </w:r>
    </w:p>
    <w:p>
      <w:pPr>
        <w:pStyle w:val="TextBody"/>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(a)that requires the written consent of each Lender pursuant to Section 10.01 of the Existing Credit Agreement shall be effective unless such amendment or waiver shall also have received the written consent of each Joining Lender;</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(b)that would extend or increase the Revolving Commitment, the New Vehicle Floorplan Commitment or the Used Vehicle Floorplan Commitment of any Joining Lender (beyond any such Commitment made pursuant to the express terms of this Amendment) shall be effective without the written consent of such Joining Lender; or</w:t>
      </w:r>
    </w:p>
    <w:p>
      <w:pPr>
        <w:pStyle w:val="TextBody"/>
        <w:spacing w:before="0" w:after="0"/>
        <w:ind w:left="0" w:right="0" w:firstLine="648"/>
        <w:jc w:val="both"/>
        <w:rPr/>
      </w:pPr>
      <w:r>
        <w:rPr/>
      </w:r>
    </w:p>
    <w:p>
      <w:pPr>
        <w:pStyle w:val="TextBody"/>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(c)that requires the written consent of each Lender directly affected thereby pursuant to Section 10.01 of the Existing Credit Agreement and that would directly affect any Joining Lender shall be effective unless such amendment or waiver shall also have received the written consent of such Joining Lender.</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2"/>
        </w:rPr>
        <w:t>3.8</w:t>
      </w:r>
      <w:r>
        <w:rPr>
          <w:color w:val="000000"/>
        </w:rPr>
        <w:t>    </w:t>
      </w:r>
      <w:r>
        <w:rPr>
          <w:rFonts w:ascii="Times New Roman;sans-serif" w:hAnsi="Times New Roman;sans-serif"/>
          <w:b/>
          <w:color w:val="000000"/>
          <w:sz w:val="22"/>
          <w:u w:val="single"/>
        </w:rPr>
        <w:t>Headings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Section headings herein are included herein for convenience of reference only and shall not constitute a part hereof for any other purpose or be given any substantive effect.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2"/>
        </w:rPr>
        <w:t>3.9</w:t>
      </w:r>
      <w:r>
        <w:rPr>
          <w:color w:val="000000"/>
        </w:rPr>
        <w:t>    </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AMENDMENT SHALL BE GOVERNED BY, AND CONSTRUED IN ACCORDANCE WITH, THE LAW OF THE STATE OF NEW YORK.</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2"/>
        </w:rPr>
        <w:t>3.10    </w:t>
      </w:r>
      <w:r>
        <w:rPr>
          <w:rFonts w:ascii="Times New Roman;sans-serif" w:hAnsi="Times New Roman;sans-serif"/>
          <w:b/>
          <w:color w:val="000000"/>
          <w:sz w:val="22"/>
          <w:u w:val="single"/>
        </w:rPr>
        <w:t>Counterparts</w:t>
      </w:r>
      <w:r>
        <w:rPr>
          <w:rFonts w:ascii="Times New Roman;sans-serif" w:hAnsi="Times New Roman;sans-serif"/>
          <w:b w:val="false"/>
          <w:color w:val="000000"/>
          <w:sz w:val="22"/>
        </w:rPr>
        <w:t>. This Amendment may be executed in any number of counterparts, each of which when so executed and delivered shall he deemed an original, but all such counterparts together shall constitute but one and the same instrument. Signature pages may be detached from multiple separate counterparts and attached to a single counterpart so that all signature pages are attached to the same document. Delivery of an executed signature page of this Amendment by facsimile transmission or electronic mail shall be as effective as delivery of a manually executed counterpart hereof.</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color w:val="000000"/>
          <w:sz w:val="22"/>
        </w:rPr>
        <w:t>3.11    </w:t>
      </w:r>
      <w:r>
        <w:rPr>
          <w:rFonts w:ascii="Times New Roman;sans-serif" w:hAnsi="Times New Roman;sans-serif"/>
          <w:b/>
          <w:color w:val="000000"/>
          <w:sz w:val="22"/>
          <w:u w:val="single"/>
        </w:rPr>
        <w:t>Lender Joinder</w:t>
      </w:r>
      <w:r>
        <w:rPr>
          <w:rFonts w:ascii="Times New Roman;sans-serif" w:hAnsi="Times New Roman;sans-serif"/>
          <w:b/>
          <w:color w:val="000000"/>
          <w:sz w:val="22"/>
        </w:rPr>
        <w:t xml:space="preserve">. </w:t>
      </w:r>
      <w:r>
        <w:rPr>
          <w:rFonts w:ascii="Times New Roman;sans-serif" w:hAnsi="Times New Roman;sans-serif"/>
          <w:b w:val="false"/>
          <w:color w:val="000000"/>
          <w:sz w:val="22"/>
        </w:rPr>
        <w:t>As of the Commitment Increase Effective Date, each of Comerica Bank, Zions Bancorporation, N.A. and KeyBank National Association (each a “</w:t>
      </w:r>
      <w:r>
        <w:rPr>
          <w:rFonts w:ascii="Times New Roman;sans-serif" w:hAnsi="Times New Roman;sans-serif"/>
          <w:b w:val="false"/>
          <w:color w:val="000000"/>
          <w:sz w:val="22"/>
          <w:u w:val="single"/>
        </w:rPr>
        <w:t>Joining Lender</w:t>
      </w:r>
      <w:r>
        <w:rPr>
          <w:color w:val="000000"/>
        </w:rPr>
        <w:t>”</w:t>
      </w:r>
      <w:r>
        <w:rPr>
          <w:rFonts w:ascii="Times New Roman;sans-serif" w:hAnsi="Times New Roman;sans-serif"/>
          <w:b w:val="false"/>
          <w:color w:val="000000"/>
          <w:sz w:val="22"/>
        </w:rPr>
        <w:t xml:space="preserve">) acknowledges, agrees and confirms, by its execution of this Amendment, (a) it will be deemed to be a party to the Credit Agreement and a “Lender” for all purposes of the Credit Agreement and the other Loan Documents, and shall have all of the obligations of a Lender under the Credit Agreement as if it had executed the Credit Agreement; (b) to be bound by, all of the terms, provisions and conditions contained in the Credit Agreement; (c) its Commitment and Applicable Percentage shall be as set forth on Schedule 2.01 attached as </w:t>
      </w:r>
      <w:r>
        <w:rPr>
          <w:rFonts w:ascii="Times New Roman;sans-serif" w:hAnsi="Times New Roman;sans-serif"/>
          <w:b w:val="false"/>
          <w:color w:val="000000"/>
          <w:sz w:val="22"/>
          <w:u w:val="single"/>
        </w:rPr>
        <w:t>Annex C</w:t>
      </w:r>
      <w:r>
        <w:rPr>
          <w:color w:val="000000"/>
        </w:rPr>
        <w:t xml:space="preserve"> </w:t>
      </w:r>
      <w:r>
        <w:rPr>
          <w:rFonts w:ascii="Times New Roman;sans-serif" w:hAnsi="Times New Roman;sans-serif"/>
          <w:b w:val="false"/>
          <w:color w:val="000000"/>
          <w:sz w:val="22"/>
        </w:rPr>
        <w:t xml:space="preserve">hereto; (d) it has received a copy of the Credit Agreement, copies of the most recent financial statements delivered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thereof and such other documents and information as it deems appropriate, independently and without reliance upon the Administrative Agent, any other Lender or any of their Related Parties, to make its own credit analysis and decision to enter into this Lender Joinder Agreement and to become a Lender under the Credit Agreement; (e) it will, independently and without reliance upon the Administrative Agent, any other Lender or any of their Related Parties and based on such documents and information as it shall from time to time deem appropriate, continue to make its own decisions in taking or not taking action under or based upon the Credit Agreement, any other Loan Document or any related agreement or any document furnished hereunder or thereunder; (f) it is an Eligible Assignee; (g) it has full power and authority, and has taken all action necessary, to execute and deliver this Amendment and to consummate the transactions </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5" name="Frame3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contemplated hereby and to become a Lender under the Credit Agreement; and (h) it has provided the Administrative Agent with its administrative details, together with any documentation required to be delivered pursuant to the terms of the Credit Agreement if such Joining Lender is a Foreign Lender.</w:t>
      </w:r>
    </w:p>
    <w:p>
      <w:pPr>
        <w:pStyle w:val="TextBody"/>
        <w:spacing w:before="0" w:after="0"/>
        <w:ind w:left="0" w:right="0" w:firstLine="720"/>
        <w:jc w:val="both"/>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Pages Follow)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6" name="Frame3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caused this Amendment to be duly executed as of the date first above written.</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AUTOMOTIVE GROUP, INC.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p>
    <w:p>
      <w:pPr>
        <w:pStyle w:val="TextBody"/>
        <w:spacing w:lineRule="auto" w:line="240" w:before="0" w:after="0"/>
        <w:ind w:left="0" w:right="0" w:hanging="1530"/>
        <w:rPr>
          <w:rFonts w:ascii="Times New Roman;sans-serif" w:hAnsi="Times New Roman;sans-serif"/>
          <w:b w:val="false"/>
          <w:color w:val="000000"/>
          <w:sz w:val="22"/>
        </w:rPr>
      </w:pPr>
      <w:r>
        <w:rPr>
          <w:rFonts w:ascii="Times New Roman;sans-serif" w:hAnsi="Times New Roman;sans-serif"/>
          <w:b w:val="false"/>
          <w:color w:val="000000"/>
          <w:sz w:val="22"/>
        </w:rPr>
        <w:t xml:space="preserve">Typed Name:    Karen Reid </w:t>
      </w:r>
    </w:p>
    <w:p>
      <w:pPr>
        <w:pStyle w:val="TextBody"/>
        <w:spacing w:lineRule="auto" w:line="240" w:before="0" w:after="0"/>
        <w:ind w:left="0" w:right="0" w:hanging="153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16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NEW VEHICLE BORROWERS:</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AR NISS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ARLINGTON MB,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AC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AU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BM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CHEV,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HUND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INF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INFINITI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K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NIS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NIS II,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TOY 2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VB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AUTOMOTIVE BRANDON, L.P.</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AUTOMOTIVE ST. LOUIS,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AUTOMOTIVE WEST,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CH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MB,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POR,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VOL,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DELAND HUND,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DFW JLR,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FORT WORTH MB,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GEORGIA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CBG,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CDJ,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ASBURY IN CHEV,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FORD,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240"/>
        <w:ind w:left="0" w:right="0" w:firstLine="720"/>
        <w:rPr/>
      </w:pPr>
      <w:r>
        <w:rPr/>
      </w:r>
    </w:p>
    <w:p>
      <w:pPr>
        <w:pStyle w:val="TextBody"/>
        <w:spacing w:lineRule="auto" w:line="240" w:before="0" w:after="240"/>
        <w:ind w:left="0" w:right="0" w:firstLine="720"/>
        <w:rPr/>
      </w:pPr>
      <w:r>
        <w:rPr>
          <w:rFonts w:ascii="Times New Roman;sans-serif" w:hAnsi="Times New Roman;sans-serif"/>
          <w:b/>
          <w:color w:val="000000"/>
          <w:sz w:val="22"/>
          <w:u w:val="single"/>
        </w:rPr>
        <w:t xml:space="preserve">NEW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spacing w:lineRule="auto" w:line="240"/>
        <w:rPr>
          <w:rFonts w:ascii="Times New Roman;sans-serif" w:hAnsi="Times New Roman;sans-serif"/>
          <w:b/>
          <w:color w:val="000000"/>
          <w:sz w:val="22"/>
        </w:rPr>
      </w:pPr>
      <w:r>
        <w:rPr>
          <w:rFonts w:ascii="Times New Roman;sans-serif" w:hAnsi="Times New Roman;sans-serif"/>
          <w:b/>
          <w:color w:val="000000"/>
          <w:sz w:val="22"/>
        </w:rPr>
        <w:t>ASBURY IN HON, LLC</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7" name="Frame3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INDY CHEV,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JAX AC,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JAX 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MS CHEV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PLANO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SC JPV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SC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SC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ST. LOUIS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ST. LOUIS LR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ST. LOUIS 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ASBURY-DELAND IMPORTS,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TX AUCTION,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AVENUES MOTORS, LTD.</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BFP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CFP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CH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CHO PARTNERSHIP, LTD.</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CN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COGGIN CARS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COGGIN CHEVROLET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CHH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FDO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GAC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GBM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GDO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GHO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GNI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GVO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MOTORCAR COMPANY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PBM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RIA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RIB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SNI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CSA IMPORTS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ESCUDE-NN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ESCUDE-NS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ESCUDE-T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HFP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KP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AUSTIN-ACRA,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2"/>
        <w:ind w:left="0" w:right="0" w:firstLine="7"/>
        <w:rPr/>
      </w:pPr>
      <w:r>
        <w:rPr/>
      </w:r>
    </w:p>
    <w:p>
      <w:pPr>
        <w:pStyle w:val="TextBody"/>
        <w:spacing w:before="0" w:after="2"/>
        <w:ind w:left="0" w:right="0" w:firstLine="7"/>
        <w:rPr/>
      </w:pPr>
      <w:r>
        <w:rPr/>
      </w:r>
    </w:p>
    <w:p>
      <w:pPr>
        <w:pStyle w:val="TextBody"/>
        <w:spacing w:before="0" w:after="2"/>
        <w:ind w:left="0" w:right="0" w:firstLine="7"/>
        <w:rPr/>
      </w:pPr>
      <w:r>
        <w:rPr/>
      </w:r>
    </w:p>
    <w:p>
      <w:pPr>
        <w:pStyle w:val="TextBody"/>
        <w:spacing w:before="0" w:after="2"/>
        <w:ind w:left="0" w:right="0" w:firstLine="7"/>
        <w:rPr/>
      </w:pPr>
      <w:r>
        <w:rPr/>
      </w:r>
    </w:p>
    <w:p>
      <w:pPr>
        <w:pStyle w:val="TextBody"/>
        <w:spacing w:before="0" w:after="2"/>
        <w:ind w:left="0" w:right="0" w:firstLine="7"/>
        <w:rPr/>
      </w:pPr>
      <w:r>
        <w:rPr/>
      </w:r>
    </w:p>
    <w:p>
      <w:pPr>
        <w:pStyle w:val="TextBody"/>
        <w:spacing w:lineRule="auto" w:line="240" w:before="0" w:after="240"/>
        <w:rPr/>
      </w:pPr>
      <w:r>
        <w:rPr>
          <w:rFonts w:ascii="Times New Roman;sans-serif" w:hAnsi="Times New Roman;sans-serif"/>
          <w:b/>
          <w:color w:val="000000"/>
          <w:sz w:val="22"/>
          <w:u w:val="single"/>
        </w:rPr>
        <w:t xml:space="preserve">NEW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spacing w:lineRule="auto" w:line="240"/>
        <w:rPr>
          <w:rFonts w:ascii="Times New Roman;sans-serif" w:hAnsi="Times New Roman;sans-serif"/>
          <w:b/>
          <w:color w:val="000000"/>
          <w:sz w:val="22"/>
        </w:rPr>
      </w:pPr>
      <w:r>
        <w:rPr>
          <w:rFonts w:ascii="Times New Roman;sans-serif" w:hAnsi="Times New Roman;sans-serif"/>
          <w:b/>
          <w:color w:val="000000"/>
          <w:sz w:val="22"/>
        </w:rPr>
        <w:t>MCDAVID FRISCO-HON, L.L.C.</w:t>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8" name="Frame3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HOUSTON-NISS,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IRVING-HON,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PLANO-ACRA,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NP MZD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NP VKW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PRECISION INFINITI, INC.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PRECISION MOTORCARS, INC.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PRECISION NISSAN, INC.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PREMIER NSN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PREMIER PON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PRESTIGE BAY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PRESTIGE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Q AUTOMOTIVE BRANDON FL,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Q AUTOMOTIVE CUMMING GA,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FT. MYERS FL,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Q AUTOMOTIVE HOLIDAY FL,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JACKSONVILLE FL,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KENNESAW GA,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Q AUTOMOTIVE ORLANDO FL,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TAMPA FL,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TAMPA HUND, L.P.</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TAMPA KIA, L.P.</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WTY MOTORS, L.P.</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160"/>
        <w:ind w:left="0" w:right="0" w:firstLine="720"/>
        <w:rPr/>
      </w:pPr>
      <w:r>
        <w:rPr/>
      </w:r>
    </w:p>
    <w:p>
      <w:pPr>
        <w:pStyle w:val="TextBody"/>
        <w:spacing w:before="0" w:after="160"/>
        <w:ind w:left="0" w:right="0" w:firstLine="72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CO SUB,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CDJR,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GREELEY SUB,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GEN,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HG,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NOBLESVILLE CDJR,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spacing w:before="0" w:after="160"/>
        <w:rPr/>
      </w:pPr>
      <w:r>
        <w:rPr/>
      </w:r>
    </w:p>
    <w:p>
      <w:pPr>
        <w:pStyle w:val="TextBody"/>
        <w:spacing w:before="0" w:after="12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9" name="Frame3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2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USED VEHICLE BORROWERS:</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AUTOMOTIVE GROUP, INC.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0"/>
        <w:rPr/>
      </w:pPr>
      <w:r>
        <w:rPr/>
      </w:r>
    </w:p>
    <w:p>
      <w:pPr>
        <w:pStyle w:val="TextBody"/>
        <w:spacing w:lineRule="auto" w:line="240" w:before="120" w:after="283"/>
        <w:rPr>
          <w:rFonts w:ascii="Times New Roman;sans-serif" w:hAnsi="Times New Roman;sans-serif"/>
          <w:b/>
          <w:color w:val="000000"/>
          <w:sz w:val="22"/>
        </w:rPr>
      </w:pPr>
      <w:r>
        <w:rPr>
          <w:rFonts w:ascii="Times New Roman;sans-serif" w:hAnsi="Times New Roman;sans-serif"/>
          <w:b/>
          <w:color w:val="000000"/>
          <w:sz w:val="22"/>
        </w:rPr>
        <w:t>AF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AR NISS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ARLINGTON MB,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AC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AU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BM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CHEV,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FORD,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HUND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INF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INFINITI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K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NIS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NIS II,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TOY 2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ATLANTA VB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AUTOMOTIVE BRANDON, L.P.</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AUTOMOTIVE ST. LOUIS,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AUTOMOTIVE WEST,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CH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MB,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POR,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VOL,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DELAND HUND,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DFW JLR,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FORT WORTH MB,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FT. WORTH FORD,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GEORGIA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CBG,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CDJ,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ind w:left="0" w:right="0" w:hanging="144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50" name="Frame3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u w:val="single"/>
        </w:rPr>
        <w:t xml:space="preserve">USED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ASBURY IN CHEV,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FORD,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INDY CHEV,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JAX AC,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JAX FORD,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JAX 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MS CHEV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MS GRAY-DANIELS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PLANO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SC JPV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SC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SC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ST. LOUIS LEX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ST. LOUIS LR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ST. LOUIS 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ASBURY-DELAND IMPORTS,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TX AUCTION,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AVENUES MOTORS, LTD.</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BFP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CFP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CH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CHO PARTNERSHIP, LTD.</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CN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COGGIN CARS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COGGIN CHEVROLET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CHH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FDO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FFO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GAC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GBM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GDO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GHO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GNI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GVO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MOTORCAR COMPANY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PBM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RIA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RIB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51" name="Frame3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u w:val="single"/>
        </w:rPr>
        <w:t xml:space="preserve">USED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CROWN SNI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CSA IMPORTS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ESCUDE-NN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ESCUDE-NS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ESCUDE-T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HFP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KP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AUSTIN-ACRA,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FRISCO-HON,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HOUSTON-NISS,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IRVING-HON,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MCDAVID PLANO-ACRA,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NP FLM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NP MZD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NP VKW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PLANO LINCOLN-MERCURY, INC.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PRECISION INFINITI, INC.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PRECISION MOTORCARS, INC.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PRECISION NISSAN, INC.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PREMIER NSN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PREMIER PON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PRESTIGE BAY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PRESTIGE TOY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Q AUTOMOTIVE BRANDON FL,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CUMMING GA,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FT. MYERS FL,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Q AUTOMOTIVE HOLIDAY FL,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JACKSONVILLE FL,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KENNESAW GA,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Q AUTOMOTIVE ORLANDO FL, LLC </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Q AUTOMOTIVE TAMPA FL,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TAMPA HUND, L.P.</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TAMPA KIA, L.P.</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WTY MOTORS, L.P.</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2" name="Frame3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u w:val="single"/>
        </w:rPr>
        <w:t xml:space="preserve">USED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CO SUB,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CO CDJR,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GREELEY SUB,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GEN,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HG,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NOBLESVILLE CDJR,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/David W. Hult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spacing w:before="0" w:after="0"/>
        <w:ind w:left="0" w:right="0" w:firstLine="720"/>
        <w:rPr/>
      </w:pPr>
      <w:r>
        <w:rPr/>
      </w:r>
    </w:p>
    <w:p>
      <w:pPr>
        <w:pStyle w:val="TextBody"/>
        <w:spacing w:before="0" w:after="120"/>
        <w:ind w:left="0" w:right="0" w:firstLine="72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3" name="Frame3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20"/>
        <w:rPr/>
      </w:pPr>
      <w:r>
        <w:rPr/>
      </w:r>
    </w:p>
    <w:p>
      <w:pPr>
        <w:pStyle w:val="TextBody"/>
        <w:spacing w:lineRule="auto" w:line="240" w:before="0" w:after="240"/>
        <w:ind w:left="0" w:right="0" w:firstLine="720"/>
        <w:rPr>
          <w:rFonts w:ascii="Times New Roman;sans-serif" w:hAnsi="Times New Roman;sans-serif"/>
          <w:b/>
          <w:color w:val="000000"/>
          <w:sz w:val="22"/>
          <w:u w:val="single"/>
        </w:rPr>
      </w:pPr>
      <w:r>
        <w:rPr>
          <w:rFonts w:ascii="Times New Roman;sans-serif" w:hAnsi="Times New Roman;sans-serif"/>
          <w:b/>
          <w:color w:val="000000"/>
          <w:sz w:val="22"/>
          <w:u w:val="single"/>
        </w:rPr>
        <w:t>GUARANTORS:</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AUTOMOTIVE GROUP, INC.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0"/>
        <w:rPr/>
      </w:pPr>
      <w:r>
        <w:rPr/>
      </w:r>
    </w:p>
    <w:p>
      <w:pPr>
        <w:pStyle w:val="TextBody"/>
        <w:spacing w:before="0" w:after="12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SUBISIDIARY GUARANTORS:</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AF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ANL,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ARKANSAS AUTOMOTIVE SERVICES,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AR NISS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ARLINGTON MB,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AC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AU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BM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CHEV,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CHEVROLET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FORD,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HON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HUND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INF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INFINITI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JAGUAR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K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LEX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NIS II,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NIS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TOY 2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TOY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VB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ATLANTA VL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ARKANSAS DEALERSHIP HOLDINGS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ARKANSAS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ATLANTA II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ATLANTA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BRANDON,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CENTRAL FLORIDA,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4" name="Frame3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SUBISIDIARY GUARANTORS, continued:</w:t>
      </w:r>
    </w:p>
    <w:p>
      <w:pPr>
        <w:pStyle w:val="TextBody"/>
        <w:spacing w:before="0" w:after="0"/>
        <w:rPr/>
      </w:pPr>
      <w:r>
        <w:rPr/>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DELAND,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FRESNO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GROUP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JACKSONVILLE GP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JACKSONVILLE,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MANAGEMENT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MISSISSIPPI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 xml:space="preserve">ASBURY AUTOMOTIVE NORTH CAROLINA DEALERSHIP HOLDINGS L.L.C. </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NORTH CAROLINA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NORTH CAROLINA MANAGEMENT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NORTH CAROLINA REAL ESTATE HOLDINGS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OREGON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SOUTHERN CALIFORNIA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ST. LOUIS II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ST. LOUIS,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TAMPA GP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TAMPA,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TEXAS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TEXAS REAL ESTATE HOLDINGS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AUTOMOTIVE WEST,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CH MOTORS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MB,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POR,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DALLAS VOL, LLC</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DFW JLR,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DELAND HUND,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DELAND IMPORTS 2,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FORT WORTH MB,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FRESNO IMPORTS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FT. WORTH FORD,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GEORGIA TOY,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IN CBG,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IN CDJ,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IN CHEV,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IN FORD,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ind w:left="0" w:right="0" w:firstLine="72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5" name="Frame3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SUBISIDIARY GUARANTORS, continued:</w:t>
      </w:r>
    </w:p>
    <w:p>
      <w:pPr>
        <w:pStyle w:val="TextBody"/>
        <w:spacing w:before="0" w:after="0"/>
        <w:ind w:left="0" w:right="0" w:hanging="270"/>
        <w:rPr/>
      </w:pPr>
      <w:r>
        <w:rPr/>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IN HON,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IN TOY,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INDY CHEV,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JAX AC,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JAX FORD,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JAX HOLDINGS,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JAX HON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JAX K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JAX MANAGEMENT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JAX VW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MS CHEV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MS GRAY-DANIELS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NO CAL NISS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PLANO LEX,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SACRAMENTO IMPORTS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SC JPV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SC LEX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SC TOY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SO CAL DC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SO CAL HON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SO CAL NISS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SOUTH CAROLINA REAL ESTATE HOLDINGS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ST. LOUIS CADILLAC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ST. LOUIS FSKR,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ST. LOUIS LEX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ST. LOUIS LR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ST. LOUIS M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TAMPA MANAGEMENT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TEXAS D FSKR,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TEXAS H FSKR,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 TX AUCTION,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ASBURY-DELAND IMPORTS,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ATLANTA REAL ESTATE HOLDINGS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AVENUES MOTORS, LTD.</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BAYWAY FINANCIAL SERVICES,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BFP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 &amp; O PROPERTIES, LTD.</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CAMCO FINANCE II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CFP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CH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CHO PARTNERSHIP, LTD.</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6" name="Frame3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SUBISIDIARY GUARANTORS, continued:</w:t>
      </w:r>
    </w:p>
    <w:p>
      <w:pPr>
        <w:pStyle w:val="TextBody"/>
        <w:spacing w:before="0" w:after="0"/>
        <w:ind w:left="0" w:right="0" w:hanging="270"/>
        <w:rPr/>
      </w:pPr>
      <w:r>
        <w:rPr/>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CK CHEVROLET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CK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CN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COGGIN AUTOMOTIVE CORP.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COGGIN CARS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COGGIN CHEVROLET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COGGIN MANAGEMENT,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CP-GMC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ACURA/NISSAN,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CHH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CHO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CHV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FDO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FFO HOLDINGS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FFO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GAC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GBM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GCA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GDO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GHO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GNI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GPG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GVO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HONDA,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MOTORCAR COMPANY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PBM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RIA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RIB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SJC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CROWN SNI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CSA IMPORTS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ESCUDE-NN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ESCUDE-NS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ESCUDE-T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FLORIDA AUTOMOTIVE SERVICES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HFP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JC DEALER SYSTEMS,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KP MOTORS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AUSTIN-ACRA,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FRISCO-HON,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GRANDE,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HOUSTON-HON,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2"/>
        <w:ind w:left="0" w:right="0" w:firstLine="7"/>
        <w:rPr/>
      </w:pPr>
      <w:r>
        <w:rPr/>
      </w:r>
    </w:p>
    <w:p>
      <w:pPr>
        <w:pStyle w:val="TextBody"/>
        <w:spacing w:before="0" w:after="2"/>
        <w:ind w:left="0" w:right="0" w:firstLine="7"/>
        <w:rPr/>
      </w:pPr>
      <w:r>
        <w:rPr/>
      </w:r>
    </w:p>
    <w:p>
      <w:pPr>
        <w:pStyle w:val="TextBody"/>
        <w:spacing w:before="0" w:after="2"/>
        <w:ind w:left="0" w:right="0" w:firstLine="7"/>
        <w:rPr/>
      </w:pPr>
      <w:r>
        <w:rPr/>
      </w:r>
    </w:p>
    <w:p>
      <w:pPr>
        <w:pStyle w:val="TextBody"/>
        <w:spacing w:before="0" w:after="2"/>
        <w:ind w:left="0" w:right="0" w:firstLine="7"/>
        <w:rPr/>
      </w:pPr>
      <w:r>
        <w:rPr/>
      </w:r>
    </w:p>
    <w:p>
      <w:pPr>
        <w:pStyle w:val="TextBody"/>
        <w:spacing w:before="0" w:after="2"/>
        <w:ind w:left="0" w:right="0" w:firstLine="7"/>
        <w:rPr/>
      </w:pPr>
      <w:r>
        <w:rPr/>
      </w:r>
    </w:p>
    <w:p>
      <w:pPr>
        <w:pStyle w:val="TextBody"/>
        <w:ind w:left="0" w:right="0" w:hanging="27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7" name="Frame3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SUBISIDIARY GUARANTORS, continued:</w:t>
      </w:r>
    </w:p>
    <w:p>
      <w:pPr>
        <w:pStyle w:val="TextBody"/>
        <w:spacing w:before="0" w:after="0"/>
        <w:ind w:left="0" w:right="0" w:hanging="270"/>
        <w:rPr/>
      </w:pPr>
      <w:r>
        <w:rPr/>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HOUSTON-NISS,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IRVING-HON,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OUTFITTERS,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MCDAVID PLANO-ACRA,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MID-ATLANTIC AUTOMOTIVE SERVICES,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MISSISSIPPI AUTOMOTIVE SERVICES,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MISSOURI AUTOMOTIVE SERVICES,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NP FLM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NP MZD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NP VKW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PLANO LINCOLN-MERCURY, INC.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PRECISION COMPUTER SERVICES, INC.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PRECISION ENTERPRISES TAMPA, INC.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PRECISION INFINITI, INC.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PRECISION MOTORCARS, INC.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PRECISION NISSAN, INC.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PREMIER NSN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PREMIER PON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PRESTIGE BAY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PRESTIGE TOY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BRANDON FL,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CUMMING GA,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FT. MYERS FL,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GROUP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HOLIDAY FL,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JACKSONVILLE FL,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KENNESAW GA,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ORLANDO FL,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Q AUTOMOTIVE TAMPA FL,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SOUTHERN ATLANTIC AUTOMOTIVE SERVICES,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TAMPA HUND,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TAMPA KIA,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TAMPA LM,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TAMPA MIT,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TEXAS AUTOMOTIVE SERVICES,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THOMASON AUTO CREDIT NORTHWEST, INC.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THOMASON DAM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THOMASON FRD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THOMASON HUND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0"/>
        <w:rPr/>
      </w:pPr>
      <w:r>
        <w:rPr/>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8" name="Frame3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SUBISIDIARY GUARANTORS, continued:</w:t>
      </w:r>
    </w:p>
    <w:p>
      <w:pPr>
        <w:pStyle w:val="TextBody"/>
        <w:spacing w:before="0" w:after="0"/>
        <w:ind w:left="0" w:right="0" w:hanging="270"/>
        <w:rPr/>
      </w:pPr>
      <w:r>
        <w:rPr/>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THOMASON PONTIAC-GMC L.L.C.</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WMZ MOTORS, L.P.</w:t>
      </w:r>
    </w:p>
    <w:p>
      <w:pPr>
        <w:pStyle w:val="TextBody"/>
        <w:spacing w:lineRule="auto" w:line="240" w:before="0" w:after="0"/>
        <w:ind w:left="0" w:right="0" w:hanging="270"/>
        <w:rPr>
          <w:rFonts w:ascii="Times New Roman;sans-serif" w:hAnsi="Times New Roman;sans-serif"/>
          <w:b/>
          <w:color w:val="000000"/>
          <w:sz w:val="22"/>
        </w:rPr>
      </w:pPr>
      <w:r>
        <w:rPr>
          <w:rFonts w:ascii="Times New Roman;sans-serif" w:hAnsi="Times New Roman;sans-serif"/>
          <w:b/>
          <w:color w:val="000000"/>
          <w:sz w:val="22"/>
        </w:rPr>
        <w:t>WTY MOTORS, L.P.</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Karen Reid                    </w:t>
      </w:r>
    </w:p>
    <w:p>
      <w:pPr>
        <w:pStyle w:val="TextBody"/>
        <w:spacing w:lineRule="auto" w:line="240"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Typed Name:    Karen Reid</w:t>
      </w:r>
    </w:p>
    <w:p>
      <w:pPr>
        <w:pStyle w:val="TextBody"/>
        <w:spacing w:lineRule="auto" w:line="240" w:before="0" w:after="0"/>
        <w:ind w:left="0" w:right="0" w:hanging="1440"/>
        <w:rPr/>
      </w:pPr>
      <w:r>
        <w:rPr>
          <w:rFonts w:ascii="Times New Roman;sans-serif" w:hAnsi="Times New Roman;sans-serif"/>
          <w:b w:val="false"/>
          <w:color w:val="000000"/>
          <w:sz w:val="22"/>
        </w:rPr>
        <w:t>Typed Title:    </w:t>
      </w:r>
      <w:r>
        <w:rPr>
          <w:rFonts w:ascii="Times New Roman;sans-serif" w:hAnsi="Times New Roman;sans-serif"/>
          <w:b w:val="false"/>
          <w:color w:val="000000"/>
          <w:sz w:val="22"/>
          <w:highlight w:val="white"/>
        </w:rPr>
        <w:t>Vice President - Corporate Financial Planning &amp; Analysis and Treasurer</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ASBURY CO SUB,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CDJR,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GREELEY SUB,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RISK SERVICES,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GEN,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CO HG, LLC</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ASBURY NOBLESVILLE CDJR, LLC</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jc w:val="both"/>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9" name="Frame3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2"/>
        </w:rPr>
        <w:t>BANK OF AMERICA, N.A.</w:t>
      </w:r>
      <w:r>
        <w:rPr>
          <w:rFonts w:ascii="Times New Roman;sans-serif" w:hAnsi="Times New Roman;sans-serif"/>
          <w:b w:val="false"/>
          <w:color w:val="000000"/>
          <w:sz w:val="22"/>
        </w:rPr>
        <w:t>,</w:t>
      </w:r>
      <w:r>
        <w:rPr>
          <w:color w:val="000000"/>
        </w:rPr>
        <w:t xml:space="preserve">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extBody"/>
        <w:spacing w:lineRule="auto" w:line="240" w:before="12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Linda Lov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Linda Lov</w:t>
      </w:r>
    </w:p>
    <w:p>
      <w:pPr>
        <w:pStyle w:val="TextBody"/>
        <w:spacing w:lineRule="auto" w:line="240" w:before="0" w:after="600"/>
        <w:rPr>
          <w:rFonts w:ascii="Times New Roman;sans-serif" w:hAnsi="Times New Roman;sans-serif"/>
          <w:b w:val="false"/>
          <w:color w:val="000000"/>
          <w:sz w:val="22"/>
        </w:rPr>
      </w:pPr>
      <w:r>
        <w:rPr>
          <w:rFonts w:ascii="Times New Roman;sans-serif" w:hAnsi="Times New Roman;sans-serif"/>
          <w:b w:val="false"/>
          <w:color w:val="000000"/>
          <w:sz w:val="22"/>
        </w:rPr>
        <w:t>Typed Title:    Assistant Vice President</w:t>
      </w:r>
    </w:p>
    <w:p>
      <w:pPr>
        <w:pStyle w:val="TextBody"/>
        <w:spacing w:lineRule="auto" w:line="240" w:before="0" w:after="0"/>
        <w:rPr/>
      </w:pPr>
      <w:r>
        <w:rPr>
          <w:rFonts w:ascii="Times New Roman;sans-serif" w:hAnsi="Times New Roman;sans-serif"/>
          <w:b/>
          <w:color w:val="000000"/>
          <w:sz w:val="22"/>
        </w:rPr>
        <w:t>BANK OF AMERICA, N.A.</w:t>
      </w:r>
      <w:r>
        <w:rPr>
          <w:rFonts w:ascii="Times New Roman;sans-serif" w:hAnsi="Times New Roman;sans-serif"/>
          <w:b w:val="false"/>
          <w:color w:val="000000"/>
          <w:sz w:val="22"/>
        </w:rPr>
        <w:t>,</w:t>
      </w:r>
      <w:r>
        <w:rPr>
          <w:color w:val="000000"/>
        </w:rPr>
        <w:t xml:space="preserv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 an L/C Issuer, Revolving Swing Line Lender, New Vehicle Swing Line Lender and Used Vehicle Swing Line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T. Smith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T. Smith</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Senior Vice President</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60" name="Frame3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JPMORGAN CHASE BANK, N.A.</w:t>
      </w:r>
      <w:r>
        <w:rPr>
          <w:rFonts w:ascii="Times New Roman;sans-serif" w:hAnsi="Times New Roman;sans-serif"/>
          <w:b w:val="false"/>
          <w:color w:val="000000"/>
          <w:sz w:val="22"/>
        </w:rPr>
        <w:t xml:space="preserv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Adam Sigman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Adam Sigman</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Executive Director</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61" name="Frame3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WELLS FARGO BANK, NATIONAL ASSOCIATION</w:t>
      </w:r>
      <w:r>
        <w:rPr>
          <w:rFonts w:ascii="Times New Roman;sans-serif" w:hAnsi="Times New Roman;sans-serif"/>
          <w:b w:val="false"/>
          <w:color w:val="000000"/>
          <w:sz w:val="22"/>
        </w:rPr>
        <w:t>, 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Chad McNeill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Chad McNeill</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Typed Title:    Senior Vice President</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2" name="Frame3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TOYOTA MOTOR CREDIT CORPORATION</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Dominic Calcaterra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Dominic Calcaterra</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National Accounts Manager</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3" name="Frame3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AMERICAN HONDA FINANCE CORPORATION</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Matthew Weitzer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Matthew Weitzer</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DFS Manager</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4" name="Frame3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MERCEDES-BENZ FINANCIAL SERVICES USA LLC</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Richard A. Beagle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Richard A. Beagle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Regional Dealer Credit Manager</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5" name="Frame3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TRUIST BANK</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Alysa Trakas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Alysa Trakas</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Director</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6" name="Frame3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U.S. BANK NATIONAL ASSOCIATION</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Katherine Taylor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Katherine Taylor</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Vice President</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7" name="Frame3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BMW FINANCIAL SERVICES NA, LLC</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Alex Calcasola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Alex Calcasola</w:t>
      </w:r>
    </w:p>
    <w:p>
      <w:pPr>
        <w:pStyle w:val="TextBody"/>
        <w:spacing w:lineRule="auto" w:line="240"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Credit Manager</w:t>
      </w:r>
    </w:p>
    <w:p>
      <w:pPr>
        <w:pStyle w:val="TextBody"/>
        <w:spacing w:lineRule="auto" w:line="240" w:before="12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Thomas Rumfola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Thomas Rumfola</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General Manager, Commercial Finance                 Credit</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8" name="Frame3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MASS MUTUAL ASSET FINANCE LLC</w:t>
      </w:r>
      <w:r>
        <w:rPr>
          <w:rFonts w:ascii="Times New Roman;sans-serif" w:hAnsi="Times New Roman;sans-serif"/>
          <w:b w:val="false"/>
          <w:color w:val="000000"/>
          <w:sz w:val="22"/>
        </w:rPr>
        <w:t xml:space="preserv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Donald Buttler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Donald Buttler</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Senior Vice President    </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9" name="Frame3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NISSAN MOTOR ACCEPTANCE COMPANY LLC, formerly known as NISSAN MOTOR ACCEPTANCE CORPORATION</w:t>
      </w:r>
      <w:r>
        <w:rPr>
          <w:rFonts w:ascii="Times New Roman;sans-serif" w:hAnsi="Times New Roman;sans-serif"/>
          <w:b w:val="false"/>
          <w:color w:val="000000"/>
          <w:sz w:val="22"/>
        </w:rPr>
        <w:t>, 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Davette Jackson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Davette Jackson</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Manager, Commercial Credit</w:t>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70" name="Frame3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SANTANDER BANK, N.A.</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Scott Bernstein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Scott Bernstein</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Senior Vice President</w:t>
      </w:r>
    </w:p>
    <w:p>
      <w:pPr>
        <w:pStyle w:val="TextBody"/>
        <w:spacing w:before="0" w:after="160"/>
        <w:rPr/>
      </w:pPr>
      <w:r>
        <w:rPr/>
      </w:r>
    </w:p>
    <w:p>
      <w:pPr>
        <w:pStyle w:val="TextBody"/>
        <w:spacing w:before="0" w:after="160"/>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71" name="Frame3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COMERICA BANK</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Steven J. Engel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Steven J. Engel</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Vice President</w:t>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72" name="Frame3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ZIONS BANCORPORATION, N.A.</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Robert Kastelic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Robert Kastelic</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Senior Vice President</w:t>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73" name="Frame3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pPr>
      <w:r>
        <w:rPr>
          <w:rFonts w:ascii="Times New Roman;sans-serif" w:hAnsi="Times New Roman;sans-serif"/>
          <w:b/>
          <w:color w:val="000000"/>
          <w:sz w:val="22"/>
        </w:rPr>
        <w:t>KEYBANK NATIONAL ASSOCIATION</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Kevin Ringenberg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Kevin Ringenberg</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Vice President</w:t>
      </w:r>
    </w:p>
    <w:p>
      <w:pPr>
        <w:pStyle w:val="TextBody"/>
        <w:spacing w:before="0" w:after="0"/>
        <w:rPr/>
      </w:pPr>
      <w:r>
        <w:rPr/>
      </w:r>
    </w:p>
    <w:p>
      <w:pPr>
        <w:pStyle w:val="TextBody"/>
        <w:rPr/>
      </w:pPr>
      <w:r>
        <w:rPr/>
      </w:r>
      <w:r>
        <w:br w:type="page"/>
      </w:r>
    </w:p>
    <w:p>
      <w:pPr>
        <w:pStyle w:val="TextBody"/>
        <w:spacing w:before="0" w:after="240"/>
        <w:ind w:left="0" w:right="0" w:firstLine="720"/>
        <w:jc w:val="both"/>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74" name="Frame3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20" w:after="283"/>
        <w:ind w:left="0" w:right="0" w:firstLine="2160"/>
        <w:jc w:val="both"/>
        <w:rPr/>
      </w:pPr>
      <w:r>
        <w:rPr/>
      </w:r>
    </w:p>
    <w:p>
      <w:pPr>
        <w:pStyle w:val="TextBody"/>
        <w:spacing w:before="120" w:after="283"/>
        <w:ind w:left="0" w:right="0" w:firstLine="216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5" name="Frame3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jc w:val="right"/>
        <w:rPr>
          <w:rFonts w:ascii="Times New Roman;sans-serif" w:hAnsi="Times New Roman;sans-serif"/>
          <w:b/>
          <w:color w:val="000000"/>
          <w:sz w:val="22"/>
        </w:rPr>
      </w:pPr>
      <w:r>
        <w:rPr>
          <w:rFonts w:ascii="Times New Roman;sans-serif" w:hAnsi="Times New Roman;sans-serif"/>
          <w:b/>
          <w:color w:val="000000"/>
          <w:sz w:val="22"/>
        </w:rPr>
        <w:t>ANNEX A TO AMENDMENT</w: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Amended Credit Agreement</w:t>
      </w:r>
    </w:p>
    <w:p>
      <w:pPr>
        <w:pStyle w:val="TextBody"/>
        <w:spacing w:before="0" w:after="0"/>
        <w:jc w:val="center"/>
        <w:rPr/>
      </w:pPr>
      <w:r>
        <w:rPr/>
      </w:r>
    </w:p>
    <w:p>
      <w:pPr>
        <w:pStyle w:val="TextBody"/>
        <w:spacing w:lineRule="auto" w:line="24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76" name="Frame3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spacing w:before="0" w:after="0"/>
        <w:jc w:val="center"/>
        <w:rPr/>
      </w:pPr>
      <w:r>
        <w:rPr/>
      </w:r>
    </w:p>
    <w:tbl>
      <w:tblPr>
        <w:tblW w:w="9296" w:type="dxa"/>
        <w:jc w:val="center"/>
        <w:tblInd w:w="0" w:type="dxa"/>
        <w:tblCellMar>
          <w:top w:w="28" w:type="dxa"/>
          <w:left w:w="28" w:type="dxa"/>
          <w:bottom w:w="28" w:type="dxa"/>
          <w:right w:w="28" w:type="dxa"/>
        </w:tblCellMar>
      </w:tblPr>
      <w:tblGrid>
        <w:gridCol w:w="1920"/>
        <w:gridCol w:w="1682"/>
        <w:gridCol w:w="1693"/>
        <w:gridCol w:w="109"/>
        <w:gridCol w:w="109"/>
        <w:gridCol w:w="109"/>
        <w:gridCol w:w="450"/>
        <w:gridCol w:w="450"/>
        <w:gridCol w:w="451"/>
        <w:gridCol w:w="109"/>
        <w:gridCol w:w="109"/>
        <w:gridCol w:w="109"/>
        <w:gridCol w:w="584"/>
        <w:gridCol w:w="584"/>
        <w:gridCol w:w="828"/>
      </w:tblGrid>
      <w:tr>
        <w:trPr/>
        <w:tc>
          <w:tcPr>
            <w:tcW w:w="1920"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Domestic 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Qualification</w:t>
            </w:r>
          </w:p>
        </w:tc>
      </w:tr>
      <w:tr>
        <w:trPr/>
        <w:tc>
          <w:tcPr>
            <w:tcW w:w="5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 Motors,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ANL, L.P.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Arkansas Automotive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AR Niss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Arlington MB,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AC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AU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BM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CHEV,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Chevrolet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Ford,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Hon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Hund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Inf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Infiniti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Jaguar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K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Lex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Nis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Nis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Toy 2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Toy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VB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VL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Aurora Toy,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Austin JLR,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Arkansas Dealership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 MS</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Arkansas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 MS</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Atlanta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Atlanta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Brandon,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Central Florida,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Deland,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Fresno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CT, FL</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Jacksonville GP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Jacksonville,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Management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Mississippi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Dealership Holdings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SC, VA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Management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Real Estate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SC, VA</w:t>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Oregon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77" name="Frame3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6040" w:type="dxa"/>
        <w:jc w:val="center"/>
        <w:tblInd w:w="0" w:type="dxa"/>
        <w:tblCellMar>
          <w:top w:w="28" w:type="dxa"/>
          <w:left w:w="28" w:type="dxa"/>
          <w:bottom w:w="28" w:type="dxa"/>
          <w:right w:w="28" w:type="dxa"/>
        </w:tblCellMar>
      </w:tblPr>
      <w:tblGrid>
        <w:gridCol w:w="1651"/>
        <w:gridCol w:w="1452"/>
        <w:gridCol w:w="1456"/>
        <w:gridCol w:w="109"/>
        <w:gridCol w:w="109"/>
        <w:gridCol w:w="109"/>
        <w:gridCol w:w="120"/>
        <w:gridCol w:w="120"/>
        <w:gridCol w:w="121"/>
        <w:gridCol w:w="109"/>
        <w:gridCol w:w="109"/>
        <w:gridCol w:w="109"/>
        <w:gridCol w:w="136"/>
        <w:gridCol w:w="136"/>
        <w:gridCol w:w="194"/>
      </w:tblGrid>
      <w:tr>
        <w:trPr/>
        <w:tc>
          <w:tcPr>
            <w:tcW w:w="1651"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Southern California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St. Louis II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St. Louis,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Tampa GP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Tampa,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Texas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Texas Real Estate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West,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CH Motors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CDJR,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GEN,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HG,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Lex,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SUB,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BEN,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KAR,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MAS,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MB,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MCL,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POR,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RR,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VOL,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Deland Hund,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Deland Imports 2,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DFW JLR,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Fort Worth MB,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Fresno Imports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Ft. Worth Ford,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Georgia TOY,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Grapevine LEX,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Greeley SUB,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CBG,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CDJ,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CHEV,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FORD,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HON,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TOY,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Indy Chev,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AC,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Ford,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Holdings,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Hon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K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Management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VW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Chev,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Toy,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78" name="Frame3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093"/>
        <w:gridCol w:w="684"/>
        <w:gridCol w:w="687"/>
        <w:gridCol w:w="109"/>
        <w:gridCol w:w="109"/>
        <w:gridCol w:w="109"/>
        <w:gridCol w:w="120"/>
        <w:gridCol w:w="120"/>
        <w:gridCol w:w="121"/>
        <w:gridCol w:w="109"/>
        <w:gridCol w:w="109"/>
        <w:gridCol w:w="109"/>
        <w:gridCol w:w="1962"/>
        <w:gridCol w:w="1962"/>
        <w:gridCol w:w="2802"/>
      </w:tblGrid>
      <w:tr>
        <w:trPr/>
        <w:tc>
          <w:tcPr>
            <w:tcW w:w="109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2802" w:type="dxa"/>
            <w:tcBorders/>
            <w:shd w:fill="auto" w:val="clear"/>
            <w:vAlign w:val="center"/>
          </w:tcPr>
          <w:p>
            <w:pPr>
              <w:pStyle w:val="TableContents"/>
              <w:spacing w:before="0" w:after="283"/>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JLR,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Por,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Longmont Hund,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Management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 AZ, FL, GA, IN, MO, MS, NC, OH, PA, SC, TN, TX, VA</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MS CHEV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MS</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MS Gray-Daniels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No Cal Niss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Noblesville CDJR,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Plano LEX,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Risk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 AR, AZ, CA, CO, CT, DC, FL, GA, IA, ID, IL, IN, KS, KY, LA, MA, MD, ME, MI, MN, MO, MS, MT, NC, ND, NE, NH, NJ, NM, NV, NY, OH, OK, OR, PA, RI, SC, SD, TN, TX, UT, VA, VT, WA, WI, WV, WY</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Sacramento Imports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SC JPV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SC LEX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SC Toy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 Cal DC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 Cal Hon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 Cal Niss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South Carolina Real Estate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Cadillac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FSKR,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Lex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LR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M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Tampa Management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Texas D FSKR,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Texas H FSKR,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TX Auction,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Asbury-Deland Imports,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Atlanta Real Estate Holdings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Avenues Motors,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Bayway Financial Services, L.P.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BFP Motors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&amp; O Properties, Ltd.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Camco Finance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SC, VA</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CFP Motors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 Motors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CHO Partnership, Ltd.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CK Chevrolet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CK Motors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79" name="Frame3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9010" w:type="dxa"/>
        <w:jc w:val="center"/>
        <w:tblInd w:w="0" w:type="dxa"/>
        <w:tblCellMar>
          <w:top w:w="28" w:type="dxa"/>
          <w:left w:w="28" w:type="dxa"/>
          <w:bottom w:w="28" w:type="dxa"/>
          <w:right w:w="28" w:type="dxa"/>
        </w:tblCellMar>
      </w:tblPr>
      <w:tblGrid>
        <w:gridCol w:w="1343"/>
        <w:gridCol w:w="1186"/>
        <w:gridCol w:w="1191"/>
        <w:gridCol w:w="109"/>
        <w:gridCol w:w="109"/>
        <w:gridCol w:w="109"/>
        <w:gridCol w:w="124"/>
        <w:gridCol w:w="124"/>
        <w:gridCol w:w="128"/>
        <w:gridCol w:w="109"/>
        <w:gridCol w:w="109"/>
        <w:gridCol w:w="109"/>
        <w:gridCol w:w="1234"/>
        <w:gridCol w:w="1234"/>
        <w:gridCol w:w="1792"/>
      </w:tblGrid>
      <w:tr>
        <w:trPr/>
        <w:tc>
          <w:tcPr>
            <w:tcW w:w="1343"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 Motors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Automotive Corp.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Cars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Chevrolet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Management,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CP-GMC Motors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Acura/Nissan,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CHH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CHO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CHV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FDO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FFO Holdings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FFO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GAC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GBM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GCA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GDO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GHO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GNI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GPG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GVO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Honda,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Motorcar Company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PBM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NJ</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RIA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RIB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SJC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SNI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CSA Imports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Escude-NN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Escude-NS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Escude-T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 Automotive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HFP Motors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JC Dealer Systems,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KP Motors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Administration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 CA,CO,HA,ID, MT, NV, NM, OR, TX, WA,WY</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Agency,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 CA,CO,HA,ID, MT, NV, NM, OR, TX, WA,WY</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Casualty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 CA,CO,HA,ID, MT, NV, NM, OR, TX, WA,WY</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GC,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Management,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 CO, ID, NM, NV, OK, OR, WY</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Company - Bountiful,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80" name="Frame3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6293" w:type="dxa"/>
        <w:jc w:val="center"/>
        <w:tblInd w:w="0" w:type="dxa"/>
        <w:tblCellMar>
          <w:top w:w="28" w:type="dxa"/>
          <w:left w:w="28" w:type="dxa"/>
          <w:bottom w:w="28" w:type="dxa"/>
          <w:right w:w="28" w:type="dxa"/>
        </w:tblCellMar>
      </w:tblPr>
      <w:tblGrid>
        <w:gridCol w:w="1264"/>
        <w:gridCol w:w="1113"/>
        <w:gridCol w:w="1117"/>
        <w:gridCol w:w="109"/>
        <w:gridCol w:w="109"/>
        <w:gridCol w:w="109"/>
        <w:gridCol w:w="189"/>
        <w:gridCol w:w="189"/>
        <w:gridCol w:w="193"/>
        <w:gridCol w:w="109"/>
        <w:gridCol w:w="109"/>
        <w:gridCol w:w="109"/>
        <w:gridCol w:w="459"/>
        <w:gridCol w:w="459"/>
        <w:gridCol w:w="656"/>
      </w:tblGrid>
      <w:tr>
        <w:trPr/>
        <w:tc>
          <w:tcPr>
            <w:tcW w:w="126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 Spokane,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ACJ,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ADR,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ALH,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AMT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ANI,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ATO,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GP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AVW,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BCD,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BSU,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BTO,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BUC,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CHV,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CSCO,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OCC,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CTO,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DCJ,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DDR,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DNI,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FTL,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HOB,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HON,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HYN,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LCJ,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LEX,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LFO,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LIT,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LMD,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MBL,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MFD,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MNI,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MUR,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NHR,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PCH,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PFL,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PNX,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QCH,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QCJ,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RCD,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SAX,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 NM, TX, WA</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SCD,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81" name="Frame3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5649" w:type="dxa"/>
        <w:jc w:val="center"/>
        <w:tblInd w:w="0" w:type="dxa"/>
        <w:tblCellMar>
          <w:top w:w="28" w:type="dxa"/>
          <w:left w:w="28" w:type="dxa"/>
          <w:bottom w:w="28" w:type="dxa"/>
          <w:right w:w="28" w:type="dxa"/>
        </w:tblCellMar>
      </w:tblPr>
      <w:tblGrid>
        <w:gridCol w:w="1276"/>
        <w:gridCol w:w="1122"/>
        <w:gridCol w:w="1126"/>
        <w:gridCol w:w="109"/>
        <w:gridCol w:w="109"/>
        <w:gridCol w:w="109"/>
        <w:gridCol w:w="120"/>
        <w:gridCol w:w="120"/>
        <w:gridCol w:w="121"/>
        <w:gridCol w:w="109"/>
        <w:gridCol w:w="109"/>
        <w:gridCol w:w="109"/>
        <w:gridCol w:w="324"/>
        <w:gridCol w:w="324"/>
        <w:gridCol w:w="462"/>
      </w:tblGrid>
      <w:tr>
        <w:trPr/>
        <w:tc>
          <w:tcPr>
            <w:tcW w:w="127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SHO,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SPO Holdings,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SSLE,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SWH,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TCJ,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TDR,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TSD,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TVW,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Austin-Acra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Frisco-Hon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Grande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Houston-Hon,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Houston-Niss,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Irving-Hon,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Outfitters,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Plano-Acra,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Mid-Atlantic Automotive Services,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SC, VA</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 Automotive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 Automotive Services,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 FLM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 MZD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 VKW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Osborn/Miller Automotive,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Plano Lincoln-Mercury,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Computer Services,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Enterprises Tampa,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Infiniti,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Motorcars,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Nissan,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Premier NSN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Premier Pon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Prestige Bay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Prestige Toy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Brandon FL,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Cumming GA,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Ft. Myers FL,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Group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Holiday FL,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Jacksonville FL,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Kennesaw GA,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Orlando FL,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82" name="Frame3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5679" w:type="dxa"/>
        <w:jc w:val="center"/>
        <w:tblInd w:w="0" w:type="dxa"/>
        <w:tblCellMar>
          <w:top w:w="28" w:type="dxa"/>
          <w:left w:w="28" w:type="dxa"/>
          <w:bottom w:w="28" w:type="dxa"/>
          <w:right w:w="28" w:type="dxa"/>
        </w:tblCellMar>
      </w:tblPr>
      <w:tblGrid>
        <w:gridCol w:w="1412"/>
        <w:gridCol w:w="1242"/>
        <w:gridCol w:w="1245"/>
        <w:gridCol w:w="109"/>
        <w:gridCol w:w="109"/>
        <w:gridCol w:w="109"/>
        <w:gridCol w:w="124"/>
        <w:gridCol w:w="124"/>
        <w:gridCol w:w="128"/>
        <w:gridCol w:w="109"/>
        <w:gridCol w:w="109"/>
        <w:gridCol w:w="109"/>
        <w:gridCol w:w="219"/>
        <w:gridCol w:w="219"/>
        <w:gridCol w:w="312"/>
      </w:tblGrid>
      <w:tr>
        <w:trPr/>
        <w:tc>
          <w:tcPr>
            <w:tcW w:w="141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Tampa FL,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Atlantic Automotive Services,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 SC</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Hund,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Kia, L.P.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LM,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Mit, L.P.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Automotive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Auto Credit Northwest,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Dam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FRD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Hund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Pontiac-GMC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WMZ Motors,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WTY Motors, L.P.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83" name="Frame3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before="0" w:after="0"/>
        <w:rPr/>
      </w:pPr>
      <w:r>
        <w:rPr/>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S-3 No. 333-260658) of Asbury Automotive Group, Inc.</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333-231518) of Asbury Automotive Group, Inc.,</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3.Registration Statement (Form S-8 No. 333-221146) of Asbury Automotive Group, Inc.,</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4.Registration Statement (Form S-8 No. 333-165136) of Asbury Automotive Group, Inc., </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5.Registration Statement (Form S-8 No. 333-105450) of Asbury Automotive Group, Inc., </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6.Registration Statement (Form S-8 No. 333-115402) of Asbury Automotive Group, Inc.,</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7.Registration Statement (Form S-8 No. 333-84646) of Asbury Automotive Group, Inc., and</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8.Registration Statement (Form S-3 No. 333-123505) of Asbury Automotive Group, Inc.;</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March 1, 2022, with respect to the consolidated financial statements of Asbury Automotive Group, Inc. and the effectiveness of internal control over financial reporting of Asbury Automotive Group, Inc. included in this Annual Report (Form 10-K) of Asbury Automotive Group, Inc. for the year ended December 31, 2021.</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Atlanta, Georgia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2022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84" name="Frame3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W. Hult, certify that: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Asbury Automotive Group, Inc.;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before="0" w:after="0"/>
        <w:ind w:left="0" w:right="0" w:hanging="720"/>
        <w:rPr/>
      </w:pPr>
      <w:r>
        <w:rPr/>
      </w:r>
    </w:p>
    <w:tbl>
      <w:tblPr>
        <w:tblW w:w="2412" w:type="dxa"/>
        <w:jc w:val="center"/>
        <w:tblInd w:w="0" w:type="dxa"/>
        <w:tblCellMar>
          <w:top w:w="28" w:type="dxa"/>
          <w:left w:w="28" w:type="dxa"/>
          <w:bottom w:w="28" w:type="dxa"/>
          <w:right w:w="28" w:type="dxa"/>
        </w:tblCellMar>
      </w:tblPr>
      <w:tblGrid>
        <w:gridCol w:w="738"/>
        <w:gridCol w:w="648"/>
        <w:gridCol w:w="654"/>
        <w:gridCol w:w="109"/>
        <w:gridCol w:w="109"/>
        <w:gridCol w:w="154"/>
      </w:tblGrid>
      <w:tr>
        <w:trPr/>
        <w:tc>
          <w:tcPr>
            <w:tcW w:w="73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85" name="Frame3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D. Welch certify that: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Asbury Automotive Group, Inc.; </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spacing w:before="0" w:after="0"/>
        <w:ind w:left="0" w:right="0" w:hanging="144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before="0" w:after="0"/>
        <w:ind w:left="0" w:right="0" w:hanging="360"/>
        <w:rPr/>
      </w:pPr>
      <w:r>
        <w:rPr/>
      </w:r>
    </w:p>
    <w:tbl>
      <w:tblPr>
        <w:tblW w:w="2351" w:type="dxa"/>
        <w:jc w:val="center"/>
        <w:tblInd w:w="0" w:type="dxa"/>
        <w:tblCellMar>
          <w:top w:w="28" w:type="dxa"/>
          <w:left w:w="28" w:type="dxa"/>
          <w:bottom w:w="28" w:type="dxa"/>
          <w:right w:w="28" w:type="dxa"/>
        </w:tblCellMar>
      </w:tblPr>
      <w:tblGrid>
        <w:gridCol w:w="717"/>
        <w:gridCol w:w="628"/>
        <w:gridCol w:w="634"/>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Welch</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86" name="Frame3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In connection with the Annual Report on Form 10-K of Asbury Automotive Group, Inc. (the "Company") for the year ended December 31, 2021, as filed with the Securities and Exchange Commission on the date hereof (the "Report"), I, David W. Hult, Chief Executive Officer of the Company, certify, pursuant to 18 U.S.C. § 1350, as adopted pursuant to § 906 of the Sarbanes-Oxley Act of 2002, that, to the best of my knowledge: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tbl>
      <w:tblPr>
        <w:tblW w:w="2412" w:type="dxa"/>
        <w:jc w:val="center"/>
        <w:tblInd w:w="0" w:type="dxa"/>
        <w:tblCellMar>
          <w:top w:w="28" w:type="dxa"/>
          <w:left w:w="28" w:type="dxa"/>
          <w:bottom w:w="28" w:type="dxa"/>
          <w:right w:w="28" w:type="dxa"/>
        </w:tblCellMar>
      </w:tblPr>
      <w:tblGrid>
        <w:gridCol w:w="738"/>
        <w:gridCol w:w="648"/>
        <w:gridCol w:w="654"/>
        <w:gridCol w:w="109"/>
        <w:gridCol w:w="109"/>
        <w:gridCol w:w="154"/>
      </w:tblGrid>
      <w:tr>
        <w:trPr/>
        <w:tc>
          <w:tcPr>
            <w:tcW w:w="73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260"/>
                <wp:effectExtent l="0" t="0" r="0" b="0"/>
                <wp:wrapNone/>
                <wp:docPr id="387" name="Frame3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In connection with the Annual Report on Form 10-K of Asbury Automotive Group, Inc. (the "Company") for the year ended December 31, 2021, as filed with the Securities and Exchange Commission on the date hereof (the "Report"), I, Michael D. Welch, Chief Financial Officer of the Company, certify, pursuant to 18 U.S.C. § 1350, as adopted pursuant to § 906 of the Sarbanes-Oxley Act of 2002, that, to the best of my knowledge: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tbl>
      <w:tblPr>
        <w:tblW w:w="2351" w:type="dxa"/>
        <w:jc w:val="center"/>
        <w:tblInd w:w="0" w:type="dxa"/>
        <w:tblCellMar>
          <w:top w:w="28" w:type="dxa"/>
          <w:left w:w="28" w:type="dxa"/>
          <w:bottom w:w="28" w:type="dxa"/>
          <w:right w:w="28" w:type="dxa"/>
        </w:tblCellMar>
      </w:tblPr>
      <w:tblGrid>
        <w:gridCol w:w="717"/>
        <w:gridCol w:w="628"/>
        <w:gridCol w:w="634"/>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Welch</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88" name="Frame3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0001144980/000114498021000138/ex21-dealershippurchaseagr.htm" TargetMode="External"/><Relationship Id="rId5" Type="http://schemas.openxmlformats.org/officeDocument/2006/relationships/hyperlink" Target="http://www.sec.gov/Archives/edgar/data/0001144980/000114498021000138/ex22-realestatepurchaseagr.htm" TargetMode="External"/><Relationship Id="rId6" Type="http://schemas.openxmlformats.org/officeDocument/2006/relationships/hyperlink" Target="http://www.sec.gov/Archives/edgar/data/0001144980/000114498021000138/ex23-tcapurchaseagreement.htm" TargetMode="External"/><Relationship Id="rId7" Type="http://schemas.openxmlformats.org/officeDocument/2006/relationships/hyperlink" Target="http://www.sec.gov/Archives/edgar/data/1144980/000114498014000016/exhibit31.htm" TargetMode="External"/><Relationship Id="rId8" Type="http://schemas.openxmlformats.org/officeDocument/2006/relationships/hyperlink" Target="http://www.sec.gov/Archives/edgar/data/1144980/000119312520042171/d894687dex41.htm" TargetMode="External"/><Relationship Id="rId9" Type="http://schemas.openxmlformats.org/officeDocument/2006/relationships/hyperlink" Target="http://www.sec.gov/Archives/edgar/data/1144980/000114498021000138/ex41-asburyfirstsupplement.htm" TargetMode="External"/><Relationship Id="rId10" Type="http://schemas.openxmlformats.org/officeDocument/2006/relationships/hyperlink" Target="http://www.sec.gov/Archives/edgar/data/1144980/000119312520042171/d894687dex41.htm" TargetMode="External"/><Relationship Id="rId11" Type="http://schemas.openxmlformats.org/officeDocument/2006/relationships/hyperlink" Target="http://www.sec.gov/Archives/edgar/data/1144980/000119312520042171/d894687dex42.htm" TargetMode="External"/><Relationship Id="rId12" Type="http://schemas.openxmlformats.org/officeDocument/2006/relationships/hyperlink" Target="http://www.sec.gov/Archives/edgar/data/1144980/000114498021000138/ex42-asburyfirstsupplement.htm" TargetMode="External"/><Relationship Id="rId13" Type="http://schemas.openxmlformats.org/officeDocument/2006/relationships/hyperlink" Target="http://www.sec.gov/Archives/edgar/data/1144980/000119312520042171/d894687dex42.htm" TargetMode="External"/><Relationship Id="rId14" Type="http://schemas.openxmlformats.org/officeDocument/2006/relationships/hyperlink" Target="http://www.sec.gov/Archives/edgar/data/1144980/000119312520247162/d38921dex43.htm" TargetMode="External"/><Relationship Id="rId15" Type="http://schemas.openxmlformats.org/officeDocument/2006/relationships/hyperlink" Target="http://www.sec.gov/Archives/edgar/data/1144980/000119312520247162/d38921dex44.htm" TargetMode="External"/><Relationship Id="rId16" Type="http://schemas.openxmlformats.org/officeDocument/2006/relationships/hyperlink" Target="http://www.sec.gov/Archives/edgar/data/1144980/000119312521335122/d265912dex41.htm" TargetMode="External"/><Relationship Id="rId17" Type="http://schemas.openxmlformats.org/officeDocument/2006/relationships/hyperlink" Target="http://www.sec.gov/Archives/edgar/data/1144980/000119312521335122/d265912dex41.htm" TargetMode="External"/><Relationship Id="rId18" Type="http://schemas.openxmlformats.org/officeDocument/2006/relationships/hyperlink" Target="http://www.sec.gov/Archives/edgar/data/1144980/000119312521335122/d265912dex42.htm" TargetMode="External"/><Relationship Id="rId19" Type="http://schemas.openxmlformats.org/officeDocument/2006/relationships/hyperlink" Target="http://www.sec.gov/Archives/edgar/data/1144980/000119312521335122/d265912dex42.htm" TargetMode="External"/><Relationship Id="rId20" Type="http://schemas.openxmlformats.org/officeDocument/2006/relationships/hyperlink" Target="http://www.sec.gov/Archives/edgar/data/1144980/000114498021000075/ex49descriptionofsecurities.htm" TargetMode="External"/><Relationship Id="rId21" Type="http://schemas.openxmlformats.org/officeDocument/2006/relationships/hyperlink" Target="http://www.sec.gov/Archives/edgar/data/1144980/000114498012000009/amendedandrestated2002equi.htm" TargetMode="External"/><Relationship Id="rId22" Type="http://schemas.openxmlformats.org/officeDocument/2006/relationships/hyperlink" Target="http://www.sec.gov/Archives/edgar/data/1144980/000119312512119792/d282231ddef14a.htm" TargetMode="External"/><Relationship Id="rId23" Type="http://schemas.openxmlformats.org/officeDocument/2006/relationships/hyperlink" Target="http://www.sec.gov/Archives/edgar/data/1144980/000114498017000006/asburyfirstamendmentto2012.htm" TargetMode="External"/><Relationship Id="rId24" Type="http://schemas.openxmlformats.org/officeDocument/2006/relationships/hyperlink" Target="http://www.sec.gov/Archives/edgar/data/1144980/000119312509097917/dex102.htm" TargetMode="External"/><Relationship Id="rId25" Type="http://schemas.openxmlformats.org/officeDocument/2006/relationships/hyperlink" Target="http://www.sec.gov/Archives/edgar/data/1144980/000114498018000088/ex101amendmentno1.htm" TargetMode="External"/><Relationship Id="rId26" Type="http://schemas.openxmlformats.org/officeDocument/2006/relationships/hyperlink" Target="http://www.sec.gov/Archives/edgar/data/1144980/000119312510099784/dex107.htm" TargetMode="External"/><Relationship Id="rId27" Type="http://schemas.openxmlformats.org/officeDocument/2006/relationships/hyperlink" Target="http://www.sec.gov/Archives/edgar/data/1144980/000114498014000042/exhibit101employmentagreem.htm" TargetMode="External"/><Relationship Id="rId28" Type="http://schemas.openxmlformats.org/officeDocument/2006/relationships/hyperlink" Target="http://www.sec.gov/Archives/edgar/data/1144980/000114498017000119/ex101822.htm" TargetMode="External"/><Relationship Id="rId29" Type="http://schemas.openxmlformats.org/officeDocument/2006/relationships/hyperlink" Target="http://www.sec.gov/Archives/edgar/data/1144980/000114498020000116/ex101dhemploymentagree.htm" TargetMode="External"/><Relationship Id="rId30" Type="http://schemas.openxmlformats.org/officeDocument/2006/relationships/hyperlink" Target="http://www.sec.gov/Archives/edgar/data/1144980/000114498017000063/ex1012villasana.htm" TargetMode="External"/><Relationship Id="rId31" Type="http://schemas.openxmlformats.org/officeDocument/2006/relationships/hyperlink" Target="http://www.sec.gov/Archives/edgar/data/1144980/000114498017000063/ex1013milstein.htm" TargetMode="External"/><Relationship Id="rId32" Type="http://schemas.openxmlformats.org/officeDocument/2006/relationships/hyperlink" Target="http://www.sec.gov/Archives/edgar/data/1144980/000114498017000063/ex1014stax.htm" TargetMode="External"/><Relationship Id="rId33" Type="http://schemas.openxmlformats.org/officeDocument/2006/relationships/hyperlink" Target="http://www.sec.gov/Archives/edgar/data/1144980/000114498021000075/ex1013severancepayagreemen.htm" TargetMode="External"/><Relationship Id="rId34" Type="http://schemas.openxmlformats.org/officeDocument/2006/relationships/hyperlink" Target="http://www.sec.gov/Archives/edgar/data/1144980/000114498019000072/abg2019proxystatement.htm" TargetMode="External"/><Relationship Id="rId35" Type="http://schemas.openxmlformats.org/officeDocument/2006/relationships/hyperlink" Target="http://www.sec.gov/Archives/edgar/data/1144980/000114498021000075/ex1015equityawardagreement.htm" TargetMode="External"/><Relationship Id="rId36" Type="http://schemas.openxmlformats.org/officeDocument/2006/relationships/hyperlink" Target="http://www.sec.gov/Archives/edgar/data/1144980/000114498017000125/exhibit101deferredcompensa.htm" TargetMode="External"/><Relationship Id="rId37" Type="http://schemas.openxmlformats.org/officeDocument/2006/relationships/hyperlink" Target="http://www.sec.gov/Archives/edgar/data/1144980/000114498021000111/ex101letterofagreement-wel.htm" TargetMode="External"/><Relationship Id="rId38" Type="http://schemas.openxmlformats.org/officeDocument/2006/relationships/hyperlink" Target="http://www.sec.gov/Archives/edgar/data/1144980/000114498021000120/ex103separationagreement.htm" TargetMode="External"/><Relationship Id="rId39" Type="http://schemas.openxmlformats.org/officeDocument/2006/relationships/hyperlink" Target="http://www.sec.gov/Archives/edgar/data/1144980/000119312513383642/d604313dex101.htm" TargetMode="External"/><Relationship Id="rId40" Type="http://schemas.openxmlformats.org/officeDocument/2006/relationships/hyperlink" Target="http://www.sec.gov/Archives/edgar/data/1144980/000114498019000129/ex101.htm" TargetMode="External"/><Relationship Id="rId41" Type="http://schemas.openxmlformats.org/officeDocument/2006/relationships/hyperlink" Target="http://www.sec.gov/Archives/edgar/data/1144980/000114498019000129/ex102.htm" TargetMode="External"/><Relationship Id="rId42" Type="http://schemas.openxmlformats.org/officeDocument/2006/relationships/hyperlink" Target="http://www.sec.gov/Archives/edgar/data/1144980/000114498019000129/ex103.htm" TargetMode="External"/><Relationship Id="rId43" Type="http://schemas.openxmlformats.org/officeDocument/2006/relationships/hyperlink" Target="http://www.sec.gov/Archives/edgar/data/1144980/000114498019000129/ex104.htm" TargetMode="External"/><Relationship Id="rId44" Type="http://schemas.openxmlformats.org/officeDocument/2006/relationships/hyperlink" Target="http://www.sec.gov/Archives/edgar/data/1144980/000114498019000129/ex105.htm" TargetMode="External"/><Relationship Id="rId45" Type="http://schemas.openxmlformats.org/officeDocument/2006/relationships/hyperlink" Target="http://www.sec.gov/Archives/edgar/data/1144980/000114498019000129/ex106.htm" TargetMode="External"/><Relationship Id="rId46" Type="http://schemas.openxmlformats.org/officeDocument/2006/relationships/hyperlink" Target="http://www.sec.gov/Archives/edgar/data/1144980/000114498020000010/ex101firstamendment.htm" TargetMode="External"/><Relationship Id="rId47" Type="http://schemas.openxmlformats.org/officeDocument/2006/relationships/hyperlink" Target="http://www.sec.gov/Archives/edgar/data/1144980/000114498020000159/ex101secondamendmentto.htm" TargetMode="External"/><Relationship Id="rId48" Type="http://schemas.openxmlformats.org/officeDocument/2006/relationships/hyperlink" Target="http://www.sec.gov/Archives/edgar/data/1144980/000119312515032741/d865118dex101.htm" TargetMode="External"/><Relationship Id="rId49" Type="http://schemas.openxmlformats.org/officeDocument/2006/relationships/hyperlink" Target="http://www.sec.gov/Archives/edgar/data/1144980/000119312515032741/d865118dex102.htm" TargetMode="External"/><Relationship Id="rId50" Type="http://schemas.openxmlformats.org/officeDocument/2006/relationships/hyperlink" Target="http://www.sec.gov/Archives/edgar/data/1144980/000114498019000053/ex1033.htm" TargetMode="External"/><Relationship Id="rId51" Type="http://schemas.openxmlformats.org/officeDocument/2006/relationships/hyperlink" Target="http://www.sec.gov/Archives/edgar/data/1144980/000114498019000053/ex1034.htm" TargetMode="External"/><Relationship Id="rId52" Type="http://schemas.openxmlformats.org/officeDocument/2006/relationships/hyperlink" Target="http://www.sec.gov/Archives/edgar/data/1144980/000114498019000053/ex1035.htm" TargetMode="External"/><Relationship Id="rId53" Type="http://schemas.openxmlformats.org/officeDocument/2006/relationships/hyperlink" Target="http://www.sec.gov/Archives/edgar/data/1144980/000114498020000059/ex1041firstamendmentto2018.htm" TargetMode="External"/><Relationship Id="rId54" Type="http://schemas.openxmlformats.org/officeDocument/2006/relationships/hyperlink" Target="http://www.sec.gov/Archives/edgar/data/1144980/000114498020000055/ex-bofa2020realestatef.htm" TargetMode="External"/><Relationship Id="rId55" Type="http://schemas.openxmlformats.org/officeDocument/2006/relationships/hyperlink" Target="http://www.sec.gov/Archives/edgar/data/1144980/000114498020000059/ex1042star-arcommitmentlet.htm" TargetMode="External"/><Relationship Id="rId56" Type="http://schemas.openxmlformats.org/officeDocument/2006/relationships/hyperlink" Target="http://www.sec.gov/Archives/edgar/data/1144980/000114498021000107/exhibit101creditagreement.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261</Pages>
  <Words>211113</Words>
  <CharactersWithSpaces>1341515</CharactersWithSpaces>
  <Paragraphs>11408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