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8-K/A </w:t>
      </w:r>
    </w:p>
    <w:p>
      <w:pPr>
        <w:pStyle w:val="TextBody"/>
        <w:bidi w:val="0"/>
        <w:spacing w:lineRule="auto" w:line="288" w:before="100" w:after="283"/>
        <w:jc w:val="center"/>
        <w:rPr>
          <w:rFonts w:ascii="Times New Roman;serif" w:hAnsi="Times New Roman;serif"/>
          <w:b/>
          <w:color w:val="000000"/>
          <w:sz w:val="26"/>
        </w:rPr>
      </w:pPr>
      <w:r>
        <w:rPr>
          <w:rFonts w:ascii="Times New Roman;serif" w:hAnsi="Times New Roman;serif"/>
          <w:b/>
          <w:color w:val="000000"/>
          <w:sz w:val="26"/>
        </w:rPr>
        <w:t xml:space="preserve">(Amendment No.1)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6"/>
        </w:rPr>
      </w:pPr>
      <w:r>
        <w:rPr>
          <w:rFonts w:ascii="Times New Roman;serif" w:hAnsi="Times New Roman;serif"/>
          <w:b/>
          <w:color w:val="000000"/>
          <w:sz w:val="26"/>
        </w:rPr>
        <w:t xml:space="preserve">CURRENT REPORT </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SECURITIES EXCHANGE ACT OF 1934 </w:t>
      </w:r>
    </w:p>
    <w:p>
      <w:pPr>
        <w:pStyle w:val="TextBody"/>
        <w:bidi w:val="0"/>
        <w:spacing w:lineRule="auto" w:line="288" w:before="180" w:after="283"/>
        <w:jc w:val="center"/>
        <w:rPr/>
      </w:pPr>
      <w:r>
        <w:rPr>
          <w:rFonts w:ascii="Times New Roman;serif" w:hAnsi="Times New Roman;serif"/>
          <w:b/>
          <w:color w:val="000000"/>
          <w:sz w:val="24"/>
        </w:rPr>
        <w:t>Date of Report (Date of earliest event reported): December 8, 2025</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48"/>
        </w:rPr>
      </w:pPr>
      <w:r>
        <w:rPr>
          <w:rFonts w:ascii="Times New Roman;serif" w:hAnsi="Times New Roman;serif"/>
          <w:b/>
          <w:color w:val="000000"/>
          <w:sz w:val="48"/>
        </w:rPr>
        <w:t xml:space="preserve">Asbury Automotive Group, Inc. </w:t>
      </w:r>
    </w:p>
    <w:p>
      <w:pPr>
        <w:pStyle w:val="TextBody"/>
        <w:bidi w:val="0"/>
        <w:spacing w:lineRule="auto" w:line="288" w:before="0" w:after="0"/>
        <w:jc w:val="center"/>
        <w:rPr/>
      </w:pPr>
      <w:r>
        <w:rPr>
          <w:rFonts w:ascii="Times New Roman;serif" w:hAnsi="Times New Roman;serif"/>
          <w:b/>
          <w:color w:val="000000"/>
          <w:sz w:val="20"/>
        </w:rPr>
        <w:t xml:space="preserve">(Exact name of registrant as specified in its charter) </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Delaware </w:t>
      </w:r>
    </w:p>
    <w:p>
      <w:pPr>
        <w:pStyle w:val="TextBody"/>
        <w:bidi w:val="0"/>
        <w:spacing w:lineRule="auto" w:line="288" w:before="0" w:after="0"/>
        <w:jc w:val="center"/>
        <w:rPr/>
      </w:pPr>
      <w:r>
        <w:rPr>
          <w:rFonts w:ascii="Times New Roman;serif" w:hAnsi="Times New Roman;serif"/>
          <w:b/>
          <w:color w:val="000000"/>
          <w:sz w:val="14"/>
        </w:rPr>
        <w:t xml:space="preserve">(State or other jurisdiction of incorporation) </w:t>
      </w:r>
      <w:r>
        <w:rPr>
          <w:color w:val="000000"/>
        </w:rPr>
        <w:t> </w:t>
      </w:r>
    </w:p>
    <w:tbl>
      <w:tblPr>
        <w:tblW w:w="5675" w:type="dxa"/>
        <w:jc w:val="center"/>
        <w:tblInd w:w="0" w:type="dxa"/>
        <w:tblLayout w:type="fixed"/>
        <w:tblCellMar>
          <w:top w:w="28" w:type="dxa"/>
          <w:left w:w="28" w:type="dxa"/>
          <w:bottom w:w="28" w:type="dxa"/>
          <w:right w:w="28" w:type="dxa"/>
        </w:tblCellMar>
      </w:tblPr>
      <w:tblGrid>
        <w:gridCol w:w="531"/>
        <w:gridCol w:w="466"/>
        <w:gridCol w:w="466"/>
        <w:gridCol w:w="466"/>
        <w:gridCol w:w="466"/>
        <w:gridCol w:w="466"/>
        <w:gridCol w:w="109"/>
        <w:gridCol w:w="109"/>
        <w:gridCol w:w="109"/>
        <w:gridCol w:w="704"/>
        <w:gridCol w:w="704"/>
        <w:gridCol w:w="707"/>
        <w:gridCol w:w="109"/>
        <w:gridCol w:w="109"/>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001-31262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01-0609375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6655 Peachtree Dunwoody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Atlanta,</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30328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(770) 418-8200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(Registrant's telephone number, including area code)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None </w:t>
      </w:r>
    </w:p>
    <w:p>
      <w:pPr>
        <w:pStyle w:val="TextBody"/>
        <w:bidi w:val="0"/>
        <w:spacing w:lineRule="auto" w:line="288" w:before="0" w:after="0"/>
        <w:jc w:val="center"/>
        <w:rPr/>
      </w:pPr>
      <w:r>
        <w:rPr>
          <w:rFonts w:ascii="Times New Roman;serif" w:hAnsi="Times New Roman;serif"/>
          <w:b/>
          <w:color w:val="000000"/>
          <w:sz w:val="14"/>
        </w:rPr>
        <w:t xml:space="preserve">(Former name or former address, if changed since last report) </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180" w:after="283"/>
        <w:ind w:left="0" w:right="0" w:hanging="90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80" w:after="283"/>
        <w:ind w:left="0" w:right="0" w:hanging="90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80" w:after="283"/>
        <w:ind w:left="0" w:right="0" w:hanging="90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80" w:after="283"/>
        <w:ind w:left="0" w:right="0" w:hanging="90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80" w:after="283"/>
        <w:ind w:left="0" w:right="0" w:firstLine="450"/>
        <w:jc w:val="left"/>
        <w:rPr/>
      </w:pPr>
      <w:r>
        <w:rPr/>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888" w:type="dxa"/>
        <w:jc w:val="left"/>
        <w:tblInd w:w="0" w:type="dxa"/>
        <w:tblLayout w:type="fixed"/>
        <w:tblCellMar>
          <w:top w:w="28" w:type="dxa"/>
          <w:left w:w="28" w:type="dxa"/>
          <w:bottom w:w="28" w:type="dxa"/>
          <w:right w:w="28" w:type="dxa"/>
        </w:tblCellMar>
      </w:tblPr>
      <w:tblGrid>
        <w:gridCol w:w="1252"/>
        <w:gridCol w:w="1100"/>
        <w:gridCol w:w="1113"/>
        <w:gridCol w:w="109"/>
        <w:gridCol w:w="109"/>
        <w:gridCol w:w="109"/>
        <w:gridCol w:w="314"/>
        <w:gridCol w:w="314"/>
        <w:gridCol w:w="316"/>
        <w:gridCol w:w="109"/>
        <w:gridCol w:w="109"/>
        <w:gridCol w:w="109"/>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240" w:after="283"/>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previously announced in the Current Report on Form 8-K filed by Asbury Automotive Group, Inc. (the “Company”) with the Securities and Exchange Commission on December 8, 2025, the Board of Directors of the Company elected Daniel Clara to serve as President and Chief Executive Officer of the Company, effective following the Company’s 2026 Annual Meeting of Stockholders. On May 4, 2026 (the “Transition Date”), the Company announced that it had entered into an employment agreement with Daniel Clara (the “Clara Agreement”) in connection with his promotion to President and Chief Executive Officer of the Company, which agreement supersedes the Severance Pay Agreement for Key Employee dated July 28, 2022 between Mr. Clara and the Company. The Clara Agreement will continue in effect through May 4, 2027 and will renew for additional one-year periods thereafter, unless either party gives at least 180 days’ prior written notice of termination.</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Under the Clara Agreement, Mr. Clara will be eligible for the following compensation during his service as President and Chief Executive Officer: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Annual base salary of $1,100,000 pro-rated for 2026;</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eligibility for a discretionary annual incentive bonus determined by the Compensation Committee based on achievement of applicable performance objectives, with a target opportunity of 125% of annual base salary;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use of a Company car during his employment and a monthly $800 car allowance.</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If (i) the Company elects not to extend the Clara Agreement and, at its expiration, Mr. Clara will not have attained age 65, or (ii) the Company terminates the Clara Agreement without “cause,” or (iii) Mr. Clara terminates the Clara Agreement for “good reason” when no “change in control” has occurred (any of the foregoing, a “Clara Non-Change in Control Qualifying Termination”), Mr. Clara will be entitled to the following: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100% of his base salary, plus 100% of his target annual bonus;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 pro-rated bonus based on actual performance for the year of termination;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continued participation for 12 months in all health and welfare plans of the Company in effect immediately prior to the termination of employment;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accelerated vesting of all unvested equity and other long-term incentive awards that would have vested in the 364 days following a Clara Non-Change in Control Qualifying Termination.</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If Mr. Clara is terminated without cause or resigns for good reason within two years following a change in control (a “Clara Change in Control Qualifying Termination”), Mr. Clara will be entitled to the following: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200% of his base salary, plus 200% of his target annual bonus (which includes any non-equity incentive plan compensation);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 pro-rated bonus (which includes any non-equity incentive plan compensation) based on target performance for the year of termination;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continued participation for 24 months in all health and welfare plans of the Company in effect immediately prior to the termination of employment;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vesting of all unvested equity and other long-term incentive awards, effective on the date of the change in control.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Severance compensation under the Clara Agreement (except in the case of death or disability) is generally conditioned on Mr. Clara executing a release of claims in favor of the Company. The Clara Agreement also contains certain confidentiality, non-compete and non-solicit obligations and provides that, if such obligations are breached by him, the Company has the right to stop making any otherwise required severance payments.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Clara Agreement does not purport to be complete and is subject to, and qualified in its entirety by reference to, the full text of the Clara Agreement, a copy of which is attached hereto as Exhibit 99.1 and incorporated herein by reference.</w:t>
      </w:r>
    </w:p>
    <w:p>
      <w:pPr>
        <w:pStyle w:val="TextBody"/>
        <w:bidi w:val="0"/>
        <w:spacing w:before="26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60" w:after="24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80" w:after="283"/>
        <w:ind w:left="0" w:right="0" w:firstLine="45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furnished as part of this report.</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310"/>
        <w:gridCol w:w="310"/>
        <w:gridCol w:w="311"/>
        <w:gridCol w:w="109"/>
        <w:gridCol w:w="109"/>
        <w:gridCol w:w="109"/>
        <w:gridCol w:w="2507"/>
        <w:gridCol w:w="2507"/>
        <w:gridCol w:w="35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35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991danclaraemploymentagr.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dated May 4, 2026, by and between Asbury Automotive Group, Inc. and Daniel Clara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tLeast" w:line="240"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7751" w:type="dxa"/>
        <w:jc w:val="center"/>
        <w:tblInd w:w="0" w:type="dxa"/>
        <w:tblLayout w:type="fixed"/>
        <w:tblCellMar>
          <w:top w:w="28" w:type="dxa"/>
          <w:left w:w="28" w:type="dxa"/>
          <w:bottom w:w="28" w:type="dxa"/>
          <w:right w:w="28" w:type="dxa"/>
        </w:tblCellMar>
      </w:tblPr>
      <w:tblGrid>
        <w:gridCol w:w="591"/>
        <w:gridCol w:w="520"/>
        <w:gridCol w:w="523"/>
        <w:gridCol w:w="377"/>
        <w:gridCol w:w="377"/>
        <w:gridCol w:w="377"/>
        <w:gridCol w:w="377"/>
        <w:gridCol w:w="377"/>
        <w:gridCol w:w="377"/>
        <w:gridCol w:w="1128"/>
        <w:gridCol w:w="1128"/>
        <w:gridCol w:w="1599"/>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ASBURY AUTOMOTIVE GROUP,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Dean A. Calloway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Dean A. Calloway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Vice President, General Counsel &amp;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36" w:after="283"/>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36" w:after="283"/>
        <w:jc w:val="right"/>
        <w:rPr/>
      </w:pPr>
      <w:r>
        <w:rPr/>
      </w:r>
    </w:p>
    <w:p>
      <w:pPr>
        <w:pStyle w:val="TextBody"/>
        <w:bidi w:val="0"/>
        <w:spacing w:lineRule="auto" w:line="288" w:before="36" w:after="283"/>
        <w:jc w:val="center"/>
        <w:rPr>
          <w:rFonts w:ascii="Times New Roman;serif" w:hAnsi="Times New Roman;serif"/>
          <w:b/>
          <w:color w:val="000000"/>
          <w:sz w:val="24"/>
        </w:rPr>
      </w:pPr>
      <w:r>
        <w:rPr>
          <w:rFonts w:ascii="Times New Roman;serif" w:hAnsi="Times New Roman;serif"/>
          <w:b/>
          <w:color w:val="000000"/>
          <w:sz w:val="24"/>
        </w:rPr>
        <w:t>EMPLOYMENT AGREEMENT</w:t>
      </w:r>
    </w:p>
    <w:p>
      <w:pPr>
        <w:pStyle w:val="TextBody"/>
        <w:bidi w:val="0"/>
        <w:spacing w:before="51" w:after="283"/>
        <w:jc w:val="left"/>
        <w:rPr/>
      </w:pPr>
      <w:r>
        <w:rPr/>
      </w:r>
    </w:p>
    <w:p>
      <w:pPr>
        <w:pStyle w:val="TextBody"/>
        <w:bidi w:val="0"/>
        <w:spacing w:lineRule="auto" w:line="288" w:before="0" w:after="0"/>
        <w:ind w:left="0" w:right="0" w:firstLine="475"/>
        <w:jc w:val="both"/>
        <w:rPr/>
      </w:pPr>
      <w:r>
        <w:rPr>
          <w:rFonts w:ascii="Times New Roman;serif" w:hAnsi="Times New Roman;serif"/>
          <w:b w:val="false"/>
          <w:color w:val="000000"/>
          <w:sz w:val="24"/>
        </w:rPr>
        <w:t>This Employment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made as of the 4</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of May 2026 between ASBURY AUTOMOTIVE GROUP,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Daniel Clara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xml:space="preserve">) (together, Company and Executive may sometimes each be referred to herein as a “Party” and together as the “Parties”). </w:t>
      </w:r>
    </w:p>
    <w:p>
      <w:pPr>
        <w:pStyle w:val="TextBody"/>
        <w:bidi w:val="0"/>
        <w:spacing w:before="0" w:after="0"/>
        <w:ind w:left="0" w:right="0" w:firstLine="475"/>
        <w:jc w:val="both"/>
        <w:rPr/>
      </w:pPr>
      <w:r>
        <w:rPr/>
      </w:r>
    </w:p>
    <w:p>
      <w:pPr>
        <w:pStyle w:val="TextBody"/>
        <w:bidi w:val="0"/>
        <w:spacing w:lineRule="auto" w:line="288" w:before="0" w:after="0"/>
        <w:ind w:left="0" w:right="0" w:firstLine="475"/>
        <w:jc w:val="both"/>
        <w:rPr/>
      </w:pPr>
      <w:r>
        <w:rPr>
          <w:rFonts w:ascii="Times New Roman;serif" w:hAnsi="Times New Roman;serif"/>
          <w:b/>
          <w:color w:val="000000"/>
          <w:sz w:val="24"/>
        </w:rPr>
        <w:t>WHEREAS</w:t>
      </w:r>
      <w:r>
        <w:rPr>
          <w:rFonts w:ascii="Times New Roman;serif" w:hAnsi="Times New Roman;serif"/>
          <w:b w:val="false"/>
          <w:color w:val="000000"/>
          <w:sz w:val="24"/>
        </w:rPr>
        <w:t>, in connection with its executive succession planning process, the Board of Directors of the Company desires to appoint Executive as President and Chief Executive Officer of the Company effective as of May 4, 2026 (the “Promotion Date”), subject to his continuous employment with the Company through the Promotion Date.</w:t>
      </w:r>
    </w:p>
    <w:p>
      <w:pPr>
        <w:pStyle w:val="TextBody"/>
        <w:bidi w:val="0"/>
        <w:spacing w:before="0" w:after="0"/>
        <w:ind w:left="0" w:right="0" w:firstLine="475"/>
        <w:jc w:val="left"/>
        <w:rPr/>
      </w:pPr>
      <w:r>
        <w:rPr/>
      </w:r>
    </w:p>
    <w:p>
      <w:pPr>
        <w:pStyle w:val="TextBody"/>
        <w:bidi w:val="0"/>
        <w:spacing w:lineRule="auto" w:line="288" w:before="0" w:after="0"/>
        <w:ind w:left="0" w:right="0" w:firstLine="475"/>
        <w:jc w:val="left"/>
        <w:rPr/>
      </w:pPr>
      <w:r>
        <w:rPr>
          <w:rFonts w:ascii="Times New Roman;serif" w:hAnsi="Times New Roman;serif"/>
          <w:b/>
          <w:color w:val="000000"/>
          <w:sz w:val="24"/>
        </w:rPr>
        <w:t>NOW, THEREFORE</w:t>
      </w:r>
      <w:r>
        <w:rPr>
          <w:rFonts w:ascii="Times New Roman;serif" w:hAnsi="Times New Roman;serif"/>
          <w:b w:val="false"/>
          <w:color w:val="000000"/>
          <w:sz w:val="24"/>
        </w:rPr>
        <w:t>, the Parties agree as follows:</w:t>
      </w:r>
    </w:p>
    <w:p>
      <w:pPr>
        <w:pStyle w:val="TextBody"/>
        <w:bidi w:val="0"/>
        <w:spacing w:before="0" w:after="0"/>
        <w:ind w:left="0" w:right="0" w:firstLine="475"/>
        <w:jc w:val="left"/>
        <w:rPr/>
      </w:pPr>
      <w:r>
        <w:rPr/>
      </w:r>
    </w:p>
    <w:p>
      <w:pPr>
        <w:pStyle w:val="TextBody"/>
        <w:bidi w:val="0"/>
        <w:spacing w:lineRule="auto" w:line="288" w:before="0" w:after="0"/>
        <w:ind w:left="0" w:right="0" w:hanging="239"/>
        <w:jc w:val="left"/>
        <w:rPr/>
      </w:pPr>
      <w:r>
        <w:rPr>
          <w:rFonts w:ascii="Times New Roman;serif" w:hAnsi="Times New Roman;serif"/>
          <w:b/>
          <w:color w:val="000000"/>
          <w:sz w:val="24"/>
        </w:rPr>
        <w:t>1.    </w:t>
      </w:r>
      <w:r>
        <w:rPr>
          <w:rFonts w:ascii="Times New Roman;serif" w:hAnsi="Times New Roman;serif"/>
          <w:b/>
          <w:color w:val="000000"/>
          <w:sz w:val="24"/>
          <w:u w:val="single"/>
        </w:rPr>
        <w:t>Definitions.</w:t>
      </w:r>
    </w:p>
    <w:p>
      <w:pPr>
        <w:pStyle w:val="TextBody"/>
        <w:bidi w:val="0"/>
        <w:spacing w:before="51" w:after="283"/>
        <w:jc w:val="left"/>
        <w:rPr/>
      </w:pPr>
      <w:r>
        <w:rPr/>
      </w:r>
    </w:p>
    <w:p>
      <w:pPr>
        <w:pStyle w:val="TextBody"/>
        <w:bidi w:val="0"/>
        <w:spacing w:lineRule="auto" w:line="288" w:before="0" w:after="0"/>
        <w:ind w:left="0" w:right="0" w:firstLine="48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any person, firm, corporation, partnership, association or entity that, directly or indirectly or through one or more intermediaries, controls, is controlled by or is under common control with the Company.</w:t>
      </w:r>
    </w:p>
    <w:p>
      <w:pPr>
        <w:pStyle w:val="TextBody"/>
        <w:bidi w:val="0"/>
        <w:spacing w:before="0" w:after="0"/>
        <w:jc w:val="left"/>
        <w:rPr/>
      </w:pPr>
      <w:r>
        <w:rPr/>
      </w:r>
    </w:p>
    <w:p>
      <w:pPr>
        <w:pStyle w:val="TextBody"/>
        <w:bidi w:val="0"/>
        <w:spacing w:lineRule="auto" w:line="288" w:before="0" w:after="0"/>
        <w:ind w:left="0" w:right="0" w:firstLine="48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Applicable Period</w:t>
      </w:r>
      <w:r>
        <w:rPr>
          <w:color w:val="000000"/>
        </w:rPr>
        <w:t xml:space="preserve">” </w:t>
      </w:r>
      <w:r>
        <w:rPr>
          <w:rFonts w:ascii="Times New Roman;serif" w:hAnsi="Times New Roman;serif"/>
          <w:b w:val="false"/>
          <w:color w:val="000000"/>
          <w:sz w:val="24"/>
        </w:rPr>
        <w:t>means the period of Executive's employment with the Company and for one (1) year after termination of his employment with the Company.</w:t>
      </w:r>
    </w:p>
    <w:p>
      <w:pPr>
        <w:pStyle w:val="TextBody"/>
        <w:bidi w:val="0"/>
        <w:spacing w:before="0" w:after="0"/>
        <w:jc w:val="both"/>
        <w:rPr/>
      </w:pPr>
      <w:r>
        <w:rPr/>
      </w:r>
    </w:p>
    <w:p>
      <w:pPr>
        <w:pStyle w:val="TextBody"/>
        <w:bidi w:val="0"/>
        <w:spacing w:lineRule="auto" w:line="288" w:before="0" w:after="0"/>
        <w:ind w:left="0" w:right="0" w:hanging="322"/>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Area</w:t>
      </w:r>
      <w:r>
        <w:rPr>
          <w:color w:val="000000"/>
        </w:rPr>
        <w:t xml:space="preserve">” </w:t>
      </w:r>
      <w:r>
        <w:rPr>
          <w:rFonts w:ascii="Times New Roman;serif" w:hAnsi="Times New Roman;serif"/>
          <w:b w:val="false"/>
          <w:color w:val="000000"/>
          <w:sz w:val="24"/>
        </w:rPr>
        <w:t xml:space="preserve">means a fifty-mile radius of any address set forth in </w:t>
      </w:r>
      <w:r>
        <w:rPr>
          <w:rFonts w:ascii="Times New Roman;serif" w:hAnsi="Times New Roman;serif"/>
          <w:b/>
          <w:color w:val="000000"/>
          <w:sz w:val="24"/>
        </w:rPr>
        <w:t>Exhibit A</w:t>
      </w:r>
      <w:r>
        <w:rPr>
          <w:rFonts w:ascii="Times New Roman;serif" w:hAnsi="Times New Roman;serif"/>
          <w:b w:val="false"/>
          <w:color w:val="000000"/>
          <w:sz w:val="24"/>
        </w:rPr>
        <w:t>.</w:t>
      </w:r>
    </w:p>
    <w:p>
      <w:pPr>
        <w:pStyle w:val="TextBody"/>
        <w:bidi w:val="0"/>
        <w:spacing w:before="55" w:after="283"/>
        <w:jc w:val="both"/>
        <w:rPr/>
      </w:pPr>
      <w:r>
        <w:rPr/>
      </w:r>
    </w:p>
    <w:p>
      <w:pPr>
        <w:pStyle w:val="TextBody"/>
        <w:bidi w:val="0"/>
        <w:spacing w:lineRule="auto" w:line="288" w:before="0" w:after="0"/>
        <w:ind w:left="0" w:right="0" w:hanging="337"/>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Board of Directors</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before="55" w:after="283"/>
        <w:jc w:val="both"/>
        <w:rPr/>
      </w:pPr>
      <w:r>
        <w:rPr/>
      </w:r>
    </w:p>
    <w:p>
      <w:pPr>
        <w:pStyle w:val="TextBody"/>
        <w:bidi w:val="0"/>
        <w:spacing w:lineRule="auto" w:line="288" w:before="0" w:after="0"/>
        <w:ind w:left="0" w:right="0" w:firstLine="48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 xml:space="preserve">means the occurrence of any of the following events: (i) conduct by Executive that amounts to willful misconduct, failure to follow any written lawful directive from the Board of Directors, or gross negligence; (ii) any act by Executive of fraud, misappropriation, dishonesty, misrepresentation or embezzlement against the Company or an Affiliate; (iii) conviction of Executive for, or a plea of </w:t>
      </w:r>
      <w:r>
        <w:rPr>
          <w:rFonts w:ascii="Times New Roman;serif" w:hAnsi="Times New Roman;serif"/>
          <w:b w:val="false"/>
          <w:i/>
          <w:color w:val="000000"/>
          <w:sz w:val="24"/>
        </w:rPr>
        <w:t xml:space="preserve">nolo contendere </w:t>
      </w:r>
      <w:r>
        <w:rPr>
          <w:rFonts w:ascii="Times New Roman;serif" w:hAnsi="Times New Roman;serif"/>
          <w:b w:val="false"/>
          <w:color w:val="000000"/>
          <w:sz w:val="24"/>
        </w:rPr>
        <w:t>by Executive to, a felony or misdemeanor, other than traffic violations and/or similar class C misdemeanors or offenses; (iv) a material breach of the Agreement by Executive.</w:t>
      </w:r>
    </w:p>
    <w:p>
      <w:pPr>
        <w:pStyle w:val="TextBody"/>
        <w:bidi w:val="0"/>
        <w:spacing w:before="55" w:after="283"/>
        <w:jc w:val="both"/>
        <w:rPr/>
      </w:pPr>
      <w:r>
        <w:rPr/>
      </w:r>
    </w:p>
    <w:p>
      <w:pPr>
        <w:pStyle w:val="TextBody"/>
        <w:bidi w:val="0"/>
        <w:spacing w:lineRule="auto" w:line="288" w:before="0" w:after="0"/>
        <w:ind w:left="0" w:right="0" w:firstLine="48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shall have the meaning set forth in the Company’s 2019 Equity and Incentive Compensation Plan.</w:t>
      </w:r>
    </w:p>
    <w:p>
      <w:pPr>
        <w:pStyle w:val="TextBody"/>
        <w:bidi w:val="0"/>
        <w:spacing w:before="0" w:after="0"/>
        <w:jc w:val="both"/>
        <w:rPr/>
      </w:pPr>
      <w:r>
        <w:rPr/>
      </w:r>
    </w:p>
    <w:p>
      <w:pPr>
        <w:pStyle w:val="TextBody"/>
        <w:bidi w:val="0"/>
        <w:spacing w:lineRule="auto" w:line="288" w:before="0" w:after="0"/>
        <w:ind w:left="0" w:right="0" w:firstLine="48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Company Information</w:t>
      </w:r>
      <w:r>
        <w:rPr>
          <w:color w:val="000000"/>
        </w:rPr>
        <w:t xml:space="preserve">” </w:t>
      </w:r>
      <w:r>
        <w:rPr>
          <w:rFonts w:ascii="Times New Roman;serif" w:hAnsi="Times New Roman;serif"/>
          <w:b w:val="false"/>
          <w:color w:val="000000"/>
          <w:sz w:val="24"/>
        </w:rPr>
        <w:t>means Confidential Information and Trade Secrets as those terms are defined below.</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67665"/>
                <wp:effectExtent l="0" t="0" r="0" b="0"/>
                <wp:wrapNone/>
                <wp:docPr id="6" name="Frame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32" w:after="283"/>
        <w:ind w:left="0" w:right="0" w:firstLine="48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means data and information relating to the business of the Company (which does not rise to the status of a Trade Secret) which is or has been disclosed to Executive or of which Executive became aware as a consequence of or through his relationship to the Company and which has value to the Company and is not generally known to its competitors. Confidential Information shall not include any data or information that has been voluntarily disclosed to the public by the Company or that has been independently developed and disclosed by others, or that otherwise entered the public domain through lawful means.</w:t>
      </w:r>
    </w:p>
    <w:p>
      <w:pPr>
        <w:pStyle w:val="TextBody"/>
        <w:bidi w:val="0"/>
        <w:spacing w:before="0" w:after="0"/>
        <w:jc w:val="both"/>
        <w:rPr/>
      </w:pPr>
      <w:r>
        <w:rPr/>
      </w:r>
    </w:p>
    <w:p>
      <w:pPr>
        <w:pStyle w:val="TextBody"/>
        <w:bidi w:val="0"/>
        <w:spacing w:lineRule="auto" w:line="288" w:before="0" w:after="0"/>
        <w:ind w:left="0" w:right="0" w:firstLine="48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means the inability of Executive to perform any of his duties hereunder due to a physical, mental, or emotional impairment, as determined by an independent qualified physician (who may be chosen and engaged by the Company), for an aggregate of one hundred eighty (180) days during any three hundred sixty-five (365) day period (if such periods also surpass the maximum time for leave permitted by law).</w:t>
      </w:r>
    </w:p>
    <w:p>
      <w:pPr>
        <w:pStyle w:val="TextBody"/>
        <w:bidi w:val="0"/>
        <w:spacing w:before="0" w:after="0"/>
        <w:jc w:val="both"/>
        <w:rPr/>
      </w:pPr>
      <w:r>
        <w:rPr/>
      </w:r>
    </w:p>
    <w:p>
      <w:pPr>
        <w:pStyle w:val="TextBody"/>
        <w:bidi w:val="0"/>
        <w:spacing w:lineRule="auto" w:line="288" w:before="0" w:after="0"/>
        <w:ind w:left="0" w:right="0" w:firstLine="48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means the occurrence of any of the following events without Executive's written consent which is not corrected by the Company within sixty (60) days after Executive's written notice to the Company of the same: (i) the nature of Executive's duties or the scope of his responsibilities are materially diminished without Executive's written consent, (ii) the Company changes the location of Executive's place of employment to more than fifty (50) miles from its present location, (iii) a material breach of this Agreement by the Company, or (iv) a change in Base Salary to an amount below $1,100,000.00, except where agreed to by Executive.</w:t>
      </w:r>
    </w:p>
    <w:p>
      <w:pPr>
        <w:pStyle w:val="TextBody"/>
        <w:bidi w:val="0"/>
        <w:spacing w:before="0" w:after="0"/>
        <w:ind w:left="0" w:right="0" w:firstLine="480"/>
        <w:jc w:val="left"/>
        <w:rPr/>
      </w:pPr>
      <w:r>
        <w:rPr/>
      </w:r>
    </w:p>
    <w:p>
      <w:pPr>
        <w:pStyle w:val="TextBody"/>
        <w:bidi w:val="0"/>
        <w:spacing w:lineRule="auto" w:line="288" w:before="0" w:after="0"/>
        <w:ind w:left="0" w:right="0" w:firstLine="48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Termination Date</w:t>
      </w:r>
      <w:r>
        <w:rPr>
          <w:color w:val="000000"/>
        </w:rPr>
        <w:t xml:space="preserve">” </w:t>
      </w:r>
      <w:r>
        <w:rPr>
          <w:rFonts w:ascii="Times New Roman;serif" w:hAnsi="Times New Roman;serif"/>
          <w:b w:val="false"/>
          <w:color w:val="000000"/>
          <w:sz w:val="24"/>
        </w:rPr>
        <w:t>means the date which corresponds to the first to occur of (i) the death or Disability of Executive, (ii) the last day of the Term as provided in Section 4(a) below or (iii) the date set forth in a notice given pursuant to Section 4(b) below.</w:t>
      </w:r>
    </w:p>
    <w:p>
      <w:pPr>
        <w:pStyle w:val="TextBody"/>
        <w:bidi w:val="0"/>
        <w:spacing w:before="56" w:after="283"/>
        <w:jc w:val="both"/>
        <w:rPr/>
      </w:pPr>
      <w:r>
        <w:rPr/>
      </w:r>
    </w:p>
    <w:p>
      <w:pPr>
        <w:pStyle w:val="TextBody"/>
        <w:bidi w:val="0"/>
        <w:spacing w:lineRule="auto" w:line="288" w:before="0" w:after="0"/>
        <w:ind w:left="0" w:right="0" w:firstLine="480"/>
        <w:jc w:val="both"/>
        <w:rPr/>
      </w:pPr>
      <w:r>
        <w:rPr>
          <w:rFonts w:ascii="Times New Roman;serif" w:hAnsi="Times New Roman;serif"/>
          <w:b w:val="false"/>
          <w:color w:val="000000"/>
          <w:sz w:val="24"/>
        </w:rPr>
        <w:t>(l)    “</w:t>
      </w:r>
      <w:r>
        <w:rPr>
          <w:rFonts w:ascii="Times New Roman;serif" w:hAnsi="Times New Roman;serif"/>
          <w:b w:val="false"/>
          <w:color w:val="000000"/>
          <w:sz w:val="24"/>
          <w:u w:val="single"/>
        </w:rPr>
        <w:t>Trade Secrets</w:t>
      </w:r>
      <w:r>
        <w:rPr>
          <w:color w:val="000000"/>
        </w:rPr>
        <w:t xml:space="preserve">” </w:t>
      </w:r>
      <w:r>
        <w:rPr>
          <w:rFonts w:ascii="Times New Roman;serif" w:hAnsi="Times New Roman;serif"/>
          <w:b w:val="false"/>
          <w:color w:val="000000"/>
          <w:sz w:val="24"/>
        </w:rPr>
        <w:t>means information including, but not limited to, technical or non-technical data, formulas, patterns, compilations, programs, devices, methods, techniques, drawings, processes, financial data, financial plans, product plans or lists of actual or potential customers or suppliers which (i) derives economic value, actual or potential, from not being generally known to, and not being readily ascertainable by proper means by, other persons who can obtain economic value from its disclosure or use, and (ii) is the subject of efforts that are reasonable under the circumstances to maintain its secrecy, or as otherwise defined by applicable state law. The provisions in this Agreement restricting the use of Trade Secrets shall survive termination of this Agreement for so long as is permitted by law.</w:t>
      </w:r>
    </w:p>
    <w:p>
      <w:pPr>
        <w:pStyle w:val="TextBody"/>
        <w:bidi w:val="0"/>
        <w:spacing w:lineRule="auto" w:line="288" w:before="274" w:after="283"/>
        <w:ind w:left="0" w:right="0" w:firstLine="480"/>
        <w:jc w:val="both"/>
        <w:rPr/>
      </w:pPr>
      <w:r>
        <w:rPr>
          <w:rFonts w:ascii="Times New Roman;serif" w:hAnsi="Times New Roman;serif"/>
          <w:b w:val="false"/>
          <w:color w:val="000000"/>
          <w:sz w:val="24"/>
        </w:rPr>
        <w:t>(m)    “</w:t>
      </w:r>
      <w:r>
        <w:rPr>
          <w:rFonts w:ascii="Times New Roman;serif" w:hAnsi="Times New Roman;serif"/>
          <w:b w:val="false"/>
          <w:color w:val="000000"/>
          <w:sz w:val="24"/>
          <w:u w:val="single"/>
        </w:rPr>
        <w:t>Work</w:t>
      </w:r>
      <w:r>
        <w:rPr>
          <w:color w:val="000000"/>
        </w:rPr>
        <w:t xml:space="preserve">” </w:t>
      </w:r>
      <w:r>
        <w:rPr>
          <w:rFonts w:ascii="Times New Roman;serif" w:hAnsi="Times New Roman;serif"/>
          <w:b w:val="false"/>
          <w:color w:val="000000"/>
          <w:sz w:val="24"/>
        </w:rPr>
        <w:t>means a copyrightable work of authorship, including without limitation, any technical descriptions for products, user's guides, illustrations, advertising materials, computer programs and any contribution to such materials.</w:t>
      </w:r>
    </w:p>
    <w:p>
      <w:pPr>
        <w:pStyle w:val="TextBody"/>
        <w:bidi w:val="0"/>
        <w:spacing w:before="4" w:after="283"/>
        <w:jc w:val="left"/>
        <w:rPr/>
      </w:pPr>
      <w:r>
        <w:rPr/>
      </w:r>
    </w:p>
    <w:p>
      <w:pPr>
        <w:pStyle w:val="TextBody"/>
        <w:bidi w:val="0"/>
        <w:spacing w:lineRule="auto" w:line="288" w:before="1" w:after="283"/>
        <w:ind w:left="0" w:right="0" w:hanging="239"/>
        <w:jc w:val="left"/>
        <w:rPr/>
      </w:pPr>
      <w:r>
        <w:rPr>
          <w:rFonts w:ascii="Times New Roman;serif" w:hAnsi="Times New Roman;serif"/>
          <w:b/>
          <w:color w:val="000000"/>
          <w:sz w:val="24"/>
        </w:rPr>
        <w:t>2.    </w:t>
      </w:r>
      <w:r>
        <w:rPr>
          <w:rFonts w:ascii="Times New Roman;serif" w:hAnsi="Times New Roman;serif"/>
          <w:b/>
          <w:color w:val="000000"/>
          <w:sz w:val="24"/>
          <w:u w:val="single"/>
        </w:rPr>
        <w:t>Terms and Conditions of Employment.</w:t>
      </w:r>
    </w:p>
    <w:p>
      <w:pPr>
        <w:pStyle w:val="TextBody"/>
        <w:bidi w:val="0"/>
        <w:spacing w:before="50" w:after="283"/>
        <w:jc w:val="left"/>
        <w:rPr/>
      </w:pPr>
      <w:r>
        <w:rPr/>
      </w:r>
    </w:p>
    <w:p>
      <w:pPr>
        <w:pStyle w:val="TextBody"/>
        <w:bidi w:val="0"/>
        <w:spacing w:lineRule="auto" w:line="288" w:before="32" w:after="283"/>
        <w:ind w:left="0" w:right="0" w:firstLine="45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Employment</w:t>
      </w:r>
      <w:r>
        <w:rPr>
          <w:rFonts w:ascii="Times New Roman;serif" w:hAnsi="Times New Roman;serif"/>
          <w:b w:val="false"/>
          <w:color w:val="000000"/>
          <w:sz w:val="24"/>
        </w:rPr>
        <w:t>. Effective as of May 4, 2026 (the “</w:t>
      </w:r>
      <w:r>
        <w:rPr>
          <w:rFonts w:ascii="Times New Roman;serif" w:hAnsi="Times New Roman;serif"/>
          <w:b w:val="false"/>
          <w:color w:val="000000"/>
          <w:sz w:val="24"/>
          <w:u w:val="single"/>
        </w:rPr>
        <w:t>Promotion Date</w:t>
      </w:r>
      <w:r>
        <w:rPr>
          <w:color w:val="000000"/>
        </w:rPr>
        <w:t>”</w:t>
      </w:r>
      <w:r>
        <w:rPr>
          <w:rFonts w:ascii="Times New Roman;serif" w:hAnsi="Times New Roman;serif"/>
          <w:b w:val="false"/>
          <w:color w:val="000000"/>
          <w:sz w:val="24"/>
        </w:rPr>
        <w:t xml:space="preserve">), the Company hereby employs Executive as President and Chief Executive Officer and Executive accepts such employment with the Company or any of its Affiliates in such capacity. Executive shall report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67665"/>
                <wp:effectExtent l="0" t="0" r="0" b="0"/>
                <wp:wrapNone/>
                <wp:docPr id="7" name="Frame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32" w:after="283"/>
        <w:jc w:val="both"/>
        <w:rPr>
          <w:rFonts w:ascii="Times New Roman;serif" w:hAnsi="Times New Roman;serif"/>
          <w:b w:val="false"/>
          <w:color w:val="000000"/>
          <w:sz w:val="24"/>
        </w:rPr>
      </w:pPr>
      <w:r>
        <w:rPr>
          <w:rFonts w:ascii="Times New Roman;serif" w:hAnsi="Times New Roman;serif"/>
          <w:b w:val="false"/>
          <w:color w:val="000000"/>
          <w:sz w:val="24"/>
        </w:rPr>
        <w:t>to the Board of Directors and shall have such authority and responsibilities and perform such duties as shall reasonably be assigned to Executive from time to time by the Board of Directors.</w:t>
      </w:r>
    </w:p>
    <w:p>
      <w:pPr>
        <w:pStyle w:val="TextBody"/>
        <w:bidi w:val="0"/>
        <w:spacing w:before="0" w:after="0"/>
        <w:jc w:val="both"/>
        <w:rPr/>
      </w:pPr>
      <w:r>
        <w:rPr/>
      </w:r>
    </w:p>
    <w:p>
      <w:pPr>
        <w:pStyle w:val="TextBody"/>
        <w:bidi w:val="0"/>
        <w:spacing w:lineRule="auto" w:line="288" w:before="0" w:after="0"/>
        <w:ind w:left="0" w:right="0" w:firstLine="48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Exclusivity</w:t>
      </w:r>
      <w:r>
        <w:rPr>
          <w:rFonts w:ascii="Times New Roman;serif" w:hAnsi="Times New Roman;serif"/>
          <w:b w:val="false"/>
          <w:color w:val="000000"/>
          <w:sz w:val="24"/>
        </w:rPr>
        <w:t>. Throughout Executive's employment hereunder, Executive shall devote substantially all Executive's time, energy and skill during regular business hours to the performance of the duties of Executive's employment (vacations and reasonable absences due to illness excepted), shall faithfully and industriously perform such duties, and shall diligently follow and implement all management policies and decisions of the Company. However, Executive shall be entitled to (i) engage in civic and charitable activities, (ii) manage passive personal investments, and (iii) with the consent of the Board of Directors (which shall not be unreasonably withheld), serve on the board of directors of one corporation not in competition with the Company; provided that none of the foregoing activities shall, individually or in the aggregate, interfere with Executive's ability to devote the requisite time and effort to the performance of his duties and responsibilities under this Agreement. Executive's principal office shall be in the Company’s Atlanta, Georgia headquarters, provided that Executive acknowledges that Executive's duties hereunder shall be performed, from time to time, at such other place or places as the interests, needs, businesses or opportunities of the Company shall require.</w:t>
      </w:r>
    </w:p>
    <w:p>
      <w:pPr>
        <w:pStyle w:val="TextBody"/>
        <w:bidi w:val="0"/>
        <w:spacing w:before="5" w:after="283"/>
        <w:jc w:val="both"/>
        <w:rPr/>
      </w:pPr>
      <w:r>
        <w:rPr/>
      </w:r>
    </w:p>
    <w:p>
      <w:pPr>
        <w:pStyle w:val="TextBody"/>
        <w:bidi w:val="0"/>
        <w:spacing w:lineRule="auto" w:line="288" w:before="0" w:after="0"/>
        <w:ind w:left="0" w:right="0" w:hanging="239"/>
        <w:jc w:val="left"/>
        <w:rPr/>
      </w:pPr>
      <w:r>
        <w:rPr>
          <w:rFonts w:ascii="Times New Roman;serif" w:hAnsi="Times New Roman;serif"/>
          <w:b/>
          <w:color w:val="000000"/>
          <w:sz w:val="24"/>
        </w:rPr>
        <w:t>3.    </w:t>
      </w:r>
      <w:r>
        <w:rPr>
          <w:rFonts w:ascii="Times New Roman;serif" w:hAnsi="Times New Roman;serif"/>
          <w:b/>
          <w:color w:val="000000"/>
          <w:sz w:val="24"/>
          <w:u w:val="single"/>
        </w:rPr>
        <w:t>Compensation.</w:t>
      </w:r>
    </w:p>
    <w:p>
      <w:pPr>
        <w:pStyle w:val="TextBody"/>
        <w:bidi w:val="0"/>
        <w:spacing w:before="50" w:after="283"/>
        <w:jc w:val="left"/>
        <w:rPr/>
      </w:pPr>
      <w:r>
        <w:rPr/>
      </w:r>
    </w:p>
    <w:p>
      <w:pPr>
        <w:pStyle w:val="TextBody"/>
        <w:bidi w:val="0"/>
        <w:spacing w:lineRule="auto" w:line="288" w:before="0" w:after="0"/>
        <w:ind w:left="0" w:right="0" w:firstLine="48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Base Salary</w:t>
      </w:r>
      <w:r>
        <w:rPr>
          <w:rFonts w:ascii="Times New Roman;serif" w:hAnsi="Times New Roman;serif"/>
          <w:b w:val="false"/>
          <w:color w:val="000000"/>
          <w:sz w:val="24"/>
        </w:rPr>
        <w:t>. In consideration for Executive's services hereunder, during the Term and beginning on the Promotion Date, the Company shall pay to Executive an annual base salary (the “</w:t>
      </w:r>
      <w:r>
        <w:rPr>
          <w:rFonts w:ascii="Times New Roman;serif" w:hAnsi="Times New Roman;serif"/>
          <w:b w:val="false"/>
          <w:color w:val="000000"/>
          <w:sz w:val="24"/>
          <w:u w:val="single"/>
        </w:rPr>
        <w:t>Base Salary</w:t>
      </w:r>
      <w:r>
        <w:rPr>
          <w:color w:val="000000"/>
        </w:rPr>
        <w:t>”</w:t>
      </w:r>
      <w:r>
        <w:rPr>
          <w:rFonts w:ascii="Times New Roman;serif" w:hAnsi="Times New Roman;serif"/>
          <w:b w:val="false"/>
          <w:color w:val="000000"/>
          <w:sz w:val="24"/>
        </w:rPr>
        <w:t>) in the amount of $1,100,000.00, pro rated for the first year. Executive's annual base salary shall be reviewed periodically by the Company and may be increased from time to time. The Company shall pay the annual base salary in accordance with the normal payroll payment practices of the Company and subject to such deductions and withholdings as law or policies of the Company require.</w:t>
      </w:r>
    </w:p>
    <w:p>
      <w:pPr>
        <w:pStyle w:val="TextBody"/>
        <w:bidi w:val="0"/>
        <w:spacing w:lineRule="auto" w:line="288" w:before="231" w:after="283"/>
        <w:ind w:left="0" w:right="0" w:firstLine="48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Bonus</w:t>
      </w:r>
      <w:r>
        <w:rPr>
          <w:rFonts w:ascii="Times New Roman;serif" w:hAnsi="Times New Roman;serif"/>
          <w:b w:val="false"/>
          <w:color w:val="000000"/>
          <w:sz w:val="24"/>
        </w:rPr>
        <w:t>. In addition to the annual base salary payable under Section 3(a) hereof, during the Term, and beginning following the Promotion Date, Executive shall be entitled to discretionary annual bonuses targeted at 125% ($1,375,000 annualized) of Executive's base salary (the “</w:t>
      </w:r>
      <w:r>
        <w:rPr>
          <w:rFonts w:ascii="Times New Roman;serif" w:hAnsi="Times New Roman;serif"/>
          <w:b w:val="false"/>
          <w:color w:val="000000"/>
          <w:sz w:val="24"/>
          <w:u w:val="single"/>
        </w:rPr>
        <w:t>Target Annual Bonus</w:t>
      </w:r>
      <w:r>
        <w:rPr>
          <w:color w:val="000000"/>
        </w:rPr>
        <w:t>”</w:t>
      </w:r>
      <w:r>
        <w:rPr>
          <w:rFonts w:ascii="Times New Roman;serif" w:hAnsi="Times New Roman;serif"/>
          <w:b w:val="false"/>
          <w:color w:val="000000"/>
          <w:sz w:val="24"/>
        </w:rPr>
        <w:t>). The actual amount of bonus paid annually will be determined by the Compensation Committee based on its evaluation of Executive's performance using reasonable performance objectives determined by the Compensation Committee. To the extent earned, the annual bonus, or any portion thereof, will be paid on the date on which annual bonuses are paid generally to the Company's senior executives, but in no event following the later of (i) the fifteenth (15</w:t>
      </w:r>
      <w:r>
        <w:rPr>
          <w:rFonts w:ascii="Times New Roman;serif" w:hAnsi="Times New Roman;serif"/>
          <w:b w:val="false"/>
          <w:color w:val="000000"/>
          <w:sz w:val="16"/>
        </w:rPr>
        <w:t>th</w:t>
      </w:r>
      <w:r>
        <w:rPr>
          <w:rFonts w:ascii="Times New Roman;serif" w:hAnsi="Times New Roman;serif"/>
          <w:b w:val="false"/>
          <w:color w:val="000000"/>
          <w:sz w:val="24"/>
        </w:rPr>
        <w:t>) day of the third (3</w:t>
      </w:r>
      <w:r>
        <w:rPr>
          <w:rFonts w:ascii="Times New Roman;serif" w:hAnsi="Times New Roman;serif"/>
          <w:b w:val="false"/>
          <w:color w:val="000000"/>
          <w:sz w:val="16"/>
        </w:rPr>
        <w:t>rd</w:t>
      </w:r>
      <w:r>
        <w:rPr>
          <w:rFonts w:ascii="Times New Roman;serif" w:hAnsi="Times New Roman;serif"/>
          <w:b w:val="false"/>
          <w:color w:val="000000"/>
          <w:sz w:val="24"/>
        </w:rPr>
        <w:t>) month following the close of the Company's fiscal year in which the annual bonus is earned or (ii) March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of the calendar year following the calendar year in which the annual bonus is earned (in either case, the “</w:t>
      </w:r>
      <w:r>
        <w:rPr>
          <w:rFonts w:ascii="Times New Roman;serif" w:hAnsi="Times New Roman;serif"/>
          <w:b w:val="false"/>
          <w:color w:val="000000"/>
          <w:sz w:val="24"/>
          <w:u w:val="single"/>
        </w:rPr>
        <w:t>Bonus Payment Date</w:t>
      </w:r>
      <w:r>
        <w:rPr>
          <w:color w:val="000000"/>
        </w:rPr>
        <w:t>”</w:t>
      </w:r>
      <w:r>
        <w:rPr>
          <w:rFonts w:ascii="Times New Roman;serif" w:hAnsi="Times New Roman;serif"/>
          <w:b w:val="false"/>
          <w:color w:val="000000"/>
          <w:sz w:val="24"/>
        </w:rPr>
        <w:t>).</w:t>
      </w:r>
    </w:p>
    <w:p>
      <w:pPr>
        <w:pStyle w:val="TextBody"/>
        <w:bidi w:val="0"/>
        <w:spacing w:before="48" w:after="283"/>
        <w:jc w:val="left"/>
        <w:rPr/>
      </w:pPr>
      <w:r>
        <w:rPr/>
      </w:r>
    </w:p>
    <w:p>
      <w:pPr>
        <w:pStyle w:val="TextBody"/>
        <w:bidi w:val="0"/>
        <w:spacing w:lineRule="auto" w:line="288" w:before="48" w:after="283"/>
        <w:ind w:left="0" w:right="0" w:firstLine="48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Equity-Based Compensation</w:t>
      </w:r>
      <w:r>
        <w:rPr>
          <w:rFonts w:ascii="Times New Roman;serif" w:hAnsi="Times New Roman;serif"/>
          <w:b w:val="false"/>
          <w:color w:val="000000"/>
          <w:sz w:val="24"/>
        </w:rPr>
        <w:t xml:space="preserve">. During the Term and beginning following the Promotion Date, Executive shall be eligible for annual grants of equity or other long-term incentive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67665"/>
                <wp:effectExtent l="0" t="0" r="0" b="0"/>
                <wp:wrapNone/>
                <wp:docPr id="8" name="Frame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 w:after="283"/>
        <w:jc w:val="both"/>
        <w:rPr>
          <w:rFonts w:ascii="Times New Roman;serif" w:hAnsi="Times New Roman;serif"/>
          <w:b w:val="false"/>
          <w:color w:val="000000"/>
          <w:sz w:val="24"/>
        </w:rPr>
      </w:pPr>
      <w:r>
        <w:rPr>
          <w:rFonts w:ascii="Times New Roman;serif" w:hAnsi="Times New Roman;serif"/>
          <w:b w:val="false"/>
          <w:color w:val="000000"/>
          <w:sz w:val="24"/>
        </w:rPr>
        <w:t>awards, taking into account performance and other factors as determined by the Compensation Committee in its sole discretion, with a target of $3,800,000.</w:t>
      </w:r>
    </w:p>
    <w:p>
      <w:pPr>
        <w:pStyle w:val="TextBody"/>
        <w:bidi w:val="0"/>
        <w:spacing w:before="48" w:after="283"/>
        <w:jc w:val="both"/>
        <w:rPr/>
      </w:pPr>
      <w:r>
        <w:rPr/>
      </w:r>
    </w:p>
    <w:p>
      <w:pPr>
        <w:pStyle w:val="TextBody"/>
        <w:bidi w:val="0"/>
        <w:spacing w:lineRule="auto" w:line="288" w:before="48" w:after="283"/>
        <w:ind w:left="0" w:right="0" w:firstLine="475"/>
        <w:jc w:val="both"/>
        <w:rPr>
          <w:rFonts w:ascii="Times New Roman;serif" w:hAnsi="Times New Roman;serif"/>
          <w:b w:val="false"/>
          <w:color w:val="000000"/>
          <w:sz w:val="24"/>
        </w:rPr>
      </w:pPr>
      <w:r>
        <w:rPr>
          <w:rFonts w:ascii="Times New Roman;serif" w:hAnsi="Times New Roman;serif"/>
          <w:b w:val="false"/>
          <w:color w:val="000000"/>
          <w:sz w:val="24"/>
        </w:rPr>
        <w:t>(d)    The annual grant of equity will be issued in the form of (i) 40% restricted shares and (ii) 60% performance share units as defined under the Company’s 2019 Equity and Incentive Compensation Plan. The normal and customary equity grant cycle is in February. In addition to the annual grant of equity, the Company shall grant Executive a one-time equity award of $2,300,000.00 in the same form (40% restricted shares and 60% performance share units) as Executive’s annual grant. This award will be issued as soon as practicable following the Commencement Date and vest ratably over three (3) years. At all times, Executive shall be subject to the Company's current stock ownership guidelines.</w:t>
      </w:r>
    </w:p>
    <w:p>
      <w:pPr>
        <w:pStyle w:val="TextBody"/>
        <w:bidi w:val="0"/>
        <w:spacing w:before="0" w:after="0"/>
        <w:jc w:val="both"/>
        <w:rPr/>
      </w:pPr>
      <w:r>
        <w:rPr/>
      </w:r>
    </w:p>
    <w:p>
      <w:pPr>
        <w:pStyle w:val="TextBody"/>
        <w:bidi w:val="0"/>
        <w:spacing w:lineRule="auto" w:line="288" w:before="0" w:after="0"/>
        <w:ind w:left="0" w:right="0" w:firstLine="48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Vacation</w:t>
      </w:r>
      <w:r>
        <w:rPr>
          <w:rFonts w:ascii="Times New Roman;serif" w:hAnsi="Times New Roman;serif"/>
          <w:b w:val="false"/>
          <w:color w:val="000000"/>
          <w:sz w:val="24"/>
        </w:rPr>
        <w:t>. Executive shall be entitled to no less than four (4) weeks of vacation per year.</w:t>
      </w:r>
    </w:p>
    <w:p>
      <w:pPr>
        <w:pStyle w:val="TextBody"/>
        <w:bidi w:val="0"/>
        <w:spacing w:before="0" w:after="0"/>
        <w:jc w:val="both"/>
        <w:rPr/>
      </w:pPr>
      <w:r>
        <w:rPr/>
      </w:r>
    </w:p>
    <w:p>
      <w:pPr>
        <w:pStyle w:val="TextBody"/>
        <w:bidi w:val="0"/>
        <w:spacing w:lineRule="auto" w:line="288" w:before="1" w:after="283"/>
        <w:ind w:left="0" w:right="0" w:firstLine="48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Expenses</w:t>
      </w:r>
      <w:r>
        <w:rPr>
          <w:rFonts w:ascii="Times New Roman;serif" w:hAnsi="Times New Roman;serif"/>
          <w:b w:val="false"/>
          <w:color w:val="000000"/>
          <w:sz w:val="24"/>
        </w:rPr>
        <w:t>. During the Term, Executive shall be entitled to be reimbursed in accordance with the policies of the Company, as adopted and amended from time to time, for all reasonable and necessary expenses incurred by Executive in connection with the performance of Executive's duties of employment hereunder. However, Executive shall upon request and as a condition of such reimbursement, submit verification of the nature and amount of such expenses in accordance with the reimbursement policies adopted by the Company or as required for tax purposes.</w:t>
      </w:r>
    </w:p>
    <w:p>
      <w:pPr>
        <w:pStyle w:val="TextBody"/>
        <w:bidi w:val="0"/>
        <w:spacing w:before="0" w:after="0"/>
        <w:jc w:val="both"/>
        <w:rPr/>
      </w:pPr>
      <w:r>
        <w:rPr/>
      </w:r>
    </w:p>
    <w:p>
      <w:pPr>
        <w:pStyle w:val="TextBody"/>
        <w:bidi w:val="0"/>
        <w:spacing w:lineRule="auto" w:line="288" w:before="0" w:after="0"/>
        <w:ind w:left="0" w:right="0" w:firstLine="48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Benefits</w:t>
      </w:r>
      <w:r>
        <w:rPr>
          <w:rFonts w:ascii="Times New Roman;serif" w:hAnsi="Times New Roman;serif"/>
          <w:b w:val="false"/>
          <w:color w:val="000000"/>
          <w:sz w:val="24"/>
        </w:rPr>
        <w:t>. In addition to the benefits payable to Executive specifically described herein, during the Term Executive shall be entitled to such benefits as generally may be made available to Executives of the Company from time to time.</w:t>
      </w:r>
    </w:p>
    <w:p>
      <w:pPr>
        <w:pStyle w:val="TextBody"/>
        <w:bidi w:val="0"/>
        <w:spacing w:before="0" w:after="0"/>
        <w:jc w:val="both"/>
        <w:rPr/>
      </w:pPr>
      <w:r>
        <w:rPr/>
      </w:r>
    </w:p>
    <w:p>
      <w:pPr>
        <w:pStyle w:val="TextBody"/>
        <w:bidi w:val="0"/>
        <w:spacing w:lineRule="auto" w:line="288" w:before="32" w:after="283"/>
        <w:ind w:left="0" w:right="0" w:firstLine="48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Automobiles</w:t>
      </w:r>
      <w:r>
        <w:rPr>
          <w:rFonts w:ascii="Times New Roman;serif" w:hAnsi="Times New Roman;serif"/>
          <w:b w:val="false"/>
          <w:color w:val="000000"/>
          <w:sz w:val="24"/>
        </w:rPr>
        <w:t>. During the Term, Executive shall be entitled to the use of one demonstrator automobile. Additionally, Executive shall be entitled to an $800/month car allowance for purchase and/or leasing of a vehicle of Executive's choosing.</w:t>
      </w:r>
    </w:p>
    <w:p>
      <w:pPr>
        <w:pStyle w:val="TextBody"/>
        <w:bidi w:val="0"/>
        <w:spacing w:before="4" w:after="283"/>
        <w:jc w:val="left"/>
        <w:rPr/>
      </w:pPr>
      <w:r>
        <w:rPr/>
      </w:r>
    </w:p>
    <w:p>
      <w:pPr>
        <w:pStyle w:val="TextBody"/>
        <w:bidi w:val="0"/>
        <w:spacing w:lineRule="auto" w:line="288" w:before="1" w:after="283"/>
        <w:ind w:left="0" w:right="0" w:hanging="239"/>
        <w:jc w:val="left"/>
        <w:rPr/>
      </w:pPr>
      <w:r>
        <w:rPr>
          <w:rFonts w:ascii="Times New Roman;serif" w:hAnsi="Times New Roman;serif"/>
          <w:b/>
          <w:color w:val="000000"/>
          <w:sz w:val="24"/>
        </w:rPr>
        <w:t>4.    </w:t>
      </w:r>
      <w:r>
        <w:rPr>
          <w:rFonts w:ascii="Times New Roman;serif" w:hAnsi="Times New Roman;serif"/>
          <w:b/>
          <w:color w:val="000000"/>
          <w:sz w:val="24"/>
          <w:u w:val="single"/>
        </w:rPr>
        <w:t>Term, Termination and Termination Payments.</w:t>
      </w:r>
    </w:p>
    <w:p>
      <w:pPr>
        <w:pStyle w:val="TextBody"/>
        <w:bidi w:val="0"/>
        <w:spacing w:before="50" w:after="283"/>
        <w:jc w:val="left"/>
        <w:rPr/>
      </w:pPr>
      <w:r>
        <w:rPr/>
      </w:r>
    </w:p>
    <w:p>
      <w:pPr>
        <w:pStyle w:val="TextBody"/>
        <w:bidi w:val="0"/>
        <w:spacing w:lineRule="auto" w:line="288" w:before="0" w:after="0"/>
        <w:ind w:left="0" w:right="0" w:firstLine="48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Term</w:t>
      </w:r>
      <w:r>
        <w:rPr>
          <w:rFonts w:ascii="Times New Roman;serif" w:hAnsi="Times New Roman;serif"/>
          <w:b w:val="false"/>
          <w:color w:val="000000"/>
          <w:sz w:val="24"/>
        </w:rPr>
        <w:t>. The term of this Agreement shall commence as of the Promotion Date and shall expire on May 4, 2027 (the “</w:t>
      </w:r>
      <w:r>
        <w:rPr>
          <w:rFonts w:ascii="Times New Roman;serif" w:hAnsi="Times New Roman;serif"/>
          <w:b w:val="false"/>
          <w:color w:val="000000"/>
          <w:sz w:val="24"/>
          <w:u w:val="single"/>
        </w:rPr>
        <w:t>Initial Term</w:t>
      </w:r>
      <w:r>
        <w:rPr>
          <w:color w:val="000000"/>
        </w:rPr>
        <w:t>”</w:t>
      </w:r>
      <w:r>
        <w:rPr>
          <w:rFonts w:ascii="Times New Roman;serif" w:hAnsi="Times New Roman;serif"/>
          <w:b w:val="false"/>
          <w:color w:val="000000"/>
          <w:sz w:val="24"/>
        </w:rPr>
        <w:t>), with automatic extensions for successive additional one-year terms (each, a “</w:t>
      </w:r>
      <w:r>
        <w:rPr>
          <w:rFonts w:ascii="Times New Roman;serif" w:hAnsi="Times New Roman;serif"/>
          <w:b w:val="false"/>
          <w:color w:val="000000"/>
          <w:sz w:val="24"/>
          <w:u w:val="single"/>
        </w:rPr>
        <w:t>Renewal Term</w:t>
      </w:r>
      <w:r>
        <w:rPr>
          <w:color w:val="000000"/>
        </w:rPr>
        <w:t>”</w:t>
      </w:r>
      <w:r>
        <w:rPr>
          <w:rFonts w:ascii="Times New Roman;serif" w:hAnsi="Times New Roman;serif"/>
          <w:b w:val="false"/>
          <w:color w:val="000000"/>
          <w:sz w:val="24"/>
        </w:rPr>
        <w:t>), as provided herein, unless sooner terminated as provided in Section 4(b) (collectively, the Initial Term and any Renewal Term(s), the “</w:t>
      </w:r>
      <w:r>
        <w:rPr>
          <w:rFonts w:ascii="Times New Roman;serif" w:hAnsi="Times New Roman;serif"/>
          <w:b w:val="false"/>
          <w:color w:val="000000"/>
          <w:sz w:val="24"/>
          <w:u w:val="single"/>
        </w:rPr>
        <w:t>Term</w:t>
      </w:r>
      <w:r>
        <w:rPr>
          <w:color w:val="000000"/>
        </w:rPr>
        <w:t>”</w:t>
      </w:r>
      <w:r>
        <w:rPr>
          <w:rFonts w:ascii="Times New Roman;serif" w:hAnsi="Times New Roman;serif"/>
          <w:b w:val="false"/>
          <w:color w:val="000000"/>
          <w:sz w:val="24"/>
        </w:rPr>
        <w:t>). This Agreement shall be extended for an additional one (1)-year period unless either party gives prior written notice of termination at least one-hundred and eighty (180) days before the end of the Initial Term or any Renewal Term. In the event prior written notice of termination is given, this Agreement shall terminate at the end of the remaining Term then in effect.</w:t>
      </w:r>
    </w:p>
    <w:p>
      <w:pPr>
        <w:pStyle w:val="TextBody"/>
        <w:bidi w:val="0"/>
        <w:spacing w:before="0" w:after="0"/>
        <w:jc w:val="left"/>
        <w:rPr/>
      </w:pPr>
      <w:r>
        <w:rPr/>
      </w:r>
    </w:p>
    <w:p>
      <w:pPr>
        <w:pStyle w:val="TextBody"/>
        <w:bidi w:val="0"/>
        <w:spacing w:lineRule="auto" w:line="288"/>
        <w:ind w:left="0" w:right="0" w:firstLine="48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Termination</w:t>
      </w:r>
      <w:r>
        <w:rPr>
          <w:rFonts w:ascii="Times New Roman;serif" w:hAnsi="Times New Roman;serif"/>
          <w:b w:val="false"/>
          <w:color w:val="000000"/>
          <w:sz w:val="24"/>
        </w:rPr>
        <w:t xml:space="preserve">. This Agreement and Executive's employment by the Company hereunder may only be terminated before expiration of the Initial Term or prior to the end of any Renewal Term (i) by mutual agreement of Executive and the Company; (ii) by Executive with Good Reason upon not less than thirty (30) days' written prior notice to the Company by Executive;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67665"/>
                <wp:effectExtent l="0" t="0" r="0" b="0"/>
                <wp:wrapNone/>
                <wp:docPr id="9" name="Frame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(iii) by Executive without Good Reason upon not less than thirty (30) days' written prior notice to the Company by Executive after expiration of the sixty (60) day cure period referenced in the definition of “Good Reason” included at Paragraph 1(j) of this Agreement, (iv) by the Company without Cause immediately upon written prior notice to Executive; (v) by the Company for Cause immediately upon written notice to Executive, or (vi) by the Company or Executive immediately due to the Disability of Executive. This Agreement shall also terminate immediately upon the death of Executive. Notice of termination by either the Company or Executive shall be given in writing. Effective immediately upon the termination of Executive's employment with the Company, Executive shall cease to be an officer and/or a director of the Company and/or all of its Affiliates.</w:t>
      </w:r>
    </w:p>
    <w:p>
      <w:pPr>
        <w:pStyle w:val="TextBody"/>
        <w:bidi w:val="0"/>
        <w:spacing w:before="0" w:after="0"/>
        <w:jc w:val="both"/>
        <w:rPr/>
      </w:pPr>
      <w:r>
        <w:rPr/>
      </w:r>
    </w:p>
    <w:p>
      <w:pPr>
        <w:pStyle w:val="TextBody"/>
        <w:bidi w:val="0"/>
        <w:spacing w:lineRule="auto" w:line="288" w:before="1" w:after="283"/>
        <w:ind w:left="0" w:right="0" w:firstLine="48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Severance (Expiration of Agreement)</w:t>
      </w:r>
      <w:r>
        <w:rPr>
          <w:rFonts w:ascii="Times New Roman;serif" w:hAnsi="Times New Roman;serif"/>
          <w:b w:val="false"/>
          <w:color w:val="000000"/>
          <w:sz w:val="24"/>
        </w:rPr>
        <w:t>. In the event that during the Term the Company elects by written notice not to extend the Term and Executive will not have attained age 65 at the expiration of the then current Term, subject to Sections 4(f) and (g) below, Executive shall be entitled to: (1) 100% of Base Salary, plus 100% of Target Annual Bonus, payable monthly in equal installments during the period commencing on the date of Executive's termination of employment and ending on the 12-month anniversary thereof (the “</w:t>
      </w:r>
      <w:r>
        <w:rPr>
          <w:rFonts w:ascii="Times New Roman;serif" w:hAnsi="Times New Roman;serif"/>
          <w:b w:val="false"/>
          <w:color w:val="000000"/>
          <w:sz w:val="24"/>
          <w:u w:val="single"/>
        </w:rPr>
        <w:t>12-Month Period</w:t>
      </w:r>
      <w:r>
        <w:rPr>
          <w:color w:val="000000"/>
        </w:rPr>
        <w:t>”</w:t>
      </w:r>
      <w:r>
        <w:rPr>
          <w:rFonts w:ascii="Times New Roman;serif" w:hAnsi="Times New Roman;serif"/>
          <w:b w:val="false"/>
          <w:color w:val="000000"/>
          <w:sz w:val="24"/>
        </w:rPr>
        <w:t xml:space="preserve">); (2) a Pro-Rated Target Annual Bonus, which Pro-Rated Target Annual Bonus will be based on actual performance of the Company for the year in which the Executive's termination of employment occurs, calculated according to the formula determined by the Board of Directors in its sole discretion, and payable when other Company bonuses are paid for such year, but in no event later than the Bonus Payment Date; and (3) continued participation during the 12-Month Period in health, dental, disability, and life insurance plans at the same level of coverage and Executive contribution as was in effect immediately prior to Executive's termination of employment; </w:t>
      </w:r>
      <w:r>
        <w:rPr>
          <w:rFonts w:ascii="Times New Roman;serif" w:hAnsi="Times New Roman;serif"/>
          <w:b w:val="false"/>
          <w:i/>
          <w:color w:val="000000"/>
          <w:sz w:val="24"/>
        </w:rPr>
        <w:t>provided, however</w:t>
      </w:r>
      <w:r>
        <w:rPr>
          <w:rFonts w:ascii="Times New Roman;serif" w:hAnsi="Times New Roman;serif"/>
          <w:b w:val="false"/>
          <w:color w:val="000000"/>
          <w:sz w:val="24"/>
        </w:rPr>
        <w:t>, that if (A) any plan pursuant to which such health and dental benefits are provided is not, or ceases prior to the expiration of the 12-Month Period to be, exempt from the application of Section 409A (as defined below) under Treasury Regulation Section 1.409A-1(a)(5), (B) the Company cannot provide the health, dental, disability and/or life insurance benefits without violating applicable law (including, without limitation, Section 2716 of the Public Health Service Act), or (C) the Company is otherwise unable under applicable law to continue to cover Executive or Executive's dependents under its group health, dental, disability and/or life insurance plans without violating a prohibition on such coverage or incurring penalties and/or additional taxes as a result of such coverage, then, in any such case, an amount equal to each remaining premium payment shall thereafter be paid to the Executive as currently taxable compensation in substantially equal monthly installments over the 12-Month Period (or the remaining portion thereof). Additionally, all equity and long-term incentive awards not vested as of the effective end date of the Agreement, but due to vest in the first 364 days following the effective end date of the Agreement, will become 100% vested on the effective end date of the Agreement. The payment of severance shall be conditioned upon Executive's signing (and not revoking within the revocation period, if any, provided pursuant to the applicable release agreement) of a general release in favor of the Company. Nothing contained herein shall limit or impinge any other rights or remedies of the Company or Executive under any other agreement or plan to which Executive is a party or of which Executive is a beneficiary.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67665"/>
                <wp:effectExtent l="0" t="0" r="0" b="0"/>
                <wp:wrapNone/>
                <wp:docPr id="10" name="Frame1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48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Severance (No Change In Control)</w:t>
      </w:r>
      <w:r>
        <w:rPr>
          <w:rFonts w:ascii="Times New Roman;serif" w:hAnsi="Times New Roman;serif"/>
          <w:b w:val="false"/>
          <w:color w:val="000000"/>
          <w:sz w:val="24"/>
        </w:rPr>
        <w:t xml:space="preserve">. Upon termination of this Agreement by the Company without Cause or by the Executive for Good Reason when no Change In Control has occurred, subject to Sections 4(f) and (g) below, Executive shall be entitled to: (1) 100% of Base Salary, plus 100% of Target Annual Bonus, payable monthly in equal installments during the 12-Month Period; (2) a Pro-Rated Target Annual Bonus, which Pro-Rated Target Annual Bonus will be based on actual performance for the year in which the Executive's termination of employment occurs, calculated according to the formula determined by the Board of Directors in its sole discretion, and payable when other Company bonuses are paid for such year, but in no event later than the Bonus Payment Date; and (3) continued participation during the 12-Month Period in health, dental, disability, and life insurance plans at the same level of coverage and Executive contribution as was in effect immediately prior to Executive's termination of employment; </w:t>
      </w:r>
      <w:r>
        <w:rPr>
          <w:rFonts w:ascii="Times New Roman;serif" w:hAnsi="Times New Roman;serif"/>
          <w:b w:val="false"/>
          <w:i/>
          <w:color w:val="000000"/>
          <w:sz w:val="24"/>
        </w:rPr>
        <w:t>provided, however</w:t>
      </w:r>
      <w:r>
        <w:rPr>
          <w:rFonts w:ascii="Times New Roman;serif" w:hAnsi="Times New Roman;serif"/>
          <w:b w:val="false"/>
          <w:color w:val="000000"/>
          <w:sz w:val="24"/>
        </w:rPr>
        <w:t>, that if (A) any plan pursuant to which such health and dental benefits are provided is not, or ceases prior to the expiration of the 12-Month Period to be, exempt from the application of Section 409A (as defined below) under Treasury Regulation Section 1.409A-1(a)(5), (B) the Company cannot provide the health, dental, disability and/or life insurance benefits without violating applicable law (including, without limitation, Section 2716 of the Public Health Service Act), or (C) the Company is otherwise unable under applicable law to continue to cover Executive or Executive's dependents under its group health, dental, disability and/or life insurance plans without violating a prohibition on such coverage or incurring penalties and/or additional taxes as a result of such coverage, then, in any such case, an amount equal to each remaining premium payment shall thereafter be paid to the Executive as currently taxable compensation in substantially equal monthly installments over the 12-Month Period (or the remaining portion thereof). Additionally, if Executive is terminated other than for Cause or if Executive terminates for Good Reason, all equity and long-term incentive awards not vested as of the effective termination date, but due to vest in the first 364 days following the effective termination date, will become 100% vested on the effective termination date. The payment of severance shall be conditioned upon Executive's signing (and not revoking within the revocation period, if any, provided pursuant to the applicable release agreement) of a general release in favor of the Company. Nothing contained herein shall limit or impinge any other rights or remedies of the Company or Executive under any other agreement or plan to which Executive is a party or of which Executive is a beneficiary.</w:t>
      </w:r>
    </w:p>
    <w:p>
      <w:pPr>
        <w:pStyle w:val="TextBody"/>
        <w:bidi w:val="0"/>
        <w:spacing w:before="0" w:after="0"/>
        <w:jc w:val="both"/>
        <w:rPr/>
      </w:pPr>
      <w:r>
        <w:rPr/>
      </w:r>
    </w:p>
    <w:p>
      <w:pPr>
        <w:pStyle w:val="TextBody"/>
        <w:bidi w:val="0"/>
        <w:spacing w:lineRule="auto" w:line="288"/>
        <w:ind w:left="0" w:right="0" w:firstLine="48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Severance (Change in Control)</w:t>
      </w:r>
      <w:r>
        <w:rPr>
          <w:rFonts w:ascii="Times New Roman;serif" w:hAnsi="Times New Roman;serif"/>
          <w:b w:val="false"/>
          <w:color w:val="000000"/>
          <w:sz w:val="24"/>
        </w:rPr>
        <w:t>. If within 2 years following a Change in Control (as defined herein), Executive is terminated without Cause or resigns for Good Reason, subject to Sections 4(f) and (g) below, Executive shall be entitled to: (1) 200% of Base Salary, plus 200% of Target Annual Bonus, payable in a single lump sum; (2) a pro-rated bonus based on Target Annual Bonus for the year in which the Executive's termination of employment occurs, payable in a single lump sum when other Company bonuses are paid for such year, but in no event later than the Bonus Payment Date; and (3) continued participation for the period commencing on the date of Executive's termination of employment and ending on the 24-month anniversary thereof (the “</w:t>
      </w:r>
      <w:r>
        <w:rPr>
          <w:rFonts w:ascii="Times New Roman;serif" w:hAnsi="Times New Roman;serif"/>
          <w:b w:val="false"/>
          <w:color w:val="000000"/>
          <w:sz w:val="24"/>
          <w:u w:val="single"/>
        </w:rPr>
        <w:t>24-Month Period</w:t>
      </w:r>
      <w:r>
        <w:rPr>
          <w:color w:val="000000"/>
        </w:rPr>
        <w:t>”</w:t>
      </w:r>
      <w:r>
        <w:rPr>
          <w:rFonts w:ascii="Times New Roman;serif" w:hAnsi="Times New Roman;serif"/>
          <w:b w:val="false"/>
          <w:color w:val="000000"/>
          <w:sz w:val="24"/>
        </w:rPr>
        <w:t xml:space="preserve">) in health, dental, disability, and life insurance plans at the same level of coverage and Executive contribution as was in effect immediately prior to Executive's termination of employment; </w:t>
      </w:r>
      <w:r>
        <w:rPr>
          <w:rFonts w:ascii="Times New Roman;serif" w:hAnsi="Times New Roman;serif"/>
          <w:b w:val="false"/>
          <w:i/>
          <w:color w:val="000000"/>
          <w:sz w:val="24"/>
        </w:rPr>
        <w:t xml:space="preserve">provided, however, </w:t>
      </w:r>
      <w:r>
        <w:rPr>
          <w:rFonts w:ascii="Times New Roman;serif" w:hAnsi="Times New Roman;serif"/>
          <w:b w:val="false"/>
          <w:color w:val="000000"/>
          <w:sz w:val="24"/>
        </w:rPr>
        <w:t xml:space="preserve">that if (A) any plan pursuant to which such health and dental benefits are provided is not, or ceases prior to the expiration of the 24-Month Period to be, exempt from the application of Section 409A (as defined below) under Treasury Regulation Section 1.409A-1(a)(5), (B) the Company cannot provide the health, dental, disability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67665"/>
                <wp:effectExtent l="0" t="0" r="0" b="0"/>
                <wp:wrapNone/>
                <wp:docPr id="11" name="Frame1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and/or life insurance benefits without violating applicable law (including, without limitation, Section 2716 of the Public Health Service Act), or (C) the Company is otherwise unable under applicable law to continue to cover Executive or Executive's dependents under its group health, dental, disability and/or life insurance plans without violating a prohibition on such coverage or incurring penalties and/or additional taxes as a result of such coverage, then, in any such case, an amount equal to each remaining premium payment shall thereafter be paid to the Executive as currently taxable compensation in substantially equal monthly installments over the 24-Month Period (or the remaining portion thereof). Additionally, all equity and long-term incentive awards granted to Executive that have not vested will vest in accordance with the applicable provisions of the applicable incentive plan(s) and award agreement(s). The payment of severance shall be conditioned upon Executive's signing (and not revoking within the revocation period, if any, provided pursuant to the applicable release agreement) of a general release in favor of the Company. Nothing contained herein shall limit or impinge any other rights or remedies of the Company or Executive under any other agreement or plan to which Executive is a party or of which Executive is a beneficiary.</w:t>
      </w:r>
    </w:p>
    <w:p>
      <w:pPr>
        <w:pStyle w:val="TextBody"/>
        <w:bidi w:val="0"/>
        <w:spacing w:lineRule="auto" w:line="288" w:before="230" w:after="283"/>
        <w:ind w:left="0" w:right="0" w:firstLine="48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Payment Timing; Separation from Service</w:t>
      </w:r>
      <w:r>
        <w:rPr>
          <w:rFonts w:ascii="Times New Roman;serif" w:hAnsi="Times New Roman;serif"/>
          <w:b w:val="false"/>
          <w:color w:val="000000"/>
          <w:sz w:val="24"/>
        </w:rPr>
        <w:t>. Notwithstanding anything to the contrary in this Agreement, (i) the payments under Sections 4(c), (d) or (e) shall be made or commence, as applicable, on the Company's first regular payroll date occurring on or after the thirtieth (30</w:t>
      </w:r>
      <w:r>
        <w:rPr>
          <w:rFonts w:ascii="Times New Roman;serif" w:hAnsi="Times New Roman;serif"/>
          <w:b w:val="false"/>
          <w:color w:val="000000"/>
          <w:sz w:val="10"/>
        </w:rPr>
        <w:t>th</w:t>
      </w:r>
      <w:r>
        <w:rPr>
          <w:rFonts w:ascii="Times New Roman;serif" w:hAnsi="Times New Roman;serif"/>
          <w:b w:val="false"/>
          <w:color w:val="000000"/>
          <w:sz w:val="24"/>
        </w:rPr>
        <w:t>) day following the Executive's Separation from Service (as defined below) (such payroll date, the “</w:t>
      </w:r>
      <w:r>
        <w:rPr>
          <w:rFonts w:ascii="Times New Roman;serif" w:hAnsi="Times New Roman;serif"/>
          <w:b w:val="false"/>
          <w:color w:val="000000"/>
          <w:sz w:val="24"/>
          <w:u w:val="single"/>
        </w:rPr>
        <w:t>First Payroll Date</w:t>
      </w:r>
      <w:r>
        <w:rPr>
          <w:color w:val="000000"/>
        </w:rPr>
        <w:t xml:space="preserve">” </w:t>
      </w:r>
      <w:r>
        <w:rPr>
          <w:rFonts w:ascii="Times New Roman;serif" w:hAnsi="Times New Roman;serif"/>
          <w:b w:val="false"/>
          <w:color w:val="000000"/>
          <w:sz w:val="24"/>
        </w:rPr>
        <w:t>) (with amounts otherwise payable prior to the First Payroll Date paid on the First Payroll Date without interest thereon), and (ii) the payments and benefits provided for in Sections 4(c), (d) and (e) shall only be payable to Executive if and to the extent that Executive's termination of employment constitutes a “separation from service” from the Company within the meaning of Section 409A (as defined below) (a “</w:t>
      </w:r>
      <w:r>
        <w:rPr>
          <w:rFonts w:ascii="Times New Roman;serif" w:hAnsi="Times New Roman;serif"/>
          <w:b w:val="false"/>
          <w:color w:val="000000"/>
          <w:sz w:val="24"/>
          <w:u w:val="single"/>
        </w:rPr>
        <w:t>Separation from Service</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ind w:left="0" w:right="0" w:firstLine="48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Six-Month Delay</w:t>
      </w:r>
      <w:r>
        <w:rPr>
          <w:rFonts w:ascii="Times New Roman;serif" w:hAnsi="Times New Roman;serif"/>
          <w:b w:val="false"/>
          <w:color w:val="000000"/>
          <w:sz w:val="24"/>
        </w:rPr>
        <w:t>. Notwithstanding anything to the contrary in this Agreement, to the extent required to comply with Section 409A (as defined below), no compensation or benefits, including without limitation any amounts payable under Sections 4(c), (d) and (e) hereof, shall be paid to Executive during the six (6)-month period following Executive's Separation from Service if the Company determines that paying such amounts at the time or times indicated in this Agreement would be a prohibited distribution under Section 409A(a)(2)(B)(i)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If the payment of any such amounts is delayed as a result of the previous sentence, then on the first business day following the end of such six (6)-month period (or such earlier date upon which such amount can be paid under Section 409A without resulting in a prohibited distribution, including as a result of the Executive's death), the Company shall pay the Executive a lump-sum amount equal to the cumulative amount that would have otherwise been payable to the Executive during such period.</w:t>
      </w:r>
    </w:p>
    <w:p>
      <w:pPr>
        <w:pStyle w:val="TextBody"/>
        <w:bidi w:val="0"/>
        <w:spacing w:before="1" w:after="283"/>
        <w:jc w:val="both"/>
        <w:rPr/>
      </w:pPr>
      <w:r>
        <w:rPr/>
      </w:r>
    </w:p>
    <w:p>
      <w:pPr>
        <w:pStyle w:val="TextBody"/>
        <w:bidi w:val="0"/>
        <w:spacing w:lineRule="auto" w:line="288" w:before="0" w:after="0"/>
        <w:ind w:left="0" w:right="0" w:firstLine="480"/>
        <w:jc w:val="both"/>
        <w:rPr>
          <w:rFonts w:ascii="Times New Roman;serif" w:hAnsi="Times New Roman;serif"/>
          <w:b w:val="false"/>
          <w:color w:val="000000"/>
          <w:sz w:val="24"/>
        </w:rPr>
      </w:pPr>
      <w:r>
        <w:rPr>
          <w:rFonts w:ascii="Times New Roman;serif" w:hAnsi="Times New Roman;serif"/>
          <w:b w:val="false"/>
          <w:color w:val="000000"/>
          <w:sz w:val="24"/>
        </w:rPr>
        <w:t>(h)    With respect to any of the severance above, Executive shall not be required to mitigate such payments through other employment.</w:t>
      </w:r>
    </w:p>
    <w:p>
      <w:pPr>
        <w:pStyle w:val="TextBody"/>
        <w:bidi w:val="0"/>
        <w:spacing w:before="0" w:after="0"/>
        <w:jc w:val="both"/>
        <w:rPr/>
      </w:pPr>
      <w:r>
        <w:rPr/>
      </w:r>
    </w:p>
    <w:p>
      <w:pPr>
        <w:pStyle w:val="TextBody"/>
        <w:bidi w:val="0"/>
        <w:spacing w:lineRule="auto" w:line="288"/>
        <w:ind w:left="0" w:right="0" w:firstLine="480"/>
        <w:jc w:val="both"/>
        <w:rPr>
          <w:rFonts w:ascii="Times New Roman;serif" w:hAnsi="Times New Roman;serif"/>
          <w:b w:val="false"/>
          <w:color w:val="000000"/>
          <w:sz w:val="24"/>
        </w:rPr>
      </w:pPr>
      <w:r>
        <w:rPr>
          <w:rFonts w:ascii="Times New Roman;serif" w:hAnsi="Times New Roman;serif"/>
          <w:b w:val="false"/>
          <w:color w:val="000000"/>
          <w:sz w:val="24"/>
        </w:rPr>
        <w:t xml:space="preserve">(i)    With respect to any of the severance above, Executive understands and agrees that the payment of severance is conditioned upon Executive's compliance with the post-employment restrictive covenants in this Employment Agreement and that such severance payments will immediately cease if Executive violates such covenants. Further, as part of the general release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67665"/>
                <wp:effectExtent l="0" t="0" r="0" b="0"/>
                <wp:wrapNone/>
                <wp:docPr id="12" name="Frame1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that Executive must sign to receive any severance, Executive agrees that, if included as part of the release, he will re-confirm his commitment to the post-employment restrictive covenants in this Employment Agreement.</w:t>
      </w:r>
    </w:p>
    <w:p>
      <w:pPr>
        <w:pStyle w:val="TextBody"/>
        <w:bidi w:val="0"/>
        <w:spacing w:lineRule="auto" w:line="288" w:before="274" w:after="283"/>
        <w:ind w:left="0" w:right="0" w:firstLine="48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Retirement.</w:t>
      </w:r>
      <w:r>
        <w:rPr>
          <w:color w:val="000000"/>
        </w:rPr>
        <w:t xml:space="preserve"> </w:t>
      </w:r>
      <w:r>
        <w:rPr>
          <w:rFonts w:ascii="Times New Roman;serif" w:hAnsi="Times New Roman;serif"/>
          <w:b w:val="false"/>
          <w:color w:val="000000"/>
          <w:sz w:val="24"/>
        </w:rPr>
        <w:t>Executive shall have the right to retire at age 65. Upon retirement, all equity and long-term incentive awards not vested as of the effective retirement date will continue to become vested, and in the case of stock options and stock appreciation rights, exercisable, according to their terms, but without regard to the termination of Executive's employment with the Company on the retirement date.</w:t>
      </w:r>
    </w:p>
    <w:p>
      <w:pPr>
        <w:pStyle w:val="TextBody"/>
        <w:bidi w:val="0"/>
        <w:spacing w:before="0" w:after="0"/>
        <w:jc w:val="both"/>
        <w:rPr/>
      </w:pPr>
      <w:r>
        <w:rPr/>
      </w:r>
    </w:p>
    <w:p>
      <w:pPr>
        <w:pStyle w:val="TextBody"/>
        <w:bidi w:val="0"/>
        <w:spacing w:lineRule="auto" w:line="288" w:before="0" w:after="0"/>
        <w:ind w:left="0" w:right="0" w:firstLine="48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Parachute Payment Limitation</w:t>
      </w:r>
      <w:r>
        <w:rPr>
          <w:rFonts w:ascii="Times New Roman;serif" w:hAnsi="Times New Roman;serif"/>
          <w:b w:val="false"/>
          <w:color w:val="000000"/>
          <w:sz w:val="24"/>
        </w:rPr>
        <w:t>. Notwithstanding anything in this Agreement to the contrary, any severance payments will be reduced to the extent necessary to avoid Section 280G/4999 excise taxes if the net after-tax value of the payments that Executive would receive without the reduction is not more than 10% greater than the net after-tax value of the payments that Executive would receive following the reduction.</w:t>
      </w:r>
    </w:p>
    <w:p>
      <w:pPr>
        <w:pStyle w:val="TextBody"/>
        <w:bidi w:val="0"/>
        <w:spacing w:before="55" w:after="283"/>
        <w:jc w:val="both"/>
        <w:rPr/>
      </w:pPr>
      <w:r>
        <w:rPr/>
      </w:r>
    </w:p>
    <w:p>
      <w:pPr>
        <w:pStyle w:val="TextBody"/>
        <w:bidi w:val="0"/>
        <w:spacing w:lineRule="auto" w:line="288" w:before="0" w:after="0"/>
        <w:ind w:left="0" w:right="0" w:firstLine="480"/>
        <w:jc w:val="both"/>
        <w:rPr/>
      </w:pPr>
      <w:r>
        <w:rPr>
          <w:rFonts w:ascii="Times New Roman;serif" w:hAnsi="Times New Roman;serif"/>
          <w:b w:val="false"/>
          <w:color w:val="000000"/>
          <w:sz w:val="24"/>
        </w:rPr>
        <w:t>(l)    </w:t>
      </w:r>
      <w:r>
        <w:rPr>
          <w:rFonts w:ascii="Times New Roman;serif" w:hAnsi="Times New Roman;serif"/>
          <w:b w:val="false"/>
          <w:color w:val="000000"/>
          <w:sz w:val="24"/>
          <w:u w:val="single"/>
        </w:rPr>
        <w:t>Survival</w:t>
      </w:r>
      <w:r>
        <w:rPr>
          <w:rFonts w:ascii="Times New Roman;serif" w:hAnsi="Times New Roman;serif"/>
          <w:b w:val="false"/>
          <w:color w:val="000000"/>
          <w:sz w:val="24"/>
        </w:rPr>
        <w:t>. The covenants of Executive in Sections 5, 6, and 7 hereof shall survive the termination of this Agreement and the end of Executive's employment hereunder and shall not be extinguished thereby except as set forth below.</w:t>
      </w:r>
    </w:p>
    <w:p>
      <w:pPr>
        <w:pStyle w:val="TextBody"/>
        <w:bidi w:val="0"/>
        <w:spacing w:lineRule="auto" w:line="288" w:before="0" w:after="0"/>
        <w:ind w:left="0" w:right="0" w:firstLine="480"/>
        <w:jc w:val="both"/>
        <w:rPr/>
      </w:pPr>
      <w:r>
        <w:rPr>
          <w:rFonts w:ascii="Times New Roman;serif" w:hAnsi="Times New Roman;serif"/>
          <w:b w:val="false"/>
          <w:color w:val="000000"/>
          <w:sz w:val="24"/>
        </w:rPr>
        <w:t>(m)    </w:t>
      </w:r>
      <w:r>
        <w:rPr>
          <w:rFonts w:ascii="Times New Roman;serif" w:hAnsi="Times New Roman;serif"/>
          <w:b w:val="false"/>
          <w:color w:val="000000"/>
          <w:sz w:val="24"/>
          <w:u w:val="single"/>
        </w:rPr>
        <w:t>Exclusive Remedy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amounts payable in Paragraph 4 to Executive following termination of employment shall be in full and complete satisfaction of Executive’s rights under this Agreement and any other claims that Executive may have in respect of Executive’s employment with the Company or any of its subsidiary or affiliated entities, and Executive acknowledges that such amounts are fair and reasonable, and are Executive’s sole and exclusive remedy, in lieu of all other remedies at law or in equity, with respect to the termination of Executive’s employment hereunder or any breach of this Agreement.</w:t>
      </w:r>
    </w:p>
    <w:p>
      <w:pPr>
        <w:pStyle w:val="TextBody"/>
        <w:bidi w:val="0"/>
        <w:spacing w:lineRule="auto" w:line="288" w:before="235" w:after="283"/>
        <w:ind w:left="0" w:right="0" w:hanging="239"/>
        <w:jc w:val="left"/>
        <w:rPr/>
      </w:pPr>
      <w:r>
        <w:rPr>
          <w:rFonts w:ascii="Times New Roman;serif" w:hAnsi="Times New Roman;serif"/>
          <w:b/>
          <w:color w:val="000000"/>
          <w:sz w:val="24"/>
        </w:rPr>
        <w:t>5.    </w:t>
      </w:r>
      <w:r>
        <w:rPr>
          <w:rFonts w:ascii="Times New Roman;serif" w:hAnsi="Times New Roman;serif"/>
          <w:b/>
          <w:color w:val="000000"/>
          <w:sz w:val="24"/>
          <w:u w:val="single"/>
        </w:rPr>
        <w:t>Agreement Not to Compete.</w:t>
      </w:r>
    </w:p>
    <w:p>
      <w:pPr>
        <w:pStyle w:val="TextBody"/>
        <w:bidi w:val="0"/>
        <w:spacing w:before="51" w:after="283"/>
        <w:jc w:val="left"/>
        <w:rPr/>
      </w:pPr>
      <w:r>
        <w:rPr/>
      </w:r>
    </w:p>
    <w:p>
      <w:pPr>
        <w:pStyle w:val="TextBody"/>
        <w:bidi w:val="0"/>
        <w:spacing w:lineRule="auto" w:line="288" w:before="0" w:after="0"/>
        <w:ind w:left="0" w:right="0" w:firstLine="239"/>
        <w:jc w:val="both"/>
        <w:rPr>
          <w:rFonts w:ascii="Times New Roman;serif" w:hAnsi="Times New Roman;serif"/>
          <w:b w:val="false"/>
          <w:color w:val="000000"/>
          <w:sz w:val="24"/>
        </w:rPr>
      </w:pPr>
      <w:r>
        <w:rPr>
          <w:rFonts w:ascii="Times New Roman;serif" w:hAnsi="Times New Roman;serif"/>
          <w:b w:val="false"/>
          <w:color w:val="000000"/>
          <w:sz w:val="24"/>
        </w:rPr>
        <w:t>Executive agrees that commencing on the Promotion Date and continuing through the Applicable Period, he will not (except on behalf of or with the prior written consent of the Company, which consent may be withheld in the Company's sole discretion):</w:t>
      </w:r>
    </w:p>
    <w:p>
      <w:pPr>
        <w:pStyle w:val="TextBody"/>
        <w:bidi w:val="0"/>
        <w:spacing w:before="0" w:after="0"/>
        <w:jc w:val="both"/>
        <w:rPr/>
      </w:pPr>
      <w:r>
        <w:rPr/>
      </w:r>
    </w:p>
    <w:p>
      <w:pPr>
        <w:pStyle w:val="TextBody"/>
        <w:bidi w:val="0"/>
        <w:spacing w:lineRule="auto" w:line="288" w:before="0" w:after="0"/>
        <w:ind w:left="0" w:right="0" w:firstLine="361"/>
        <w:jc w:val="both"/>
        <w:rPr>
          <w:rFonts w:ascii="Times New Roman;serif" w:hAnsi="Times New Roman;serif"/>
          <w:b w:val="false"/>
          <w:color w:val="000000"/>
          <w:sz w:val="24"/>
        </w:rPr>
      </w:pPr>
      <w:r>
        <w:rPr>
          <w:rFonts w:ascii="Times New Roman;serif" w:hAnsi="Times New Roman;serif"/>
          <w:b w:val="false"/>
          <w:color w:val="000000"/>
          <w:sz w:val="24"/>
        </w:rPr>
        <w:t>(a)    provide services of a leadership, management, executive, operational, or advisory capacity and/or participate in the ownership of or provide financial backing to an automotive dealership that is located within the Area;</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(b)    provide senior/corporate level leadership, executive, operational, or advisory services to any corporate competitor of the Company who owns or operates one or more automotive dealerships within the Area; and</w:t>
      </w:r>
    </w:p>
    <w:p>
      <w:pPr>
        <w:pStyle w:val="TextBody"/>
        <w:bidi w:val="0"/>
        <w:spacing w:before="0" w:after="0"/>
        <w:jc w:val="both"/>
        <w:rPr/>
      </w:pPr>
      <w:r>
        <w:rPr/>
      </w:r>
    </w:p>
    <w:p>
      <w:pPr>
        <w:pStyle w:val="TextBody"/>
        <w:bidi w:val="0"/>
        <w:spacing w:lineRule="auto" w:line="288"/>
        <w:ind w:left="0" w:right="0" w:firstLine="361"/>
        <w:jc w:val="both"/>
        <w:rPr>
          <w:rFonts w:ascii="Times New Roman;serif" w:hAnsi="Times New Roman;serif"/>
          <w:b w:val="false"/>
          <w:color w:val="000000"/>
          <w:sz w:val="24"/>
        </w:rPr>
      </w:pPr>
      <w:r>
        <w:rPr>
          <w:rFonts w:ascii="Times New Roman;serif" w:hAnsi="Times New Roman;serif"/>
          <w:b w:val="false"/>
          <w:color w:val="000000"/>
          <w:sz w:val="24"/>
        </w:rPr>
        <w:t>(c)    provide services of a leadership, management, executive, operational, or advisory capacity for anyone or any business whose focus is buying, conglomerating, or otherwise acquiring one or more automotive dealerships that are located within the Area.</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67665"/>
                <wp:effectExtent l="0" t="0" r="0" b="0"/>
                <wp:wrapNone/>
                <wp:docPr id="13" name="Frame1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74" w:after="283"/>
        <w:ind w:left="0" w:right="0" w:firstLine="361"/>
        <w:jc w:val="both"/>
        <w:rPr>
          <w:rFonts w:ascii="Times New Roman;serif" w:hAnsi="Times New Roman;serif"/>
          <w:b w:val="false"/>
          <w:color w:val="000000"/>
          <w:sz w:val="24"/>
        </w:rPr>
      </w:pPr>
      <w:r>
        <w:rPr>
          <w:rFonts w:ascii="Times New Roman;serif" w:hAnsi="Times New Roman;serif"/>
          <w:b w:val="false"/>
          <w:color w:val="000000"/>
          <w:sz w:val="24"/>
        </w:rPr>
        <w:t>For purposes of this Section 5, Executive acknowledges and agrees that the Company conducts business in the Area and that the Area is a reasonable geographic limitation.</w:t>
      </w:r>
    </w:p>
    <w:p>
      <w:pPr>
        <w:pStyle w:val="TextBody"/>
        <w:bidi w:val="0"/>
        <w:spacing w:before="0" w:after="0"/>
        <w:jc w:val="both"/>
        <w:rPr/>
      </w:pPr>
      <w:r>
        <w:rPr/>
      </w:r>
    </w:p>
    <w:p>
      <w:pPr>
        <w:pStyle w:val="TextBody"/>
        <w:bidi w:val="0"/>
        <w:spacing w:lineRule="auto" w:line="288" w:before="0" w:after="0"/>
        <w:ind w:left="0" w:right="0" w:firstLine="361"/>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contained in this Agreement, the Company hereby agrees that the foregoing covenant shall not be deemed breached as a result of the passive ownership by Executive of: (i) less than an aggregate of 5% of any class of stock of a business that competes with the Company; or (ii) less than an aggregate of 10% in value of any instrument of indebtedness of a business that competes with the Company. The Company further agrees that nothing in this Section 5 prohibits Executive from accepting employment from, and performing services for, businesses engaged in the finance industry, and businesses engaged in the manufacturing and/or sale of automobile parts or the provision of automotive service, provided such businesses do not also engage in the retail sale of automobiles within the Area. By way of example, nothing in this Section 5 would prohibit Executive from working with such businesses as Capital One Auto Finance, Wells Fargo Auto, NAPA Auto Parts, or Goodyear.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Upon Executive's termination of employment with the Company Executive agrees to re-confirm his commitment to the post-employment restrictive covenants in this Agreement. Executive further agrees that, as part of that re-confirmation, the term “</w:t>
      </w:r>
      <w:r>
        <w:rPr>
          <w:rFonts w:ascii="Times New Roman;serif" w:hAnsi="Times New Roman;serif"/>
          <w:b w:val="false"/>
          <w:color w:val="000000"/>
          <w:sz w:val="24"/>
          <w:u w:val="single"/>
        </w:rPr>
        <w:t>Area</w:t>
      </w:r>
      <w:r>
        <w:rPr>
          <w:color w:val="000000"/>
        </w:rPr>
        <w:t xml:space="preserve">” </w:t>
      </w:r>
      <w:r>
        <w:rPr>
          <w:rFonts w:ascii="Times New Roman;serif" w:hAnsi="Times New Roman;serif"/>
          <w:b w:val="false"/>
          <w:color w:val="000000"/>
          <w:sz w:val="24"/>
        </w:rPr>
        <w:t>and Exhibit A hereto may be amended by the Company, but only to the extent necessary to list the addresses of the Company's headquarters and any automotive dealerships that the Company owns and/or operates as of the Termination Date.</w:t>
      </w:r>
    </w:p>
    <w:p>
      <w:pPr>
        <w:pStyle w:val="TextBody"/>
        <w:bidi w:val="0"/>
        <w:spacing w:before="0" w:after="0"/>
        <w:jc w:val="both"/>
        <w:rPr/>
      </w:pPr>
      <w:r>
        <w:rPr/>
      </w:r>
    </w:p>
    <w:p>
      <w:pPr>
        <w:pStyle w:val="TextBody"/>
        <w:bidi w:val="0"/>
        <w:spacing w:lineRule="auto" w:line="288" w:before="0" w:after="0"/>
        <w:ind w:left="0" w:right="0" w:hanging="239"/>
        <w:jc w:val="left"/>
        <w:rPr/>
      </w:pPr>
      <w:r>
        <w:rPr>
          <w:rFonts w:ascii="Times New Roman;serif" w:hAnsi="Times New Roman;serif"/>
          <w:b/>
          <w:color w:val="000000"/>
          <w:sz w:val="24"/>
        </w:rPr>
        <w:t>6.    </w:t>
      </w:r>
      <w:r>
        <w:rPr>
          <w:rFonts w:ascii="Times New Roman;serif" w:hAnsi="Times New Roman;serif"/>
          <w:b/>
          <w:color w:val="000000"/>
          <w:sz w:val="24"/>
          <w:u w:val="single"/>
        </w:rPr>
        <w:t>Agreement Not to Solicit/Hire Employees.</w:t>
      </w:r>
    </w:p>
    <w:p>
      <w:pPr>
        <w:pStyle w:val="TextBody"/>
        <w:bidi w:val="0"/>
        <w:spacing w:before="50" w:after="283"/>
        <w:jc w:val="left"/>
        <w:rPr/>
      </w:pPr>
      <w:r>
        <w:rPr/>
      </w:r>
    </w:p>
    <w:p>
      <w:pPr>
        <w:pStyle w:val="TextBody"/>
        <w:bidi w:val="0"/>
        <w:spacing w:lineRule="auto" w:line="288" w:before="0" w:after="0"/>
        <w:ind w:left="0" w:right="0" w:firstLine="274"/>
        <w:jc w:val="both"/>
        <w:rPr>
          <w:rFonts w:ascii="Times New Roman;serif" w:hAnsi="Times New Roman;serif"/>
          <w:b w:val="false"/>
          <w:color w:val="000000"/>
          <w:sz w:val="24"/>
        </w:rPr>
      </w:pPr>
      <w:r>
        <w:rPr>
          <w:rFonts w:ascii="Times New Roman;serif" w:hAnsi="Times New Roman;serif"/>
          <w:b w:val="false"/>
          <w:color w:val="000000"/>
          <w:sz w:val="24"/>
        </w:rPr>
        <w:t>Executive agrees that commencing on the Promotion Date, continuing through the Applicable Period, and for an additional one (1) year thereafter, he will not, directly or indirectly, solicit, recruit or hire any employee of the Company (or any person who was an employee of the Company during the 12-month period preceding Executive's date of termination) or encourage any such employee to terminate employment with the Company.</w:t>
      </w:r>
    </w:p>
    <w:p>
      <w:pPr>
        <w:pStyle w:val="TextBody"/>
        <w:bidi w:val="0"/>
        <w:spacing w:lineRule="auto" w:line="288" w:before="236" w:after="283"/>
        <w:ind w:left="0" w:right="0" w:hanging="239"/>
        <w:jc w:val="left"/>
        <w:rPr/>
      </w:pPr>
      <w:r>
        <w:rPr>
          <w:rFonts w:ascii="Times New Roman;serif" w:hAnsi="Times New Roman;serif"/>
          <w:b/>
          <w:color w:val="000000"/>
          <w:sz w:val="24"/>
        </w:rPr>
        <w:t>7.    </w:t>
      </w:r>
      <w:r>
        <w:rPr>
          <w:rFonts w:ascii="Times New Roman;serif" w:hAnsi="Times New Roman;serif"/>
          <w:b/>
          <w:color w:val="000000"/>
          <w:sz w:val="24"/>
          <w:u w:val="single"/>
        </w:rPr>
        <w:t>Ownership and Protection of Proprietary Information.</w:t>
      </w:r>
    </w:p>
    <w:p>
      <w:pPr>
        <w:pStyle w:val="TextBody"/>
        <w:bidi w:val="0"/>
        <w:spacing w:before="50" w:after="283"/>
        <w:jc w:val="left"/>
        <w:rPr/>
      </w:pPr>
      <w:r>
        <w:rPr/>
      </w:r>
    </w:p>
    <w:p>
      <w:pPr>
        <w:pStyle w:val="TextBody"/>
        <w:bidi w:val="0"/>
        <w:spacing w:lineRule="auto" w:line="288" w:before="0" w:after="0"/>
        <w:ind w:left="0" w:right="0" w:firstLine="475"/>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All Company Information received or developed by Executive while employed by the Company is confidential to and will remain the sole and exclusive property of the Company. Except to the extent necessary to perform the duties assigned to him by the Company, Executive will hold such Company Information in trust and strictest confidence, and will not use, reproduce, distribute, disclose or otherwise disseminate Company Information or any physical embodiments thereof and may in no event take any action causing or fail to take the action necessary in order to prevent, any Company Information disclosed to or developed by Executive to lose its character or cease to qualify as Confidential Information or Trade Secrets.</w:t>
      </w:r>
    </w:p>
    <w:p>
      <w:pPr>
        <w:pStyle w:val="TextBody"/>
        <w:bidi w:val="0"/>
        <w:spacing w:lineRule="auto" w:line="288" w:before="274" w:after="283"/>
        <w:ind w:left="0" w:right="0" w:firstLine="475"/>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Return of Company Property</w:t>
      </w:r>
      <w:r>
        <w:rPr>
          <w:rFonts w:ascii="Times New Roman;serif" w:hAnsi="Times New Roman;serif"/>
          <w:b w:val="false"/>
          <w:color w:val="000000"/>
          <w:sz w:val="24"/>
        </w:rPr>
        <w:t>. Upon request by the Company, and in any event upon termination of the employment of Executive with the Company for any reason, Executive will promptly deliver to the Company all property belonging to the Company, including, without limitation and including electronic property of any type, all Company Information (and all embodiments thereof) then in Executive's custody, control or possession.</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67665"/>
                <wp:effectExtent l="0" t="0" r="0" b="0"/>
                <wp:wrapNone/>
                <wp:docPr id="14" name="Frame1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74" w:after="283"/>
        <w:ind w:left="0" w:right="0" w:firstLine="475"/>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Protection of Company Information</w:t>
      </w:r>
      <w:r>
        <w:rPr>
          <w:rFonts w:ascii="Times New Roman;serif" w:hAnsi="Times New Roman;serif"/>
          <w:b w:val="false"/>
          <w:color w:val="000000"/>
          <w:sz w:val="24"/>
        </w:rPr>
        <w:t>. Executive agrees that: (i) he will protect all Company Information from disclosure and will in no event take any action causing any Company Information to lose its character as Company Information, or fail to take the action necessary in order to prevent any Company Information from losing its status as Company Information; and (ii) he will not, directly or indirectly, use, publish, disseminate or otherwise disclose any Company Information to any third party without the prior written consent of Company, which may be withheld in the Company's absolute discretion.</w:t>
      </w:r>
    </w:p>
    <w:p>
      <w:pPr>
        <w:pStyle w:val="TextBody"/>
        <w:bidi w:val="0"/>
        <w:spacing w:lineRule="auto" w:line="288" w:before="274" w:after="283"/>
        <w:ind w:left="0" w:right="0" w:firstLine="475"/>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Survival</w:t>
      </w:r>
      <w:r>
        <w:rPr>
          <w:rFonts w:ascii="Times New Roman;serif" w:hAnsi="Times New Roman;serif"/>
          <w:b w:val="false"/>
          <w:color w:val="000000"/>
          <w:sz w:val="24"/>
        </w:rPr>
        <w:t>. The restrictions on Executive's use or disclosure of all Company Information, as set forth in this section, shall apply through the Applicable Period and for an additional one (1) year thereafter and with respect to Trade Secrets shall survive beyond such period for so long as such information qualifies as a Trade Secret by the law of the applicable state.</w:t>
      </w:r>
    </w:p>
    <w:p>
      <w:pPr>
        <w:pStyle w:val="TextBody"/>
        <w:bidi w:val="0"/>
        <w:spacing w:before="60" w:after="283"/>
        <w:jc w:val="left"/>
        <w:rPr/>
      </w:pPr>
      <w:r>
        <w:rPr/>
      </w:r>
    </w:p>
    <w:p>
      <w:pPr>
        <w:pStyle w:val="TextBody"/>
        <w:bidi w:val="0"/>
        <w:spacing w:lineRule="auto" w:line="288" w:before="0" w:after="0"/>
        <w:ind w:left="0" w:right="0" w:hanging="239"/>
        <w:jc w:val="left"/>
        <w:rPr/>
      </w:pPr>
      <w:r>
        <w:rPr>
          <w:rFonts w:ascii="Times New Roman;serif" w:hAnsi="Times New Roman;serif"/>
          <w:b/>
          <w:color w:val="000000"/>
          <w:sz w:val="24"/>
        </w:rPr>
        <w:t>8.    </w:t>
      </w:r>
      <w:r>
        <w:rPr>
          <w:rFonts w:ascii="Times New Roman;serif" w:hAnsi="Times New Roman;serif"/>
          <w:b/>
          <w:color w:val="000000"/>
          <w:sz w:val="24"/>
          <w:u w:val="single"/>
        </w:rPr>
        <w:t>Construction/Enforcement of Post-Employment Covenants.</w:t>
      </w:r>
    </w:p>
    <w:p>
      <w:pPr>
        <w:pStyle w:val="TextBody"/>
        <w:bidi w:val="0"/>
        <w:spacing w:before="50" w:after="283"/>
        <w:jc w:val="left"/>
        <w:rPr/>
      </w:pPr>
      <w:r>
        <w:rPr/>
      </w:r>
    </w:p>
    <w:p>
      <w:pPr>
        <w:pStyle w:val="TextBody"/>
        <w:bidi w:val="0"/>
        <w:spacing w:lineRule="auto" w:line="288" w:before="0" w:after="0"/>
        <w:ind w:left="0" w:right="0" w:firstLine="475"/>
        <w:jc w:val="both"/>
        <w:rPr>
          <w:rFonts w:ascii="Times New Roman;serif" w:hAnsi="Times New Roman;serif"/>
          <w:b w:val="false"/>
          <w:color w:val="000000"/>
          <w:sz w:val="24"/>
        </w:rPr>
      </w:pPr>
      <w:r>
        <w:rPr>
          <w:rFonts w:ascii="Times New Roman;serif" w:hAnsi="Times New Roman;serif"/>
          <w:b w:val="false"/>
          <w:color w:val="000000"/>
          <w:sz w:val="24"/>
        </w:rPr>
        <w:t>Executive agrees that the provisions of Sections 5, 6, and 7 are reasonable and properly required for the adequate protection of the business and the goodwill of the Company. However, if a judicial or arbitration determination is made that any of the provisions of Sections 5, 6, or 7 constitutes an unreasonable or otherwise unenforceable restriction against Executive, such provision(s) shall be modified or severed so as to permit enforcement of the provision(s) to the extent reasonable.</w:t>
      </w:r>
    </w:p>
    <w:p>
      <w:pPr>
        <w:pStyle w:val="TextBody"/>
        <w:bidi w:val="0"/>
        <w:spacing w:before="5" w:after="283"/>
        <w:jc w:val="left"/>
        <w:rPr/>
      </w:pPr>
      <w:r>
        <w:rPr/>
      </w:r>
    </w:p>
    <w:p>
      <w:pPr>
        <w:pStyle w:val="TextBody"/>
        <w:bidi w:val="0"/>
        <w:spacing w:lineRule="auto" w:line="288" w:before="0" w:after="0"/>
        <w:ind w:left="0" w:right="0" w:hanging="239"/>
        <w:jc w:val="left"/>
        <w:rPr/>
      </w:pPr>
      <w:r>
        <w:rPr>
          <w:rFonts w:ascii="Times New Roman;serif" w:hAnsi="Times New Roman;serif"/>
          <w:b/>
          <w:color w:val="000000"/>
          <w:sz w:val="24"/>
        </w:rPr>
        <w:t>9.    </w:t>
      </w:r>
      <w:r>
        <w:rPr>
          <w:rFonts w:ascii="Times New Roman;serif" w:hAnsi="Times New Roman;serif"/>
          <w:b/>
          <w:color w:val="000000"/>
          <w:sz w:val="24"/>
          <w:u w:val="single"/>
        </w:rPr>
        <w:t>Violation of Post-Employment Covenants.</w:t>
      </w:r>
    </w:p>
    <w:p>
      <w:pPr>
        <w:pStyle w:val="TextBody"/>
        <w:bidi w:val="0"/>
        <w:spacing w:before="51" w:after="283"/>
        <w:jc w:val="left"/>
        <w:rPr/>
      </w:pPr>
      <w:r>
        <w:rPr/>
      </w:r>
    </w:p>
    <w:p>
      <w:pPr>
        <w:pStyle w:val="TextBody"/>
        <w:bidi w:val="0"/>
        <w:spacing w:lineRule="auto" w:line="288" w:before="0" w:after="0"/>
        <w:ind w:left="0" w:right="0" w:firstLine="475"/>
        <w:jc w:val="both"/>
        <w:rPr>
          <w:rFonts w:ascii="Times New Roman;serif" w:hAnsi="Times New Roman;serif"/>
          <w:b w:val="false"/>
          <w:color w:val="000000"/>
          <w:sz w:val="24"/>
        </w:rPr>
      </w:pPr>
      <w:r>
        <w:rPr>
          <w:rFonts w:ascii="Times New Roman;serif" w:hAnsi="Times New Roman;serif"/>
          <w:b w:val="false"/>
          <w:color w:val="000000"/>
          <w:sz w:val="24"/>
        </w:rPr>
        <w:t xml:space="preserve">If Executive breaches any provision in Sections 5, 6, and 7, Executive understands and agrees that the Company may stop paying any additional severance pursuant to Section 4 until such time as any dispute over Executive's alleged breaches of Sections 5, 6 and 7 have been resolved, either judicially or otherwise, and demand repayment of 50% of any such severance paid prior to the breach. Any forfeiture or repayment by Executive will not be in lieu of any other remedy provided for herein or injunctive relief ordering Executive to cease violating Executive's obligations or any other equitable relief. To the extent that Executive is determined through agreement or resolution of any pending claim to not have violated any covenant at issue, he shall receive any and all severance that has not been paid under the Agreement. If Executive breaches or threatens to breach any provision in Sections 5, 6, and 7, Executive agrees that the Company shall be entitled to seek an injunction or restraining order to restrain and enjoin such breach or threatened breach by Executive without the necessity of posting a bond or security in any form or amount, and Executive hereby waives any defense Executive may have that the Company has or will have an adequate remedy at law with respect to any such breach. </w:t>
      </w:r>
    </w:p>
    <w:p>
      <w:pPr>
        <w:pStyle w:val="TextBody"/>
        <w:bidi w:val="0"/>
        <w:spacing w:before="0" w:after="0"/>
        <w:jc w:val="both"/>
        <w:rPr/>
      </w:pPr>
      <w:r>
        <w:rPr/>
      </w:r>
    </w:p>
    <w:p>
      <w:pPr>
        <w:pStyle w:val="TextBody"/>
        <w:bidi w:val="0"/>
        <w:spacing w:lineRule="auto" w:line="288" w:before="36" w:after="283"/>
        <w:ind w:left="0" w:right="0" w:hanging="359"/>
        <w:jc w:val="left"/>
        <w:rPr/>
      </w:pPr>
      <w:r>
        <w:rPr>
          <w:rFonts w:ascii="Times New Roman;serif" w:hAnsi="Times New Roman;serif"/>
          <w:b/>
          <w:color w:val="000000"/>
          <w:sz w:val="24"/>
        </w:rPr>
        <w:t>10.    </w:t>
      </w:r>
      <w:r>
        <w:rPr>
          <w:rFonts w:ascii="Times New Roman;serif" w:hAnsi="Times New Roman;serif"/>
          <w:b/>
          <w:color w:val="000000"/>
          <w:sz w:val="24"/>
          <w:u w:val="single"/>
        </w:rPr>
        <w:t>No Set-Off.</w:t>
      </w:r>
    </w:p>
    <w:p>
      <w:pPr>
        <w:pStyle w:val="TextBody"/>
        <w:bidi w:val="0"/>
        <w:spacing w:before="106" w:after="283"/>
        <w:jc w:val="left"/>
        <w:rPr/>
      </w:pPr>
      <w:r>
        <w:rPr/>
      </w:r>
    </w:p>
    <w:p>
      <w:pPr>
        <w:pStyle w:val="TextBody"/>
        <w:bidi w:val="0"/>
        <w:spacing w:lineRule="auto" w:line="288"/>
        <w:ind w:left="0" w:right="0" w:firstLine="480"/>
        <w:jc w:val="both"/>
        <w:rPr>
          <w:rFonts w:ascii="Times New Roman;serif" w:hAnsi="Times New Roman;serif"/>
          <w:b w:val="false"/>
          <w:color w:val="000000"/>
          <w:sz w:val="24"/>
        </w:rPr>
      </w:pPr>
      <w:r>
        <w:rPr>
          <w:rFonts w:ascii="Times New Roman;serif" w:hAnsi="Times New Roman;serif"/>
          <w:b w:val="false"/>
          <w:color w:val="000000"/>
          <w:sz w:val="24"/>
        </w:rPr>
        <w:t xml:space="preserve">The existence of any claim, demand, action or cause of action by Executive against the Company, or any Affiliate of the Company, whether predicated upon this Agreement or otherwise, shall not constitute a defense to the enforcement by the Company of any of its rights hereunder. The existence of any claim, demand, action or cause of action by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67665"/>
                <wp:effectExtent l="0" t="0" r="0" b="0"/>
                <wp:wrapNone/>
                <wp:docPr id="15" name="Frame1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against Executive, whether predicated upon this Agreement or otherwise, shall not constitute a defense to the enforcement by Executive of any of his rights hereunder.</w:t>
      </w:r>
    </w:p>
    <w:p>
      <w:pPr>
        <w:pStyle w:val="TextBody"/>
        <w:bidi w:val="0"/>
        <w:spacing w:before="5" w:after="283"/>
        <w:jc w:val="left"/>
        <w:rPr/>
      </w:pPr>
      <w:r>
        <w:rPr/>
      </w:r>
    </w:p>
    <w:p>
      <w:pPr>
        <w:pStyle w:val="TextBody"/>
        <w:bidi w:val="0"/>
        <w:spacing w:lineRule="auto" w:line="288" w:before="0" w:after="0"/>
        <w:ind w:left="0" w:right="0" w:hanging="359"/>
        <w:jc w:val="left"/>
        <w:rPr/>
      </w:pPr>
      <w:r>
        <w:rPr>
          <w:rFonts w:ascii="Times New Roman;serif" w:hAnsi="Times New Roman;serif"/>
          <w:b/>
          <w:color w:val="000000"/>
          <w:sz w:val="24"/>
        </w:rPr>
        <w:t>11.    </w:t>
      </w:r>
      <w:r>
        <w:rPr>
          <w:rFonts w:ascii="Times New Roman;serif" w:hAnsi="Times New Roman;serif"/>
          <w:b/>
          <w:color w:val="000000"/>
          <w:sz w:val="24"/>
          <w:u w:val="single"/>
        </w:rPr>
        <w:t>Notice.</w:t>
      </w:r>
    </w:p>
    <w:p>
      <w:pPr>
        <w:pStyle w:val="TextBody"/>
        <w:bidi w:val="0"/>
        <w:spacing w:before="0" w:after="0"/>
        <w:jc w:val="left"/>
        <w:rPr/>
      </w:pPr>
      <w:r>
        <w:rPr/>
      </w:r>
    </w:p>
    <w:p>
      <w:pPr>
        <w:pStyle w:val="TextBody"/>
        <w:bidi w:val="0"/>
        <w:spacing w:lineRule="auto" w:line="288" w:before="0" w:after="0"/>
        <w:ind w:left="0" w:right="0" w:firstLine="480"/>
        <w:jc w:val="both"/>
        <w:rPr>
          <w:rFonts w:ascii="Times New Roman;serif" w:hAnsi="Times New Roman;serif"/>
          <w:b w:val="false"/>
          <w:color w:val="000000"/>
          <w:sz w:val="24"/>
        </w:rPr>
      </w:pPr>
      <w:r>
        <w:rPr>
          <w:rFonts w:ascii="Times New Roman;serif" w:hAnsi="Times New Roman;serif"/>
          <w:b w:val="false"/>
          <w:color w:val="000000"/>
          <w:sz w:val="24"/>
        </w:rPr>
        <w:t>All notices, requests, demands and other communications required hereunder shall be in writing and shall be deemed to have been duly given if delivered or if mailed, by United States certified or registered mail, prepaid to the party to which the same is directed at the following addresses (or at such other addresses as shall be given in writing by the parties to one another):</w:t>
      </w:r>
    </w:p>
    <w:p>
      <w:pPr>
        <w:pStyle w:val="TextBody"/>
        <w:bidi w:val="0"/>
        <w:spacing w:before="0" w:after="0"/>
        <w:ind w:left="0" w:right="0" w:firstLine="480"/>
        <w:jc w:val="both"/>
        <w:rPr/>
      </w:pPr>
      <w:r>
        <w:rPr/>
      </w:r>
    </w:p>
    <w:tbl>
      <w:tblPr>
        <w:tblW w:w="7046" w:type="dxa"/>
        <w:jc w:val="left"/>
        <w:tblInd w:w="0" w:type="dxa"/>
        <w:tblLayout w:type="fixed"/>
        <w:tblCellMar>
          <w:top w:w="28" w:type="dxa"/>
          <w:left w:w="28" w:type="dxa"/>
          <w:bottom w:w="28" w:type="dxa"/>
          <w:right w:w="28" w:type="dxa"/>
        </w:tblCellMar>
      </w:tblPr>
      <w:tblGrid>
        <w:gridCol w:w="690"/>
        <w:gridCol w:w="605"/>
        <w:gridCol w:w="609"/>
        <w:gridCol w:w="109"/>
        <w:gridCol w:w="109"/>
        <w:gridCol w:w="109"/>
        <w:gridCol w:w="1407"/>
        <w:gridCol w:w="1407"/>
        <w:gridCol w:w="2001"/>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If to the Company: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Asbury Automotive Group Inc.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General Counsel</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6655 Peachtree Dunwoody Road. N.E.</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Atlanta, GA 30328</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2"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If to Executive: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Daniel Clara</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 the most recent address and personal email, if</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applicable, of Executive set forth in the personnel</w:t>
            </w:r>
          </w:p>
          <w:p>
            <w:pPr>
              <w:pStyle w:val="TableContents"/>
              <w:bidi w:val="0"/>
              <w:spacing w:lineRule="auto" w:line="288" w:before="0" w:after="15"/>
              <w:jc w:val="left"/>
              <w:rPr>
                <w:rFonts w:ascii="Times New Roman;serif" w:hAnsi="Times New Roman;serif"/>
                <w:b w:val="false"/>
                <w:color w:val="000000"/>
                <w:sz w:val="24"/>
              </w:rPr>
            </w:pPr>
            <w:r>
              <w:rPr>
                <w:rFonts w:ascii="Times New Roman;serif" w:hAnsi="Times New Roman;serif"/>
                <w:b w:val="false"/>
                <w:color w:val="000000"/>
                <w:sz w:val="24"/>
              </w:rPr>
              <w:t>records of the Company.</w:t>
            </w:r>
          </w:p>
        </w:tc>
      </w:tr>
    </w:tbl>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Notices delivered in person shall be effective on the date of delivery. Notices delivered by mail as aforesaid shall be effective upon the third calendar day subsequent to the postmark date hereof. Notices made electronically shall be effective on the day they are made.</w:t>
      </w:r>
    </w:p>
    <w:p>
      <w:pPr>
        <w:pStyle w:val="TextBody"/>
        <w:bidi w:val="0"/>
        <w:spacing w:before="0" w:after="0"/>
        <w:jc w:val="left"/>
        <w:rPr/>
      </w:pPr>
      <w:r>
        <w:rPr/>
      </w:r>
    </w:p>
    <w:p>
      <w:pPr>
        <w:pStyle w:val="TextBody"/>
        <w:bidi w:val="0"/>
        <w:spacing w:lineRule="auto" w:line="288" w:before="0" w:after="0"/>
        <w:ind w:left="0" w:right="0" w:hanging="359"/>
        <w:jc w:val="left"/>
        <w:rPr/>
      </w:pPr>
      <w:r>
        <w:rPr>
          <w:rFonts w:ascii="Times New Roman;serif" w:hAnsi="Times New Roman;serif"/>
          <w:b/>
          <w:color w:val="000000"/>
          <w:sz w:val="24"/>
        </w:rPr>
        <w:t>12.    </w:t>
      </w:r>
      <w:r>
        <w:rPr>
          <w:rFonts w:ascii="Times New Roman;serif" w:hAnsi="Times New Roman;serif"/>
          <w:b/>
          <w:color w:val="000000"/>
          <w:sz w:val="24"/>
          <w:u w:val="single"/>
        </w:rPr>
        <w:t>Miscellaneous.</w:t>
      </w:r>
    </w:p>
    <w:p>
      <w:pPr>
        <w:pStyle w:val="TextBody"/>
        <w:bidi w:val="0"/>
        <w:spacing w:before="50" w:after="283"/>
        <w:jc w:val="left"/>
        <w:rPr/>
      </w:pPr>
      <w:r>
        <w:rPr/>
      </w:r>
    </w:p>
    <w:p>
      <w:pPr>
        <w:pStyle w:val="TextBody"/>
        <w:bidi w:val="0"/>
        <w:spacing w:lineRule="auto" w:line="288" w:before="0" w:after="0"/>
        <w:ind w:left="0" w:right="0" w:firstLine="48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Assignment</w:t>
      </w:r>
      <w:r>
        <w:rPr>
          <w:rFonts w:ascii="Times New Roman;serif" w:hAnsi="Times New Roman;serif"/>
          <w:b w:val="false"/>
          <w:color w:val="000000"/>
          <w:sz w:val="24"/>
        </w:rPr>
        <w:t>. Neither this Agreement nor any right of the parties hereunder may be assigned or delegated by any party hereto without the prior written consent of the other party.</w:t>
      </w:r>
    </w:p>
    <w:p>
      <w:pPr>
        <w:pStyle w:val="TextBody"/>
        <w:bidi w:val="0"/>
        <w:spacing w:before="0" w:after="0"/>
        <w:jc w:val="both"/>
        <w:rPr/>
      </w:pPr>
      <w:r>
        <w:rPr/>
      </w:r>
    </w:p>
    <w:p>
      <w:pPr>
        <w:pStyle w:val="TextBody"/>
        <w:bidi w:val="0"/>
        <w:spacing w:lineRule="auto" w:line="288" w:before="0" w:after="0"/>
        <w:ind w:left="0" w:right="0" w:firstLine="48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Waiver</w:t>
      </w:r>
      <w:r>
        <w:rPr>
          <w:rFonts w:ascii="Times New Roman;serif" w:hAnsi="Times New Roman;serif"/>
          <w:b w:val="false"/>
          <w:color w:val="000000"/>
          <w:sz w:val="24"/>
        </w:rPr>
        <w:t>. The waiver by the Company of any breach of this Agreement by Executive shall not be effective unless in writing, and no such waiver shall constitute the waiver of the same or another breach on a subsequent occasion.</w:t>
      </w:r>
    </w:p>
    <w:p>
      <w:pPr>
        <w:pStyle w:val="TextBody"/>
        <w:bidi w:val="0"/>
        <w:spacing w:before="0" w:after="0"/>
        <w:jc w:val="both"/>
        <w:rPr/>
      </w:pPr>
      <w:r>
        <w:rPr/>
      </w:r>
    </w:p>
    <w:p>
      <w:pPr>
        <w:pStyle w:val="TextBody"/>
        <w:bidi w:val="0"/>
        <w:spacing w:lineRule="auto" w:line="288" w:before="1" w:after="283"/>
        <w:ind w:left="0" w:right="0" w:firstLine="48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Arbitration</w:t>
      </w:r>
      <w:r>
        <w:rPr>
          <w:rFonts w:ascii="Times New Roman;serif" w:hAnsi="Times New Roman;serif"/>
          <w:b w:val="false"/>
          <w:color w:val="000000"/>
          <w:sz w:val="24"/>
        </w:rPr>
        <w:t xml:space="preserve">. Any controversy or claim arising out of or relating to this Agreement, or the breach thereof, shall be adjudicated through binding arbitration before a single arbitrator in accordance with the then-current rules and procedures of Henning Arbitration Services (or Miles Mediation &amp; Arbitration if Henning is unable to serve as a neutral arbitrator or if parties both agree in writing to use Miles M&amp;A instead of Henning) that apply to employment disputes. Any such arbitration shall be held in Atlanta, Georgia, or an alternative venue, if ordered by the Arbitrator.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Any party who desires to submit a claim to arbitration in accordance with this Section shall file its demand for arbitration with Henning Arbitration Services (or Miles Mediation &amp; Arbitration if Henning is unable to serve as a neutral arbitrator or if parties both agree in writing to use Miles M&amp;A instead of Henning) A copy of said demand shall be served on the other party in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67665"/>
                <wp:effectExtent l="0" t="0" r="0" b="0"/>
                <wp:wrapNone/>
                <wp:docPr id="16" name="Frame1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accordance with the notice provisions in Section 9 of this Agreement. The parties agree that they shall attempt in good faith to select an arbitrator by mutual agreement within twenty (20) days after the responding party's receipt of the demand for arbitration. If the parties do not agree on the selection of an arbitrator within that timeframe, an Arbitrator will be selected from a list of nine (9) qualified and impartial arbitrators provided by the arbitration service and the parties alternately shall strike names until only one name remains, with Executive starting the strike process. In any arbitration brought pursuant to this paragraph, the Company will be responsible for paying any administrative costs and fees of the Arbitrator and Arbitration Service, except that nothing herein shall be construed to restrict or prevent the Arbitrator from awarding any fees or costs that the Company is entitled to under the Federal Rules of Civil Procedure and/or as otherwise provided by applicable law.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arbitrator's award shall be final and non-appealable except to the extent permitted by the Federal Arbitration Act. Nothing in this Subsection shall prevent the parties from settling any dispute or controversy by mutual agreement at any time. Moreover, this Subsection shall not preclude or restrict the Company from seeking and obtaining emergency injunctive relief in relation to matters regarding Executive's obligations under Sections 5, 6, and 7.</w:t>
      </w:r>
    </w:p>
    <w:p>
      <w:pPr>
        <w:pStyle w:val="TextBody"/>
        <w:bidi w:val="0"/>
        <w:spacing w:before="0" w:after="0"/>
        <w:jc w:val="both"/>
        <w:rPr/>
      </w:pPr>
      <w:r>
        <w:rPr/>
      </w:r>
    </w:p>
    <w:p>
      <w:pPr>
        <w:pStyle w:val="TextBody"/>
        <w:bidi w:val="0"/>
        <w:spacing w:lineRule="auto" w:line="288" w:before="0" w:after="0"/>
        <w:ind w:left="0" w:right="0" w:firstLine="48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Applicable Law</w:t>
      </w:r>
      <w:r>
        <w:rPr>
          <w:rFonts w:ascii="Times New Roman;serif" w:hAnsi="Times New Roman;serif"/>
          <w:b w:val="false"/>
          <w:color w:val="000000"/>
          <w:sz w:val="24"/>
        </w:rPr>
        <w:t>. This Agreement shall be construed and enforced under and in accordance with the laws of the State of Delaware.</w:t>
      </w:r>
    </w:p>
    <w:p>
      <w:pPr>
        <w:pStyle w:val="TextBody"/>
        <w:bidi w:val="0"/>
        <w:spacing w:before="0" w:after="0"/>
        <w:jc w:val="both"/>
        <w:rPr/>
      </w:pPr>
      <w:r>
        <w:rPr/>
      </w:r>
    </w:p>
    <w:p>
      <w:pPr>
        <w:pStyle w:val="TextBody"/>
        <w:bidi w:val="0"/>
        <w:spacing w:lineRule="auto" w:line="288" w:before="0" w:after="0"/>
        <w:ind w:left="0" w:right="0" w:firstLine="48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embodies the entire agreement of the parties hereto relating to the subject matter hereof and supersedes all earlier written or oral agreements, including but not limited to the Severance Pay Agreement for Key Employee agreed to by Executive and the Company on July 28, 2022.</w:t>
      </w:r>
    </w:p>
    <w:p>
      <w:pPr>
        <w:pStyle w:val="TextBody"/>
        <w:bidi w:val="0"/>
        <w:spacing w:before="0" w:after="0"/>
        <w:jc w:val="both"/>
        <w:rPr/>
      </w:pPr>
      <w:r>
        <w:rPr/>
      </w:r>
    </w:p>
    <w:p>
      <w:pPr>
        <w:pStyle w:val="TextBody"/>
        <w:bidi w:val="0"/>
        <w:spacing w:lineRule="auto" w:line="288" w:before="1" w:after="283"/>
        <w:ind w:left="0" w:right="0" w:firstLine="475"/>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Amendment</w:t>
      </w:r>
      <w:r>
        <w:rPr>
          <w:rFonts w:ascii="Times New Roman;serif" w:hAnsi="Times New Roman;serif"/>
          <w:b w:val="false"/>
          <w:color w:val="000000"/>
          <w:sz w:val="24"/>
        </w:rPr>
        <w:t>. This Agreement may not be modified, amended, supplemented or terminated except by a written instrument executed by the parties hereto.</w:t>
      </w:r>
    </w:p>
    <w:p>
      <w:pPr>
        <w:pStyle w:val="TextBody"/>
        <w:bidi w:val="0"/>
        <w:spacing w:lineRule="auto" w:line="288" w:before="276" w:after="283"/>
        <w:ind w:left="0" w:right="0" w:firstLine="48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Severability</w:t>
      </w:r>
      <w:r>
        <w:rPr>
          <w:rFonts w:ascii="Times New Roman;serif" w:hAnsi="Times New Roman;serif"/>
          <w:b w:val="false"/>
          <w:color w:val="000000"/>
          <w:sz w:val="24"/>
        </w:rPr>
        <w:t>. Each of the covenants and agreements hereinabove contained shall be deemed separate, severable and independent covenants, and in the event that any covenant shall be declared invalid by any court of competent jurisdiction, such invalidity shall not in any manner affect or impair the validity or enforceability of any other part or provision of such covenant or of any other covenant contained herein.</w:t>
      </w:r>
    </w:p>
    <w:p>
      <w:pPr>
        <w:pStyle w:val="TextBody"/>
        <w:bidi w:val="0"/>
        <w:spacing w:before="48" w:after="283"/>
        <w:jc w:val="left"/>
        <w:rPr/>
      </w:pPr>
      <w:r>
        <w:rPr/>
      </w:r>
    </w:p>
    <w:p>
      <w:pPr>
        <w:pStyle w:val="TextBody"/>
        <w:bidi w:val="0"/>
        <w:spacing w:lineRule="auto" w:line="288" w:before="48" w:after="283"/>
        <w:ind w:left="0" w:right="0" w:firstLine="48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Captions and Section Headings</w:t>
      </w:r>
      <w:r>
        <w:rPr>
          <w:rFonts w:ascii="Times New Roman;serif" w:hAnsi="Times New Roman;serif"/>
          <w:b w:val="false"/>
          <w:color w:val="000000"/>
          <w:sz w:val="24"/>
        </w:rPr>
        <w:t>. Except as set forth in Section 1 hereof, captions and section headings used herein are for convenience only and are not a part of this Agreement and shall not be used in construing it.</w:t>
      </w:r>
    </w:p>
    <w:p>
      <w:pPr>
        <w:pStyle w:val="TextBody"/>
        <w:bidi w:val="0"/>
        <w:spacing w:before="0" w:after="0"/>
        <w:jc w:val="left"/>
        <w:rPr/>
      </w:pPr>
      <w:r>
        <w:rPr/>
      </w:r>
    </w:p>
    <w:p>
      <w:pPr>
        <w:pStyle w:val="TextBody"/>
        <w:bidi w:val="0"/>
        <w:spacing w:lineRule="auto" w:line="288" w:before="0" w:after="0"/>
        <w:ind w:left="0" w:right="0" w:hanging="284"/>
        <w:jc w:val="left"/>
        <w:rPr/>
      </w:pPr>
      <w:r>
        <w:rPr>
          <w:rFonts w:ascii="Times New Roman;serif" w:hAnsi="Times New Roman;serif"/>
          <w:b w:val="false"/>
          <w:color w:val="000000"/>
          <w:sz w:val="24"/>
        </w:rPr>
        <w:t>(i)    </w:t>
      </w:r>
      <w:r>
        <w:rPr>
          <w:rFonts w:ascii="Times New Roman;serif" w:hAnsi="Times New Roman;serif"/>
          <w:b w:val="false"/>
          <w:color w:val="000000"/>
          <w:sz w:val="24"/>
          <w:u w:val="single"/>
        </w:rPr>
        <w:t>Code Section 409A</w:t>
      </w:r>
      <w:r>
        <w:rPr>
          <w:rFonts w:ascii="Times New Roman;serif" w:hAnsi="Times New Roman;serif"/>
          <w:b w:val="false"/>
          <w:color w:val="000000"/>
          <w:sz w:val="24"/>
        </w:rPr>
        <w:t>.</w:t>
      </w:r>
    </w:p>
    <w:p>
      <w:pPr>
        <w:pStyle w:val="TextBody"/>
        <w:bidi w:val="0"/>
        <w:spacing w:lineRule="auto" w:line="288" w:before="55" w:after="283"/>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General</w:t>
      </w:r>
      <w:r>
        <w:rPr>
          <w:rFonts w:ascii="Times New Roman;serif" w:hAnsi="Times New Roman;serif"/>
          <w:b w:val="false"/>
          <w:color w:val="000000"/>
          <w:sz w:val="24"/>
        </w:rPr>
        <w:t>. To the extent applicable, this Agreement shall be interpreted and applied consistent and in accordance with Section 409A of the Code and Department of Treasury regulations and other interpretive guidance issued thereunder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xml:space="preserve">). If, however, the Company determines that any compensation or benefits payable under this Agreement may be or become subject to Section 409A, the Company may in its sole discretion adopt such amendments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67665"/>
                <wp:effectExtent l="0" t="0" r="0" b="0"/>
                <wp:wrapNone/>
                <wp:docPr id="17" name="Frame1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55" w:after="283"/>
        <w:jc w:val="both"/>
        <w:rPr/>
      </w:pPr>
      <w:r>
        <w:rPr>
          <w:rFonts w:ascii="Times New Roman;serif" w:hAnsi="Times New Roman;serif"/>
          <w:b w:val="false"/>
          <w:color w:val="000000"/>
          <w:sz w:val="24"/>
        </w:rPr>
        <w:t xml:space="preserve">to this Agreement or to adopt other policies and procedures (including amendments, policies and procedures with retroactive effect), or take such other actions, as the Company determines necessary or appropriate to (i) exempt the compensation and benefits payable under this Agreement from Section 409A and/or preserve the intended tax treatment of such compensation and benefits, or (ii) comply with the requirements of Section 409A; </w:t>
      </w:r>
      <w:r>
        <w:rPr>
          <w:rFonts w:ascii="Times New Roman;serif" w:hAnsi="Times New Roman;serif"/>
          <w:b w:val="false"/>
          <w:i/>
          <w:color w:val="000000"/>
          <w:sz w:val="24"/>
        </w:rPr>
        <w:t>provided, however</w:t>
      </w:r>
      <w:r>
        <w:rPr>
          <w:rFonts w:ascii="Times New Roman;serif" w:hAnsi="Times New Roman;serif"/>
          <w:b w:val="false"/>
          <w:color w:val="000000"/>
          <w:sz w:val="24"/>
        </w:rPr>
        <w:t>, that this Section 12(i) shall not create any obligation on the part of the Company to adopt any such amendment, policy or procedure or take any such other action.</w:t>
      </w:r>
    </w:p>
    <w:p>
      <w:pPr>
        <w:pStyle w:val="TextBody"/>
        <w:bidi w:val="0"/>
        <w:spacing w:lineRule="auto" w:line="288" w:before="231" w:after="283"/>
        <w:ind w:left="0" w:right="0" w:firstLine="144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Separate Payments</w:t>
      </w:r>
      <w:r>
        <w:rPr>
          <w:rFonts w:ascii="Times New Roman;serif" w:hAnsi="Times New Roman;serif"/>
          <w:b w:val="false"/>
          <w:color w:val="000000"/>
          <w:sz w:val="24"/>
        </w:rPr>
        <w:t>. Any right to a series of installment payments pursuant to this Agreement is to be treated as a right to a series of separate payments. To the extent permitted under Section 409A, any separate payment or benefit under this Agreement or otherwise shall not be deemed “nonqualified deferred compensation” subject to Section 409A and Section 4(l) hereof to the extent provided in the exceptions in Treasury Regulation Section 1.409A-1(b)(4), Section 1.409A-1(b)(9) or any other applicable exception or provision of Section 409A.</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Taxable Reimbursements</w:t>
      </w:r>
      <w:r>
        <w:rPr>
          <w:rFonts w:ascii="Times New Roman;serif" w:hAnsi="Times New Roman;serif"/>
          <w:b w:val="false"/>
          <w:color w:val="000000"/>
          <w:sz w:val="24"/>
        </w:rPr>
        <w:t>. To the extent that any payments or reimbursements provided to Executive under this Agreement are deemed to constitute compensation to which Treasury Regulation Section 1.409A-3(i)(1)(iv) would apply, such payments or reimbursements shall be made or provided in accordance with the requirements of Section 409A of the Code, including, where applicable, the requirement that (i) any reimbursement is for expenses incurred during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w:t>
      </w:r>
    </w:p>
    <w:p>
      <w:pPr>
        <w:pStyle w:val="TextBody"/>
        <w:bidi w:val="0"/>
        <w:spacing w:before="0" w:after="0"/>
        <w:ind w:left="0" w:right="0" w:firstLine="480"/>
        <w:jc w:val="left"/>
        <w:rPr/>
      </w:pPr>
      <w:r>
        <w:rPr/>
      </w:r>
    </w:p>
    <w:p>
      <w:pPr>
        <w:pStyle w:val="TextBody"/>
        <w:bidi w:val="0"/>
        <w:spacing w:before="32" w:after="283"/>
        <w:jc w:val="both"/>
        <w:rPr/>
      </w:pPr>
      <w:r>
        <w:rPr/>
      </w:r>
    </w:p>
    <w:p>
      <w:pPr>
        <w:pStyle w:val="TextBody"/>
        <w:bidi w:val="0"/>
        <w:spacing w:before="32" w:after="283"/>
        <w:jc w:val="both"/>
        <w:rPr/>
      </w:pPr>
      <w:r>
        <w:rPr/>
      </w:r>
    </w:p>
    <w:p>
      <w:pPr>
        <w:pStyle w:val="TextBody"/>
        <w:bidi w:val="0"/>
        <w:spacing w:before="32" w:after="283"/>
        <w:jc w:val="both"/>
        <w:rPr/>
      </w:pPr>
      <w:r>
        <w:rPr/>
      </w:r>
    </w:p>
    <w:p>
      <w:pPr>
        <w:pStyle w:val="TextBody"/>
        <w:bidi w:val="0"/>
        <w:spacing w:before="32"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67665"/>
                <wp:effectExtent l="0" t="0" r="0" b="0"/>
                <wp:wrapNone/>
                <wp:docPr id="18" name="Frame1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32" w:after="283"/>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32" w:after="283"/>
        <w:jc w:val="both"/>
        <w:rPr/>
      </w:pPr>
      <w:r>
        <w:rPr/>
      </w:r>
    </w:p>
    <w:p>
      <w:pPr>
        <w:pStyle w:val="TextBody"/>
        <w:bidi w:val="0"/>
        <w:spacing w:before="32" w:after="283"/>
        <w:jc w:val="both"/>
        <w:rPr/>
      </w:pPr>
      <w:r>
        <w:rPr/>
      </w:r>
    </w:p>
    <w:p>
      <w:pPr>
        <w:pStyle w:val="TextBody"/>
        <w:bidi w:val="0"/>
        <w:spacing w:before="32" w:after="283"/>
        <w:jc w:val="both"/>
        <w:rPr/>
      </w:pPr>
      <w:r>
        <w:rPr/>
      </w:r>
    </w:p>
    <w:p>
      <w:pPr>
        <w:pStyle w:val="TextBody"/>
        <w:bidi w:val="0"/>
        <w:spacing w:before="32" w:after="283"/>
        <w:jc w:val="both"/>
        <w:rPr/>
      </w:pPr>
      <w:r>
        <w:rPr/>
      </w:r>
    </w:p>
    <w:p>
      <w:pPr>
        <w:pStyle w:val="TextBody"/>
        <w:bidi w:val="0"/>
        <w:spacing w:lineRule="auto" w:line="333" w:before="32" w:after="283"/>
        <w:jc w:val="both"/>
        <w:rPr>
          <w:rFonts w:ascii="Times New Roman;serif" w:hAnsi="Times New Roman;serif"/>
          <w:b w:val="false"/>
          <w:color w:val="000000"/>
          <w:sz w:val="24"/>
        </w:rPr>
      </w:pPr>
      <w:r>
        <w:rPr>
          <w:rFonts w:ascii="Times New Roman;serif" w:hAnsi="Times New Roman;serif"/>
          <w:b w:val="false"/>
          <w:color w:val="000000"/>
          <w:sz w:val="24"/>
        </w:rPr>
        <w:t>IN WITNESS WHEREOF, the Company and Executive have each executed and delivered this Agreement as of the date below.</w:t>
      </w:r>
    </w:p>
    <w:p>
      <w:pPr>
        <w:pStyle w:val="TextBody"/>
        <w:bidi w:val="0"/>
        <w:spacing w:before="0" w:after="0"/>
        <w:jc w:val="left"/>
        <w:rPr/>
      </w:pPr>
      <w:r>
        <w:rPr/>
      </w:r>
    </w:p>
    <w:p>
      <w:pPr>
        <w:pStyle w:val="TextBody"/>
        <w:bidi w:val="0"/>
        <w:spacing w:before="110"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On behalf of the Company:</w:t>
      </w:r>
    </w:p>
    <w:p>
      <w:pPr>
        <w:pStyle w:val="TextBody"/>
        <w:bidi w:val="0"/>
        <w:spacing w:before="110" w:after="283"/>
        <w:jc w:val="left"/>
        <w:rPr/>
      </w:pPr>
      <w:r>
        <w:rPr/>
      </w:r>
    </w:p>
    <w:p>
      <w:pPr>
        <w:pStyle w:val="TextBody"/>
        <w:bidi w:val="0"/>
        <w:spacing w:lineRule="auto" w:line="333" w:before="1" w:after="283"/>
        <w:ind w:left="0" w:right="0" w:hanging="420"/>
        <w:jc w:val="left"/>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t>/s/ Jed Milstein    </w:t>
      </w:r>
      <w:r>
        <w:rPr>
          <w:color w:val="000000"/>
        </w:rPr>
        <w:t>    </w:t>
      </w:r>
      <w:r>
        <w:rPr>
          <w:rFonts w:ascii="Times New Roman;serif" w:hAnsi="Times New Roman;serif"/>
          <w:b w:val="false"/>
          <w:color w:val="000000"/>
          <w:sz w:val="24"/>
        </w:rPr>
        <w:t xml:space="preserve">Date: May 4, 2026 </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Jed Milstein </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Senior Vice President &amp; Chief Human Resources Officer</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ASBURY AUTOMOTIVE GROUP, INC.</w:t>
      </w:r>
    </w:p>
    <w:p>
      <w:pPr>
        <w:pStyle w:val="TextBody"/>
        <w:bidi w:val="0"/>
        <w:spacing w:before="0" w:after="0"/>
        <w:jc w:val="left"/>
        <w:rPr/>
      </w:pPr>
      <w:r>
        <w:rPr/>
      </w:r>
    </w:p>
    <w:p>
      <w:pPr>
        <w:pStyle w:val="TextBody"/>
        <w:bidi w:val="0"/>
        <w:spacing w:before="110"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On behalf of Executive:</w:t>
      </w:r>
    </w:p>
    <w:p>
      <w:pPr>
        <w:pStyle w:val="TextBody"/>
        <w:bidi w:val="0"/>
        <w:spacing w:before="110" w:after="283"/>
        <w:jc w:val="left"/>
        <w:rPr/>
      </w:pPr>
      <w:r>
        <w:rPr/>
      </w:r>
    </w:p>
    <w:p>
      <w:pPr>
        <w:pStyle w:val="TextBody"/>
        <w:bidi w:val="0"/>
        <w:spacing w:lineRule="auto" w:line="333" w:before="1" w:after="283"/>
        <w:ind w:left="0" w:right="0" w:hanging="420"/>
        <w:jc w:val="left"/>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t>/s/ Daniel Clara    </w:t>
      </w:r>
      <w:r>
        <w:rPr>
          <w:color w:val="000000"/>
        </w:rPr>
        <w:t>    </w:t>
      </w:r>
      <w:r>
        <w:rPr>
          <w:rFonts w:ascii="Times New Roman;serif" w:hAnsi="Times New Roman;serif"/>
          <w:b w:val="false"/>
          <w:color w:val="000000"/>
          <w:sz w:val="24"/>
        </w:rPr>
        <w:t xml:space="preserve">Date: May 4, 2026 </w:t>
      </w:r>
    </w:p>
    <w:p>
      <w:pPr>
        <w:pStyle w:val="TextBody"/>
        <w:bidi w:val="0"/>
        <w:spacing w:lineRule="auto" w:line="333" w:before="1" w:after="283"/>
        <w:ind w:left="0" w:right="0" w:hanging="420"/>
        <w:jc w:val="left"/>
        <w:rPr>
          <w:color w:val="000000"/>
        </w:rPr>
      </w:pPr>
      <w:r>
        <w:rPr>
          <w:color w:val="000000"/>
        </w:rPr>
        <w:t>    </w:t>
      </w:r>
      <w:r>
        <w:rPr>
          <w:rFonts w:ascii="Times New Roman;serif" w:hAnsi="Times New Roman;serif"/>
          <w:b w:val="false"/>
          <w:color w:val="000000"/>
          <w:sz w:val="24"/>
        </w:rPr>
        <w:t>Daniel Clara</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36"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67665"/>
                <wp:effectExtent l="0" t="0" r="0" b="0"/>
                <wp:wrapNone/>
                <wp:docPr id="19" name="Frame1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 w:after="283"/>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before="51" w:after="283"/>
        <w:jc w:val="left"/>
        <w:rPr/>
      </w:pPr>
      <w:r>
        <w:rPr/>
      </w:r>
    </w:p>
    <w:p>
      <w:pPr>
        <w:pStyle w:val="TextBody"/>
        <w:bidi w:val="0"/>
        <w:spacing w:lineRule="auto" w:line="333" w:before="0" w:after="0"/>
        <w:jc w:val="both"/>
        <w:rPr/>
      </w:pPr>
      <w:r>
        <w:rPr>
          <w:rFonts w:ascii="Times New Roman;serif" w:hAnsi="Times New Roman;serif"/>
          <w:b w:val="false"/>
          <w:color w:val="000000"/>
          <w:sz w:val="24"/>
        </w:rPr>
        <w:t>As used in the Employment Agreement, “</w:t>
      </w:r>
      <w:r>
        <w:rPr>
          <w:rFonts w:ascii="Times New Roman;serif" w:hAnsi="Times New Roman;serif"/>
          <w:b w:val="false"/>
          <w:color w:val="000000"/>
          <w:sz w:val="24"/>
          <w:u w:val="single"/>
        </w:rPr>
        <w:t>Area</w:t>
      </w:r>
      <w:r>
        <w:rPr>
          <w:color w:val="000000"/>
        </w:rPr>
        <w:t xml:space="preserve">” </w:t>
      </w:r>
      <w:r>
        <w:rPr>
          <w:rFonts w:ascii="Times New Roman;serif" w:hAnsi="Times New Roman;serif"/>
          <w:b w:val="false"/>
          <w:color w:val="000000"/>
          <w:sz w:val="24"/>
        </w:rPr>
        <w:t>means a 50-mile radius from any of the following addresses:</w:t>
      </w:r>
    </w:p>
    <w:p>
      <w:pPr>
        <w:pStyle w:val="TextBody"/>
        <w:bidi w:val="0"/>
        <w:spacing w:before="0" w:after="0"/>
        <w:jc w:val="both"/>
        <w:rPr/>
      </w:pPr>
      <w:r>
        <w:rPr/>
      </w:r>
    </w:p>
    <w:tbl>
      <w:tblPr>
        <w:tblW w:w="6089" w:type="dxa"/>
        <w:jc w:val="left"/>
        <w:tblInd w:w="0" w:type="dxa"/>
        <w:tblLayout w:type="fixed"/>
        <w:tblCellMar>
          <w:top w:w="28" w:type="dxa"/>
          <w:left w:w="28" w:type="dxa"/>
          <w:bottom w:w="28" w:type="dxa"/>
          <w:right w:w="28" w:type="dxa"/>
        </w:tblCellMar>
      </w:tblPr>
      <w:tblGrid>
        <w:gridCol w:w="1136"/>
        <w:gridCol w:w="996"/>
        <w:gridCol w:w="1002"/>
        <w:gridCol w:w="337"/>
        <w:gridCol w:w="337"/>
        <w:gridCol w:w="345"/>
        <w:gridCol w:w="230"/>
        <w:gridCol w:w="230"/>
        <w:gridCol w:w="231"/>
        <w:gridCol w:w="364"/>
        <w:gridCol w:w="364"/>
        <w:gridCol w:w="517"/>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bottom w:val="single" w:sz="4" w:space="0" w:color="000000"/>
            </w:tcBorders>
            <w:shd w:fill="E8E8E8"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28"/>
              </w:rPr>
            </w:pPr>
            <w:r>
              <w:rPr>
                <w:rFonts w:ascii="Times New Roman;serif" w:hAnsi="Times New Roman;serif"/>
                <w:b/>
                <w:i/>
                <w:color w:val="000000"/>
                <w:sz w:val="28"/>
              </w:rPr>
              <w:t>Address</w:t>
            </w:r>
          </w:p>
        </w:tc>
        <w:tc>
          <w:tcPr>
            <w:tcW w:w="1019" w:type="dxa"/>
            <w:gridSpan w:val="3"/>
            <w:tcBorders>
              <w:top w:val="single" w:sz="4" w:space="0" w:color="000000"/>
              <w:left w:val="single" w:sz="4" w:space="0" w:color="000000"/>
              <w:bottom w:val="single" w:sz="4" w:space="0" w:color="000000"/>
            </w:tcBorders>
            <w:shd w:fill="E8E8E8"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28"/>
              </w:rPr>
            </w:pPr>
            <w:r>
              <w:rPr>
                <w:rFonts w:ascii="Times New Roman;serif" w:hAnsi="Times New Roman;serif"/>
                <w:b/>
                <w:i/>
                <w:color w:val="000000"/>
                <w:sz w:val="28"/>
              </w:rPr>
              <w:t>City</w:t>
            </w:r>
          </w:p>
        </w:tc>
        <w:tc>
          <w:tcPr>
            <w:tcW w:w="691" w:type="dxa"/>
            <w:gridSpan w:val="3"/>
            <w:tcBorders>
              <w:top w:val="single" w:sz="4" w:space="0" w:color="000000"/>
              <w:left w:val="single" w:sz="4" w:space="0" w:color="000000"/>
              <w:bottom w:val="single" w:sz="4" w:space="0" w:color="000000"/>
            </w:tcBorders>
            <w:shd w:fill="E8E8E8"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28"/>
              </w:rPr>
            </w:pPr>
            <w:r>
              <w:rPr>
                <w:rFonts w:ascii="Times New Roman;serif" w:hAnsi="Times New Roman;serif"/>
                <w:b/>
                <w:i/>
                <w:color w:val="000000"/>
                <w:sz w:val="28"/>
              </w:rPr>
              <w:t>State</w:t>
            </w:r>
          </w:p>
        </w:tc>
        <w:tc>
          <w:tcPr>
            <w:tcW w:w="1245" w:type="dxa"/>
            <w:gridSpan w:val="3"/>
            <w:tcBorders>
              <w:top w:val="single" w:sz="4" w:space="0" w:color="000000"/>
              <w:left w:val="single" w:sz="4" w:space="0" w:color="000000"/>
              <w:bottom w:val="single" w:sz="4" w:space="0" w:color="000000"/>
              <w:right w:val="single" w:sz="4" w:space="0" w:color="000000"/>
            </w:tcBorders>
            <w:shd w:fill="E8E8E8" w:val="clear"/>
            <w:tcMar>
              <w:top w:w="30" w:type="dxa"/>
              <w:bottom w:w="30" w:type="dxa"/>
              <w:right w:w="75" w:type="dxa"/>
            </w:tcMar>
            <w:vAlign w:val="center"/>
          </w:tcPr>
          <w:p>
            <w:pPr>
              <w:pStyle w:val="TableContents"/>
              <w:bidi w:val="0"/>
              <w:spacing w:lineRule="auto" w:line="240" w:before="0" w:after="283"/>
              <w:jc w:val="right"/>
              <w:rPr>
                <w:rFonts w:ascii="Times New Roman;serif" w:hAnsi="Times New Roman;serif"/>
                <w:b/>
                <w:i/>
                <w:color w:val="000000"/>
                <w:sz w:val="28"/>
              </w:rPr>
            </w:pPr>
            <w:r>
              <w:rPr>
                <w:rFonts w:ascii="Times New Roman;serif" w:hAnsi="Times New Roman;serif"/>
                <w:b/>
                <w:i/>
                <w:color w:val="000000"/>
                <w:sz w:val="28"/>
              </w:rPr>
              <w:t>Zip Code</w:t>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6655 Peachtree Dunwoody Road, NE</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Atlanta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30328 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10995 Westside Parkway</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Alpharetta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30009 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11130 Alpharetta Highway</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Roswell</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30076 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11505 Alpharetta Highway</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Roswell</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30076 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1355 Cobb Parkway South</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Marietta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30060 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1550 Mansell Road</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Alpharetta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30009 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1606 Church Street</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Decatur</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30033 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 Cobb Parkway</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Marietta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30080 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2550 The Nalley Way</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Atlanta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30360 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2750 South Cobb Parkway</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Smyrna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30080 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4115 Jonesboro Road</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Union City</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30291 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4197 Jonesboro Road</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Union City</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30291 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7849 Mall Parkway</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Lithonia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30038 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7909 Mall Parkway</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Lithonia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30038 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7969 Mall Parkway</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Lithonia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30038 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980 Mansell Road</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Roswell</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30076 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1650 West 104th Avenue</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Denver</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80234 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4720 West 24th Street</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Greeley</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9899 East Arapahoe Road</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Centennial</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80112 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9899 East Arapahoe Road</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Centennial</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80112 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 Andover Street, Route 114</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Danvers</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1120 Boston Providence Turnpike</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Norwood</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1130 Boston Providence Turnpike</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Norwood</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1168 Commonwealth Avenue</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Boston</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1188 Commonwealth Avenue</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Boston</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130 Boston Post Road</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Sudbury</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141 Boston Post Road</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Sudbury</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141 Derby Street</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Hingham</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1511 Bald Hill Road</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Warwick</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185 Taunton Avenue</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Seekonk</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 Latti Farm Road, Route 20</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Millbury</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 Brighton Avenue</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Boston </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 Providence Highway</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Sharon</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253 North Main Street</w:t>
            </w:r>
          </w:p>
        </w:tc>
        <w:tc>
          <w:tcPr>
            <w:tcW w:w="10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Natick</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308 Boylston Street</w:t>
            </w:r>
          </w:p>
        </w:tc>
        <w:tc>
          <w:tcPr>
            <w:tcW w:w="101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Brookline</w:t>
            </w:r>
          </w:p>
        </w:tc>
        <w:tc>
          <w:tcPr>
            <w:tcW w:w="6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517" w:type="dxa"/>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67665"/>
                <wp:effectExtent l="0" t="0" r="0" b="0"/>
                <wp:wrapNone/>
                <wp:docPr id="20" name="Frame2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rPr/>
                      </w:pPr>
                      <w:r>
                        <w:rPr/>
                      </w:r>
                    </w:p>
                  </w:txbxContent>
                </v:textbox>
                <w10:wrap type="none"/>
              </v:rect>
            </w:pict>
          </mc:Fallback>
        </mc:AlternateContent>
      </w:r>
    </w:p>
    <w:tbl>
      <w:tblPr>
        <w:tblW w:w="6121" w:type="dxa"/>
        <w:jc w:val="left"/>
        <w:tblInd w:w="0" w:type="dxa"/>
        <w:tblLayout w:type="fixed"/>
        <w:tblCellMar>
          <w:top w:w="28" w:type="dxa"/>
          <w:left w:w="28" w:type="dxa"/>
          <w:bottom w:w="28" w:type="dxa"/>
          <w:right w:w="28" w:type="dxa"/>
        </w:tblCellMar>
      </w:tblPr>
      <w:tblGrid>
        <w:gridCol w:w="1082"/>
        <w:gridCol w:w="949"/>
        <w:gridCol w:w="953"/>
        <w:gridCol w:w="399"/>
        <w:gridCol w:w="399"/>
        <w:gridCol w:w="403"/>
        <w:gridCol w:w="230"/>
        <w:gridCol w:w="230"/>
        <w:gridCol w:w="231"/>
        <w:gridCol w:w="364"/>
        <w:gridCol w:w="364"/>
        <w:gridCol w:w="517"/>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shd w:fill="E8E8E8"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8"/>
              </w:rPr>
            </w:pPr>
            <w:r>
              <w:rPr>
                <w:rFonts w:ascii="Times New Roman;serif" w:hAnsi="Times New Roman;serif"/>
                <w:b/>
                <w:i/>
                <w:color w:val="000000"/>
                <w:sz w:val="28"/>
              </w:rPr>
              <w:t>Address</w:t>
            </w:r>
          </w:p>
        </w:tc>
        <w:tc>
          <w:tcPr>
            <w:tcW w:w="1201" w:type="dxa"/>
            <w:gridSpan w:val="3"/>
            <w:tcBorders>
              <w:top w:val="single" w:sz="4" w:space="0" w:color="000000"/>
              <w:left w:val="single" w:sz="4" w:space="0" w:color="000000"/>
            </w:tcBorders>
            <w:shd w:fill="E8E8E8"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8"/>
              </w:rPr>
            </w:pPr>
            <w:r>
              <w:rPr>
                <w:rFonts w:ascii="Times New Roman;serif" w:hAnsi="Times New Roman;serif"/>
                <w:b/>
                <w:i/>
                <w:color w:val="000000"/>
                <w:sz w:val="28"/>
              </w:rPr>
              <w:t>City</w:t>
            </w:r>
          </w:p>
        </w:tc>
        <w:tc>
          <w:tcPr>
            <w:tcW w:w="691" w:type="dxa"/>
            <w:gridSpan w:val="3"/>
            <w:tcBorders>
              <w:top w:val="single" w:sz="4" w:space="0" w:color="000000"/>
              <w:left w:val="single" w:sz="4" w:space="0" w:color="000000"/>
            </w:tcBorders>
            <w:shd w:fill="E8E8E8"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8"/>
              </w:rPr>
            </w:pPr>
            <w:r>
              <w:rPr>
                <w:rFonts w:ascii="Times New Roman;serif" w:hAnsi="Times New Roman;serif"/>
                <w:b/>
                <w:i/>
                <w:color w:val="000000"/>
                <w:sz w:val="28"/>
              </w:rPr>
              <w:t>State</w:t>
            </w:r>
          </w:p>
        </w:tc>
        <w:tc>
          <w:tcPr>
            <w:tcW w:w="1245" w:type="dxa"/>
            <w:gridSpan w:val="3"/>
            <w:tcBorders>
              <w:top w:val="single" w:sz="4" w:space="0" w:color="000000"/>
              <w:left w:val="single" w:sz="4" w:space="0" w:color="000000"/>
              <w:right w:val="single" w:sz="4" w:space="0" w:color="000000"/>
            </w:tcBorders>
            <w:shd w:fill="E8E8E8"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i/>
                <w:color w:val="000000"/>
                <w:sz w:val="28"/>
              </w:rPr>
            </w:pPr>
            <w:r>
              <w:rPr>
                <w:rFonts w:ascii="Times New Roman;serif" w:hAnsi="Times New Roman;serif"/>
                <w:b/>
                <w:i/>
                <w:color w:val="000000"/>
                <w:sz w:val="28"/>
              </w:rPr>
              <w:t>Zip Code</w:t>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310 Turnpike Road</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Westborough</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 Brighton Avenue</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Boston</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 Cambridge Street</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Burlington</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385 Broadway</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Lynnfield</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395 Broadway</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Lynnfield</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531 Boston Post Road </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Wayland</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531 Boston Post Road </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Wayland</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533 Boston Post Road </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Wayland</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533 Boston Post Road </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Wayland</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 Mystic Avenue</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Medford</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62 Cambridge Street</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Burlington</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64 Cambridge Street</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Burlington</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720 Morrissey Boulevard</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Boston</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735 Southbridge Street</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Auburn</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735 Southbridge Street</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Auburn</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75 Granite Street</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Braintree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75 Otis Street</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Westborough</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809 Washington Street</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Auburn</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83 and 105 Boston Post Road</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Sudbury</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 Andover Street</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Danvers</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93 Cambridge Street</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Burlington</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2001 Stony Creek Road</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Noblesville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46060 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3232 Harper Road</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Indianapolis</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46240 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3477 East Conner Street</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Noblesville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46060 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450 East Northfield Drive</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Brownsburg</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46112 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8693 East US Highway 36</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Avon</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46123 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9900 Pleasant Street</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Noblesville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46060 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10600 Atlantic Boulevard</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Jacksonville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32225 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10859 Philips Highway</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Jacksonville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32256 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10880 Philips Highway</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Jacksonville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32256 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11003 Atlantic Boulevard</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Jacksonville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32225 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11051 South Orange Blossom Trail</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Orlando</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32837 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11340 Philips Highway</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Jacksonville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32256 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2308 South Woodland Boulevard</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Deland</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32720 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2655 North Volusia Avenue</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Orange City</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32763 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2677 North Volusia Avenue</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Orange City</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32763 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2925 US 1 South</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 Augustine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32086 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31975 US Highway 19 North</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Palm Harbor</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4400 South US Highway 1</w:t>
            </w:r>
          </w:p>
        </w:tc>
        <w:tc>
          <w:tcPr>
            <w:tcW w:w="12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 Pierce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34982 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4429 US 1 South</w:t>
            </w:r>
          </w:p>
        </w:tc>
        <w:tc>
          <w:tcPr>
            <w:tcW w:w="120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 Pierce</w:t>
            </w:r>
          </w:p>
        </w:tc>
        <w:tc>
          <w:tcPr>
            <w:tcW w:w="6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728"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33954 </w:t>
            </w:r>
          </w:p>
        </w:tc>
        <w:tc>
          <w:tcPr>
            <w:tcW w:w="517" w:type="dxa"/>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67665"/>
                <wp:effectExtent l="0" t="0" r="0" b="0"/>
                <wp:wrapNone/>
                <wp:docPr id="21" name="Frame2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rPr/>
                      </w:pPr>
                      <w:r>
                        <w:rPr/>
                      </w:r>
                    </w:p>
                  </w:txbxContent>
                </v:textbox>
                <w10:wrap type="none"/>
              </v:rect>
            </w:pict>
          </mc:Fallback>
        </mc:AlternateContent>
      </w:r>
    </w:p>
    <w:tbl>
      <w:tblPr>
        <w:tblW w:w="6016" w:type="dxa"/>
        <w:jc w:val="left"/>
        <w:tblInd w:w="0" w:type="dxa"/>
        <w:tblLayout w:type="fixed"/>
        <w:tblCellMar>
          <w:top w:w="28" w:type="dxa"/>
          <w:left w:w="28" w:type="dxa"/>
          <w:bottom w:w="28" w:type="dxa"/>
          <w:right w:w="28" w:type="dxa"/>
        </w:tblCellMar>
      </w:tblPr>
      <w:tblGrid>
        <w:gridCol w:w="1018"/>
        <w:gridCol w:w="891"/>
        <w:gridCol w:w="896"/>
        <w:gridCol w:w="421"/>
        <w:gridCol w:w="421"/>
        <w:gridCol w:w="433"/>
        <w:gridCol w:w="230"/>
        <w:gridCol w:w="230"/>
        <w:gridCol w:w="231"/>
        <w:gridCol w:w="364"/>
        <w:gridCol w:w="364"/>
        <w:gridCol w:w="517"/>
      </w:tblGrid>
      <w:tr>
        <w:trPr/>
        <w:tc>
          <w:tcPr>
            <w:tcW w:w="101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shd w:fill="E8E8E8"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8"/>
              </w:rPr>
            </w:pPr>
            <w:r>
              <w:rPr>
                <w:rFonts w:ascii="Times New Roman;serif" w:hAnsi="Times New Roman;serif"/>
                <w:b/>
                <w:i/>
                <w:color w:val="000000"/>
                <w:sz w:val="28"/>
              </w:rPr>
              <w:t>Address</w:t>
            </w:r>
          </w:p>
        </w:tc>
        <w:tc>
          <w:tcPr>
            <w:tcW w:w="1275" w:type="dxa"/>
            <w:gridSpan w:val="3"/>
            <w:tcBorders>
              <w:top w:val="single" w:sz="4" w:space="0" w:color="000000"/>
              <w:left w:val="single" w:sz="4" w:space="0" w:color="000000"/>
            </w:tcBorders>
            <w:shd w:fill="E8E8E8"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8"/>
              </w:rPr>
            </w:pPr>
            <w:r>
              <w:rPr>
                <w:rFonts w:ascii="Times New Roman;serif" w:hAnsi="Times New Roman;serif"/>
                <w:b/>
                <w:i/>
                <w:color w:val="000000"/>
                <w:sz w:val="28"/>
              </w:rPr>
              <w:t>City</w:t>
            </w:r>
          </w:p>
        </w:tc>
        <w:tc>
          <w:tcPr>
            <w:tcW w:w="691" w:type="dxa"/>
            <w:gridSpan w:val="3"/>
            <w:tcBorders>
              <w:top w:val="single" w:sz="4" w:space="0" w:color="000000"/>
              <w:left w:val="single" w:sz="4" w:space="0" w:color="000000"/>
            </w:tcBorders>
            <w:shd w:fill="E8E8E8"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8"/>
              </w:rPr>
            </w:pPr>
            <w:r>
              <w:rPr>
                <w:rFonts w:ascii="Times New Roman;serif" w:hAnsi="Times New Roman;serif"/>
                <w:b/>
                <w:i/>
                <w:color w:val="000000"/>
                <w:sz w:val="28"/>
              </w:rPr>
              <w:t>State</w:t>
            </w:r>
          </w:p>
        </w:tc>
        <w:tc>
          <w:tcPr>
            <w:tcW w:w="1245" w:type="dxa"/>
            <w:gridSpan w:val="3"/>
            <w:tcBorders>
              <w:top w:val="single" w:sz="4" w:space="0" w:color="000000"/>
              <w:left w:val="single" w:sz="4" w:space="0" w:color="000000"/>
              <w:right w:val="single" w:sz="4" w:space="0" w:color="000000"/>
            </w:tcBorders>
            <w:shd w:fill="E8E8E8"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i/>
                <w:color w:val="000000"/>
                <w:sz w:val="28"/>
              </w:rPr>
            </w:pPr>
            <w:r>
              <w:rPr>
                <w:rFonts w:ascii="Times New Roman;serif" w:hAnsi="Times New Roman;serif"/>
                <w:b/>
                <w:i/>
                <w:color w:val="000000"/>
                <w:sz w:val="28"/>
              </w:rPr>
              <w:t>Zip Code</w:t>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4450 US 1 South</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 Pierce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34982 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4500 US 1 South</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 Pierce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34982 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7245 Blanding Boulevard</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Jacksonville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9650 Atlantic Boulevard</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Jacksonville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32225 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10207 Philadelphia Road</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White Marsh</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21162 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1051 East Broad Street</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Falls Church</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1107 West Street</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Annapolis</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21401 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12421 Auto Drive</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Clarksville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21029 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13779 Noblewood Plaza</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Woodbridge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22193 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14208 Richmond Highway</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Woodbridge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22191 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14530 Richmond Highway</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Woodbridge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22191 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1880 Opitz Boulevard</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Woodbridge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22191 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2000 Chain Bridge Road</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Vienna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22182 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2050 Chain Bridge Road</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Vienna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22182 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375 Baltimore Boulevard</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Westminster</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21157 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4045 Lee Highway</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Arlington</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22207 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46869 Harry Byrd Highway</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Sterling</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5395 Nottingham Drive</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White Marsh</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21162 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6631 Baltimore National Pike</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Catonsville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21228 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6970 Security Boulevard</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Baltimore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8529 Leesburg Pike</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Vienna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22182 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8610 Leesburg Pike</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Vienna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22182 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9610 Reisterstown Road</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Owings Mills</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21117 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10055 West Papago Freeway </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Avondale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85323 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10101 West Papago Freeway </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Avondale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85323 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10205 West Papago Freeway</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Avondale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85323 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10905 South Auto Mall Drive</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Sandy</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84070 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10990 South Automall Drive</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Sandy</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84070 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11196 West Fairview Avenue</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Boise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83713 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11442 South Lone Peak Parkway</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Draper</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84020 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11548 South Lone Peak Parkway</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Draper</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84020 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11595 West 6th Avenue</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Lakewood</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80215 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13165 North Autoshow Avenue</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Surprise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85388 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1340 South 500 West</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Salt Lake City</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84115 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17336 North 84th Lane</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Peoria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85382 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Riverview Auto Drive</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Mesa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85201 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222 South Auto Drive</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Boise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83709 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2500 West 104th Avenue</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Thornton</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80234 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2727 South Havana Street</w:t>
            </w:r>
          </w:p>
        </w:tc>
        <w:tc>
          <w:tcPr>
            <w:tcW w:w="12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Aurora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80014 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350 South Havana Street</w:t>
            </w:r>
          </w:p>
        </w:tc>
        <w:tc>
          <w:tcPr>
            <w:tcW w:w="12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Aurora</w:t>
            </w:r>
          </w:p>
        </w:tc>
        <w:tc>
          <w:tcPr>
            <w:tcW w:w="6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w:t>
            </w:r>
          </w:p>
        </w:tc>
        <w:tc>
          <w:tcPr>
            <w:tcW w:w="728"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80012 </w:t>
            </w:r>
          </w:p>
        </w:tc>
        <w:tc>
          <w:tcPr>
            <w:tcW w:w="517" w:type="dxa"/>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67665"/>
                <wp:effectExtent l="0" t="0" r="0" b="0"/>
                <wp:wrapNone/>
                <wp:docPr id="22" name="Frame2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left"/>
                        <w:rPr/>
                      </w:pPr>
                      <w:r>
                        <w:rPr/>
                      </w:r>
                    </w:p>
                  </w:txbxContent>
                </v:textbox>
                <w10:wrap type="none"/>
              </v:rect>
            </w:pict>
          </mc:Fallback>
        </mc:AlternateContent>
      </w:r>
    </w:p>
    <w:tbl>
      <w:tblPr>
        <w:tblW w:w="6811" w:type="dxa"/>
        <w:jc w:val="left"/>
        <w:tblInd w:w="0" w:type="dxa"/>
        <w:tblLayout w:type="fixed"/>
        <w:tblCellMar>
          <w:top w:w="28" w:type="dxa"/>
          <w:left w:w="28" w:type="dxa"/>
          <w:bottom w:w="28" w:type="dxa"/>
          <w:right w:w="28" w:type="dxa"/>
        </w:tblCellMar>
      </w:tblPr>
      <w:tblGrid>
        <w:gridCol w:w="1343"/>
        <w:gridCol w:w="1177"/>
        <w:gridCol w:w="1184"/>
        <w:gridCol w:w="388"/>
        <w:gridCol w:w="388"/>
        <w:gridCol w:w="395"/>
        <w:gridCol w:w="230"/>
        <w:gridCol w:w="230"/>
        <w:gridCol w:w="231"/>
        <w:gridCol w:w="364"/>
        <w:gridCol w:w="364"/>
        <w:gridCol w:w="517"/>
      </w:tblGrid>
      <w:tr>
        <w:trPr/>
        <w:tc>
          <w:tcPr>
            <w:tcW w:w="134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shd w:fill="E8E8E8"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8"/>
              </w:rPr>
            </w:pPr>
            <w:r>
              <w:rPr>
                <w:rFonts w:ascii="Times New Roman;serif" w:hAnsi="Times New Roman;serif"/>
                <w:b/>
                <w:i/>
                <w:color w:val="000000"/>
                <w:sz w:val="28"/>
              </w:rPr>
              <w:t>Address</w:t>
            </w:r>
          </w:p>
        </w:tc>
        <w:tc>
          <w:tcPr>
            <w:tcW w:w="1171" w:type="dxa"/>
            <w:gridSpan w:val="3"/>
            <w:tcBorders>
              <w:top w:val="single" w:sz="4" w:space="0" w:color="000000"/>
              <w:left w:val="single" w:sz="4" w:space="0" w:color="000000"/>
            </w:tcBorders>
            <w:shd w:fill="E8E8E8"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8"/>
              </w:rPr>
            </w:pPr>
            <w:r>
              <w:rPr>
                <w:rFonts w:ascii="Times New Roman;serif" w:hAnsi="Times New Roman;serif"/>
                <w:b/>
                <w:i/>
                <w:color w:val="000000"/>
                <w:sz w:val="28"/>
              </w:rPr>
              <w:t>City</w:t>
            </w:r>
          </w:p>
        </w:tc>
        <w:tc>
          <w:tcPr>
            <w:tcW w:w="691" w:type="dxa"/>
            <w:gridSpan w:val="3"/>
            <w:tcBorders>
              <w:top w:val="single" w:sz="4" w:space="0" w:color="000000"/>
              <w:left w:val="single" w:sz="4" w:space="0" w:color="000000"/>
            </w:tcBorders>
            <w:shd w:fill="E8E8E8"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8"/>
              </w:rPr>
            </w:pPr>
            <w:r>
              <w:rPr>
                <w:rFonts w:ascii="Times New Roman;serif" w:hAnsi="Times New Roman;serif"/>
                <w:b/>
                <w:i/>
                <w:color w:val="000000"/>
                <w:sz w:val="28"/>
              </w:rPr>
              <w:t>State</w:t>
            </w:r>
          </w:p>
        </w:tc>
        <w:tc>
          <w:tcPr>
            <w:tcW w:w="1245" w:type="dxa"/>
            <w:gridSpan w:val="3"/>
            <w:tcBorders>
              <w:top w:val="single" w:sz="4" w:space="0" w:color="000000"/>
              <w:left w:val="single" w:sz="4" w:space="0" w:color="000000"/>
              <w:right w:val="single" w:sz="4" w:space="0" w:color="000000"/>
            </w:tcBorders>
            <w:shd w:fill="E8E8E8"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i/>
                <w:color w:val="000000"/>
                <w:sz w:val="28"/>
              </w:rPr>
            </w:pPr>
            <w:r>
              <w:rPr>
                <w:rFonts w:ascii="Times New Roman;serif" w:hAnsi="Times New Roman;serif"/>
                <w:b/>
                <w:i/>
                <w:color w:val="000000"/>
                <w:sz w:val="28"/>
              </w:rPr>
              <w:t>Zip Code</w:t>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4220 East 22nd Street</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Tucson</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85711 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460 East Auto Center Drive</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Mesa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85204 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5500 South State Street</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Murray</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84107 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5650 South State Street</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Murray</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84107 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5808 South State Street</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Murray</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84107 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5995 Alameda Boulevard NE</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Albuquerque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87113 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7201 &amp; 7501 Lomas Boulevard NE</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Albuquerque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87110 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7710 West Gratz Drive</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Boise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83709 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7800 East 22nd Street</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Tucson</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85710 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8303 West Colfax Avenue</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Lakewood</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80214 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8425 W Bell Road</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Peoria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85382 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8528 Lomas Boulevard NE</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Albuquerque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87110 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8633 West Bell Road</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Peoria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85382 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8665 West Bell Road </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Peoria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85382 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8800 Lomas NE</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Albuquerque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87112 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900 West AutoMall Drive</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Tucson</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85705 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9733 Coors Boulevard NW</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Albuquerque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9820 Coors Boulevard NW</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Albuquerque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1300 East State Highway 114</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Dallas</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75261 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3515 Inwood Road</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Dallas</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75209 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4201 Beltway Place</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Arlington</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76018 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5601 Bryant Irvin Road</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 Worth</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76132 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6107 Lemmon Avenue</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Dallas</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75209 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6113 Lemmon Avenue</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Dallas</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75209 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6785 Dallas Parkway</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Plano</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75024 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901 East State Highway 114</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Grapevine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76051 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2686 Laurens Road</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Greenville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29607 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2700 Laurns Road</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Greenville</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29607 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15000 West Colfax Avenue</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Lakewood</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80401 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444 South Havana Street</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Aurora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80012 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5500 South Broadway</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Littleton</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80121 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780 Denver West Colorado Mills Boulevard</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Lakewood</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80401 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7999 West Colfax Avenue</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Lakewood</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80214 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801 Denver West Colorado Mills Boulevard</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Lakewood</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80401 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8177 Raspberry Way</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Frederick</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8337 Rasberry Way</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Frederick</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3800 West Hillsborough Avenue</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Tampa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3810 West Hillsborough Avenue</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Tampa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4400 North Dale Mabry Highway</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Tampa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4600 North Dale Mabry Highway</w:t>
            </w:r>
          </w:p>
        </w:tc>
        <w:tc>
          <w:tcPr>
            <w:tcW w:w="117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Tampa</w:t>
            </w:r>
          </w:p>
        </w:tc>
        <w:tc>
          <w:tcPr>
            <w:tcW w:w="6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728"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33614 </w:t>
            </w:r>
          </w:p>
        </w:tc>
        <w:tc>
          <w:tcPr>
            <w:tcW w:w="517" w:type="dxa"/>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67665"/>
                <wp:effectExtent l="0" t="0" r="0" b="0"/>
                <wp:wrapNone/>
                <wp:docPr id="23" name="Frame2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rPr/>
                      </w:pPr>
                      <w:r>
                        <w:rPr/>
                      </w:r>
                    </w:p>
                  </w:txbxContent>
                </v:textbox>
                <w10:wrap type="none"/>
              </v:rect>
            </w:pict>
          </mc:Fallback>
        </mc:AlternateContent>
      </w:r>
    </w:p>
    <w:tbl>
      <w:tblPr>
        <w:tblW w:w="5387" w:type="dxa"/>
        <w:jc w:val="left"/>
        <w:tblInd w:w="0" w:type="dxa"/>
        <w:tblLayout w:type="fixed"/>
        <w:tblCellMar>
          <w:top w:w="28" w:type="dxa"/>
          <w:left w:w="28" w:type="dxa"/>
          <w:bottom w:w="28" w:type="dxa"/>
          <w:right w:w="28" w:type="dxa"/>
        </w:tblCellMar>
      </w:tblPr>
      <w:tblGrid>
        <w:gridCol w:w="875"/>
        <w:gridCol w:w="768"/>
        <w:gridCol w:w="772"/>
        <w:gridCol w:w="343"/>
        <w:gridCol w:w="343"/>
        <w:gridCol w:w="350"/>
        <w:gridCol w:w="230"/>
        <w:gridCol w:w="230"/>
        <w:gridCol w:w="231"/>
        <w:gridCol w:w="364"/>
        <w:gridCol w:w="364"/>
        <w:gridCol w:w="517"/>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4" w:space="0" w:color="000000"/>
              <w:left w:val="single" w:sz="4" w:space="0" w:color="000000"/>
            </w:tcBorders>
            <w:shd w:fill="E8E8E8"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8"/>
              </w:rPr>
            </w:pPr>
            <w:r>
              <w:rPr>
                <w:rFonts w:ascii="Times New Roman;serif" w:hAnsi="Times New Roman;serif"/>
                <w:b/>
                <w:i/>
                <w:color w:val="000000"/>
                <w:sz w:val="28"/>
              </w:rPr>
              <w:t>Address</w:t>
            </w:r>
          </w:p>
        </w:tc>
        <w:tc>
          <w:tcPr>
            <w:tcW w:w="1036" w:type="dxa"/>
            <w:gridSpan w:val="3"/>
            <w:tcBorders>
              <w:top w:val="single" w:sz="4" w:space="0" w:color="000000"/>
              <w:left w:val="single" w:sz="4" w:space="0" w:color="000000"/>
            </w:tcBorders>
            <w:shd w:fill="E8E8E8"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8"/>
              </w:rPr>
            </w:pPr>
            <w:r>
              <w:rPr>
                <w:rFonts w:ascii="Times New Roman;serif" w:hAnsi="Times New Roman;serif"/>
                <w:b/>
                <w:i/>
                <w:color w:val="000000"/>
                <w:sz w:val="28"/>
              </w:rPr>
              <w:t>City</w:t>
            </w:r>
          </w:p>
        </w:tc>
        <w:tc>
          <w:tcPr>
            <w:tcW w:w="691" w:type="dxa"/>
            <w:gridSpan w:val="3"/>
            <w:tcBorders>
              <w:top w:val="single" w:sz="4" w:space="0" w:color="000000"/>
              <w:left w:val="single" w:sz="4" w:space="0" w:color="000000"/>
            </w:tcBorders>
            <w:shd w:fill="E8E8E8"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8"/>
              </w:rPr>
            </w:pPr>
            <w:r>
              <w:rPr>
                <w:rFonts w:ascii="Times New Roman;serif" w:hAnsi="Times New Roman;serif"/>
                <w:b/>
                <w:i/>
                <w:color w:val="000000"/>
                <w:sz w:val="28"/>
              </w:rPr>
              <w:t>State</w:t>
            </w:r>
          </w:p>
        </w:tc>
        <w:tc>
          <w:tcPr>
            <w:tcW w:w="1245" w:type="dxa"/>
            <w:gridSpan w:val="3"/>
            <w:tcBorders>
              <w:top w:val="single" w:sz="4" w:space="0" w:color="000000"/>
              <w:left w:val="single" w:sz="4" w:space="0" w:color="000000"/>
              <w:right w:val="single" w:sz="4" w:space="0" w:color="000000"/>
            </w:tcBorders>
            <w:shd w:fill="E8E8E8"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i/>
                <w:color w:val="000000"/>
                <w:sz w:val="28"/>
              </w:rPr>
            </w:pPr>
            <w:r>
              <w:rPr>
                <w:rFonts w:ascii="Times New Roman;serif" w:hAnsi="Times New Roman;serif"/>
                <w:b/>
                <w:i/>
                <w:color w:val="000000"/>
                <w:sz w:val="28"/>
              </w:rPr>
              <w:t>Zip Code</w:t>
            </w:r>
          </w:p>
        </w:tc>
      </w:tr>
      <w:tr>
        <w:trPr/>
        <w:tc>
          <w:tcPr>
            <w:tcW w:w="2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9205 Adamo Drive</w:t>
            </w:r>
          </w:p>
        </w:tc>
        <w:tc>
          <w:tcPr>
            <w:tcW w:w="10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Tampa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33619 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9207 Adamo Drive</w:t>
            </w:r>
          </w:p>
        </w:tc>
        <w:tc>
          <w:tcPr>
            <w:tcW w:w="10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Tampa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33619 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9210 Adamo Drive</w:t>
            </w:r>
          </w:p>
        </w:tc>
        <w:tc>
          <w:tcPr>
            <w:tcW w:w="10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Tampa</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33619 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1601 North Dallas Parkway </w:t>
              <w:br/>
              <w:t>(7200 State Highway 121)</w:t>
            </w:r>
          </w:p>
        </w:tc>
        <w:tc>
          <w:tcPr>
            <w:tcW w:w="10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Frisco</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75034 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300 West Loop 820 South</w:t>
            </w:r>
          </w:p>
        </w:tc>
        <w:tc>
          <w:tcPr>
            <w:tcW w:w="10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 Worth</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76108 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3700 West Airport Freeway</w:t>
            </w:r>
          </w:p>
        </w:tc>
        <w:tc>
          <w:tcPr>
            <w:tcW w:w="10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Irving</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75062 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6400 TX-121</w:t>
            </w:r>
          </w:p>
        </w:tc>
        <w:tc>
          <w:tcPr>
            <w:tcW w:w="10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Frisco</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75034 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6645 Dallas Parkway</w:t>
            </w:r>
          </w:p>
        </w:tc>
        <w:tc>
          <w:tcPr>
            <w:tcW w:w="10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Plano</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75024 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12100 Midlothian Turnpike</w:t>
            </w:r>
          </w:p>
        </w:tc>
        <w:tc>
          <w:tcPr>
            <w:tcW w:w="10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Midlothian</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23113 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8704 West Broad Street</w:t>
            </w:r>
          </w:p>
        </w:tc>
        <w:tc>
          <w:tcPr>
            <w:tcW w:w="10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Richmond</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8710 West Broad Street </w:t>
            </w:r>
          </w:p>
        </w:tc>
        <w:tc>
          <w:tcPr>
            <w:tcW w:w="10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Richmond</w:t>
            </w:r>
          </w:p>
        </w:tc>
        <w:tc>
          <w:tcPr>
            <w:tcW w:w="6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w:t>
            </w:r>
          </w:p>
        </w:tc>
        <w:tc>
          <w:tcPr>
            <w:tcW w:w="72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23294 </w:t>
            </w:r>
          </w:p>
        </w:tc>
        <w:tc>
          <w:tcPr>
            <w:tcW w:w="51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8712 West Broad Street </w:t>
            </w:r>
          </w:p>
        </w:tc>
        <w:tc>
          <w:tcPr>
            <w:tcW w:w="103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Richmond</w:t>
            </w:r>
          </w:p>
        </w:tc>
        <w:tc>
          <w:tcPr>
            <w:tcW w:w="6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w:t>
            </w:r>
          </w:p>
        </w:tc>
        <w:tc>
          <w:tcPr>
            <w:tcW w:w="728"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23294 </w:t>
            </w:r>
          </w:p>
        </w:tc>
        <w:tc>
          <w:tcPr>
            <w:tcW w:w="517" w:type="dxa"/>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55" w:after="283"/>
        <w:jc w:val="left"/>
        <w:rPr/>
      </w:pPr>
      <w:r>
        <w:rPr/>
      </w:r>
    </w:p>
    <w:p>
      <w:pPr>
        <w:pStyle w:val="TextBody"/>
        <w:bidi w:val="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67665"/>
                <wp:effectExtent l="0" t="0" r="0" b="0"/>
                <wp:wrapNone/>
                <wp:docPr id="24" name="Frame2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8699</Words>
  <Characters>46339</Characters>
  <CharactersWithSpaces>54621</CharactersWithSpaces>
  <Paragraphs>912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