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088816.xml.htm"/>
      <w:bookmarkStart w:id="1" w:name="kswkform4_17730888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Calloway Dean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ASBURY AUTOMOTIVE GROUP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6655 PEACHTREE DUNWOODY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ASBURY AUTOMOTIVE GROUP INC</w:t>
              </w:r>
            </w:hyperlink>
            <w:r>
              <w:rPr/>
              <w:t xml:space="preserve"> [ </w:t>
            </w:r>
            <w:r>
              <w:rPr>
                <w:rFonts w:ascii="Times;serif" w:hAnsi="Times;serif"/>
                <w:color w:val="0000FF"/>
                <w:sz w:val="24"/>
                <w:shd w:fill="FFFFFF" w:val="clear"/>
              </w:rPr>
              <w:t>ABG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General Counsel &amp;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2,038</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302</w:t>
            </w:r>
            <w:r>
              <w:rPr>
                <w:rFonts w:ascii="Times;serif" w:hAnsi="Times;serif"/>
                <w:color w:val="008000"/>
                <w:position w:val="7"/>
                <w:sz w:val="16"/>
                <w:sz w:val="20"/>
                <w:shd w:fill="FFFFFF" w:val="clear"/>
              </w:rPr>
              <w:t>(2)</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212.48</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8,416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performance share units upon the Issuer having met certain performance objectives, which objectives were certified as having been met on March 5, 2026. Each performance share unit converts into one share of the Issuer's common stock upon vesting. One-third of the performance share units granted on February 19, 2025 vested upon certification of the objectives having been met, which occurred on March 5, 2026, an additional one-third vests on February 19, 2027 and the remaining one-third vests on February 19,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of the Issuer's common stock withheld for payment of taxes upon the vesting of performance share units, and the conversion of such units into shares of the Issuer's common stock, granted on February 19,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/s/Dean Calloway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8945" TargetMode="External"/><Relationship Id="rId5" Type="http://schemas.openxmlformats.org/officeDocument/2006/relationships/hyperlink" Target="http://www.sec.gov/cgi-bin/browse-edgar?action=getcompany&amp;CIK=00011449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3775</Characters>
  <CharactersWithSpaces>4408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