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Welch Michael</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ASBURY AUTOMOTIVE GROUP</w:t>
            </w:r>
          </w:p>
        </w:tc>
      </w:tr>
      <w:tr>
        <w:trPr>
          <w:trHeight w:val="267"/>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2905 PREMIERE PKWY, SUITE 300</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DULUTH</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30097</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ASBURY AUTOMOTIVE GROUP INC </w:t>
              </w:r>
            </w:hyperlink>
            <w:r>
              <w:rPr>
                <w:rFonts w:ascii="Times New Roman" w:cs="Times New Roman" w:eastAsia="Times New Roman" w:hAnsi="Times New Roman"/>
                <w:sz w:val="21"/>
                <w:szCs w:val="21"/>
                <w:color w:val="000000"/>
              </w:rPr>
              <w:t>[</w:t>
            </w:r>
          </w:p>
        </w:tc>
        <w:tc>
          <w:tcPr>
            <w:tcW w:w="212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52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ABG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180" w:type="dxa"/>
            <w:vAlign w:val="bottom"/>
          </w:tcPr>
          <w:p>
            <w:pPr>
              <w:ind w:left="4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352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92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vMerge w:val="continue"/>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4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ind w:left="400"/>
              <w:spacing w:after="0"/>
              <w:rPr>
                <w:sz w:val="20"/>
                <w:szCs w:val="20"/>
                <w:color w:val="auto"/>
              </w:rPr>
            </w:pPr>
            <w:r>
              <w:rPr>
                <w:rFonts w:ascii="Arial" w:cs="Arial" w:eastAsia="Arial" w:hAnsi="Arial"/>
                <w:sz w:val="13"/>
                <w:szCs w:val="13"/>
                <w:color w:val="auto"/>
              </w:rPr>
              <w:t>below)</w:t>
            </w:r>
          </w:p>
        </w:tc>
        <w:tc>
          <w:tcPr>
            <w:tcW w:w="1180" w:type="dxa"/>
            <w:vAlign w:val="bottom"/>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920" w:type="dxa"/>
            <w:vAlign w:val="bottom"/>
          </w:tcPr>
          <w:p>
            <w:pPr>
              <w:ind w:left="1020"/>
              <w:spacing w:after="0" w:line="185" w:lineRule="exact"/>
              <w:rPr>
                <w:sz w:val="20"/>
                <w:szCs w:val="20"/>
                <w:color w:val="auto"/>
              </w:rPr>
            </w:pPr>
            <w:r>
              <w:rPr>
                <w:rFonts w:ascii="Times New Roman" w:cs="Times New Roman" w:eastAsia="Times New Roman" w:hAnsi="Times New Roman"/>
                <w:sz w:val="17"/>
                <w:szCs w:val="17"/>
                <w:color w:val="0000FF"/>
              </w:rPr>
              <w:t>SVP &amp; CFO</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03/06/2025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4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03/06/2025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right="17"/>
              <w:spacing w:after="0"/>
              <w:rPr>
                <w:sz w:val="20"/>
                <w:szCs w:val="20"/>
                <w:color w:val="auto"/>
              </w:rPr>
            </w:pPr>
            <w:r>
              <w:rPr>
                <w:rFonts w:ascii="Times New Roman" w:cs="Times New Roman" w:eastAsia="Times New Roman" w:hAnsi="Times New Roman"/>
                <w:sz w:val="17"/>
                <w:szCs w:val="17"/>
                <w:color w:val="0000FF"/>
              </w:rPr>
              <w:t>2,214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12,893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03/06/2025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ind w:right="77"/>
              <w:spacing w:after="0" w:line="320" w:lineRule="exact"/>
              <w:rPr>
                <w:sz w:val="20"/>
                <w:szCs w:val="20"/>
                <w:color w:val="auto"/>
              </w:rPr>
            </w:pPr>
            <w:r>
              <w:rPr>
                <w:rFonts w:ascii="Times New Roman" w:cs="Times New Roman" w:eastAsia="Times New Roman" w:hAnsi="Times New Roman"/>
                <w:sz w:val="34"/>
                <w:szCs w:val="34"/>
                <w:color w:val="0000FF"/>
                <w:vertAlign w:val="subscript"/>
              </w:rPr>
              <w:t>330</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260.55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12,563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performance share units upon the Issuer having met certain performance objectives, which objectives were certified as having been met on March 6, 2025. One-third of the performance share units granted on February 20, 2024 vested upon certification of the objectives having been met, which occurred on March 6, 2025, an additional one-third vests on February 20, 2026 and the remaining one-third vests on February 20, 2027.</w:t>
      </w:r>
    </w:p>
    <w:p>
      <w:pPr>
        <w:spacing w:after="0" w:line="2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the Issuer's common stock withheld for payment of taxes upon the vesting of performance share units, and the conversion of such units into shares of the Issuer's common stock, granted on February 20,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/s/Dean Calloway, Attorney</w:t>
            </w:r>
          </w:p>
        </w:tc>
        <w:tc>
          <w:tcPr>
            <w:tcW w:w="1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03/10/2025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28454" TargetMode="External"/><Relationship Id="rId14" Type="http://schemas.openxmlformats.org/officeDocument/2006/relationships/hyperlink" Target="http://www.sec.gov/cgi-bin/browse-edgar?action=getcompany&amp;CIK=00011449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2025-03-10T15:21:45Z</dcterms:created>
  <dcterms:modified xsi:type="dcterms:W3CDTF">2025-03-10T15:21:45Z</dcterms:modified>
</cp:coreProperties>
</file>