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847862.xml.htm"/>
      <w:bookmarkStart w:id="1" w:name="kswkform4_17708478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Briesemeister Nathan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ASBURY AUTOMOTIVE GROUP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6655 PEACHTREE DUNWOODY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ASBURY AUTOMOTIVE GROUP INC</w:t>
              </w:r>
            </w:hyperlink>
            <w:r>
              <w:rPr/>
              <w:t xml:space="preserve"> [ </w:t>
            </w:r>
            <w:r>
              <w:rPr>
                <w:rFonts w:ascii="Times;serif" w:hAnsi="Times;serif"/>
                <w:color w:val="0000FF"/>
                <w:sz w:val="24"/>
                <w:shd w:fill="FFFFFF" w:val="clear"/>
              </w:rPr>
              <w:t>ABG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Controller &amp;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333</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share units. Each restricted share unit converts into one share of the Issuer's common stock upon vesting. Vesting will occur in three equal annual installments beginning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/s/Dean Calloway,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1763" TargetMode="External"/><Relationship Id="rId5" Type="http://schemas.openxmlformats.org/officeDocument/2006/relationships/hyperlink" Target="http://www.sec.gov/cgi-bin/browse-edgar?action=getcompany&amp;CIK=00011449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3305</Characters>
  <CharactersWithSpaces>3850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