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786765</wp:posOffset>
            </wp:positionV>
            <wp:extent cx="69291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12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753110</wp:posOffset>
            </wp:positionV>
            <wp:extent cx="6929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120" cy="8255"/>
                    </a:xfrm>
                    <a:prstGeom prst="rect">
                      <a:avLst/>
                    </a:prstGeom>
                    <a:noFill/>
                  </pic:spPr>
                </pic:pic>
              </a:graphicData>
            </a:graphic>
          </wp:anchor>
        </w:drawing>
        <w:t>UNITED STATES</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56515</wp:posOffset>
            </wp:positionV>
            <wp:extent cx="24091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85725</wp:posOffset>
            </wp:positionV>
            <wp:extent cx="24091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173355</wp:posOffset>
            </wp:positionV>
            <wp:extent cx="2409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Asbury Automotive Group, Inc.</w:t>
      </w:r>
    </w:p>
    <w:p>
      <w:pPr>
        <w:spacing w:after="0" w:line="6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54610</wp:posOffset>
            </wp:positionV>
            <wp:extent cx="24091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138" w:lineRule="exact"/>
        <w:rPr>
          <w:sz w:val="24"/>
          <w:szCs w:val="24"/>
          <w:color w:val="auto"/>
        </w:rPr>
      </w:pPr>
    </w:p>
    <w:tbl>
      <w:tblPr>
        <w:tblLayout w:type="fixed"/>
        <w:tblInd w:w="1480" w:type="dxa"/>
        <w:tblCellMar>
          <w:top w:w="0" w:type="dxa"/>
          <w:left w:w="0" w:type="dxa"/>
          <w:bottom w:w="0" w:type="dxa"/>
          <w:right w:w="0" w:type="dxa"/>
        </w:tblCellMar>
      </w:tblPr>
      <w:tr>
        <w:trPr>
          <w:trHeight w:val="237"/>
        </w:trPr>
        <w:tc>
          <w:tcPr>
            <w:tcW w:w="2600" w:type="dxa"/>
            <w:vAlign w:val="bottom"/>
          </w:tcPr>
          <w:p>
            <w:pPr>
              <w:spacing w:after="0"/>
              <w:rPr>
                <w:sz w:val="20"/>
                <w:szCs w:val="20"/>
                <w:color w:val="auto"/>
              </w:rPr>
            </w:pPr>
          </w:p>
        </w:tc>
        <w:tc>
          <w:tcPr>
            <w:tcW w:w="5780" w:type="dxa"/>
            <w:vAlign w:val="bottom"/>
          </w:tcPr>
          <w:p>
            <w:pPr>
              <w:jc w:val="center"/>
              <w:ind w:right="2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85"/>
        </w:trPr>
        <w:tc>
          <w:tcPr>
            <w:tcW w:w="2600" w:type="dxa"/>
            <w:vAlign w:val="bottom"/>
          </w:tcPr>
          <w:p>
            <w:pPr>
              <w:spacing w:after="0"/>
              <w:rPr>
                <w:sz w:val="16"/>
                <w:szCs w:val="16"/>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r>
      <w:tr>
        <w:trPr>
          <w:trHeight w:val="344"/>
        </w:trPr>
        <w:tc>
          <w:tcPr>
            <w:tcW w:w="260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001-31262</w:t>
            </w:r>
          </w:p>
        </w:tc>
        <w:tc>
          <w:tcPr>
            <w:tcW w:w="578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65"/>
        </w:trPr>
        <w:tc>
          <w:tcPr>
            <w:tcW w:w="260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5780" w:type="dxa"/>
            <w:vAlign w:val="bottom"/>
          </w:tcPr>
          <w:p>
            <w:pPr>
              <w:jc w:val="center"/>
              <w:ind w:left="3881"/>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342"/>
        </w:trPr>
        <w:tc>
          <w:tcPr>
            <w:tcW w:w="260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6655 Peachtree Dunwoody Road</w:t>
            </w:r>
          </w:p>
        </w:tc>
        <w:tc>
          <w:tcPr>
            <w:tcW w:w="5780" w:type="dxa"/>
            <w:vAlign w:val="bottom"/>
          </w:tcPr>
          <w:p>
            <w:pPr>
              <w:spacing w:after="0"/>
              <w:rPr>
                <w:sz w:val="24"/>
                <w:szCs w:val="24"/>
                <w:color w:val="auto"/>
              </w:rPr>
            </w:pPr>
          </w:p>
        </w:tc>
      </w:tr>
      <w:tr>
        <w:trPr>
          <w:trHeight w:val="228"/>
        </w:trPr>
        <w:tc>
          <w:tcPr>
            <w:tcW w:w="260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Atlanta, GA</w:t>
            </w:r>
          </w:p>
        </w:tc>
        <w:tc>
          <w:tcPr>
            <w:tcW w:w="5780" w:type="dxa"/>
            <w:vAlign w:val="bottom"/>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30328</w:t>
            </w:r>
          </w:p>
        </w:tc>
      </w:tr>
      <w:tr>
        <w:trPr>
          <w:trHeight w:val="238"/>
        </w:trPr>
        <w:tc>
          <w:tcPr>
            <w:tcW w:w="2600" w:type="dxa"/>
            <w:vAlign w:val="bottom"/>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780" w:type="dxa"/>
            <w:vAlign w:val="bottom"/>
          </w:tcPr>
          <w:p>
            <w:pPr>
              <w:jc w:val="center"/>
              <w:ind w:left="3881"/>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636"/>
        </w:trPr>
        <w:tc>
          <w:tcPr>
            <w:tcW w:w="2600" w:type="dxa"/>
            <w:vAlign w:val="bottom"/>
          </w:tcPr>
          <w:p>
            <w:pPr>
              <w:spacing w:after="0"/>
              <w:rPr>
                <w:sz w:val="24"/>
                <w:szCs w:val="24"/>
                <w:color w:val="auto"/>
              </w:rPr>
            </w:pPr>
          </w:p>
        </w:tc>
        <w:tc>
          <w:tcPr>
            <w:tcW w:w="5780" w:type="dxa"/>
            <w:vAlign w:val="bottom"/>
          </w:tcPr>
          <w:p>
            <w:pPr>
              <w:jc w:val="center"/>
              <w:ind w:right="2621"/>
              <w:spacing w:after="0"/>
              <w:rPr>
                <w:sz w:val="20"/>
                <w:szCs w:val="20"/>
                <w:color w:val="auto"/>
              </w:rPr>
            </w:pPr>
            <w:r>
              <w:rPr>
                <w:rFonts w:ascii="Times New Roman" w:cs="Times New Roman" w:eastAsia="Times New Roman" w:hAnsi="Times New Roman"/>
                <w:sz w:val="18"/>
                <w:szCs w:val="18"/>
                <w:b w:val="1"/>
                <w:bCs w:val="1"/>
                <w:color w:val="auto"/>
                <w:w w:val="99"/>
              </w:rPr>
              <w:t>(770) 418-8200</w:t>
            </w:r>
          </w:p>
        </w:tc>
      </w:tr>
      <w:tr>
        <w:trPr>
          <w:trHeight w:val="165"/>
        </w:trPr>
        <w:tc>
          <w:tcPr>
            <w:tcW w:w="2600" w:type="dxa"/>
            <w:vAlign w:val="bottom"/>
          </w:tcPr>
          <w:p>
            <w:pPr>
              <w:spacing w:after="0"/>
              <w:rPr>
                <w:sz w:val="14"/>
                <w:szCs w:val="14"/>
                <w:color w:val="auto"/>
              </w:rPr>
            </w:pPr>
          </w:p>
        </w:tc>
        <w:tc>
          <w:tcPr>
            <w:tcW w:w="5780" w:type="dxa"/>
            <w:vAlign w:val="bottom"/>
          </w:tcPr>
          <w:p>
            <w:pPr>
              <w:jc w:val="center"/>
              <w:ind w:right="2601"/>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w:t>
            </w:r>
          </w:p>
        </w:tc>
      </w:tr>
    </w:tbl>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121920</wp:posOffset>
            </wp:positionV>
            <wp:extent cx="2409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342"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400" w:hanging="393"/>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7" w:lineRule="exact"/>
        <w:rPr>
          <w:rFonts w:ascii="MS PGothic" w:cs="MS PGothic" w:eastAsia="MS PGothic" w:hAnsi="MS PGothic"/>
          <w:sz w:val="20"/>
          <w:szCs w:val="20"/>
          <w:color w:val="auto"/>
        </w:rPr>
      </w:pPr>
    </w:p>
    <w:p>
      <w:pPr>
        <w:ind w:left="400" w:hanging="393"/>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1" w:lineRule="exact"/>
        <w:rPr>
          <w:rFonts w:ascii="MS PGothic" w:cs="MS PGothic" w:eastAsia="MS PGothic" w:hAnsi="MS PGothic"/>
          <w:sz w:val="20"/>
          <w:szCs w:val="20"/>
          <w:color w:val="auto"/>
        </w:rPr>
      </w:pPr>
    </w:p>
    <w:p>
      <w:pPr>
        <w:ind w:left="400" w:hanging="393"/>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1" w:lineRule="exact"/>
        <w:rPr>
          <w:rFonts w:ascii="MS PGothic" w:cs="MS PGothic" w:eastAsia="MS PGothic" w:hAnsi="MS PGothic"/>
          <w:sz w:val="20"/>
          <w:szCs w:val="20"/>
          <w:color w:val="auto"/>
        </w:rPr>
      </w:pPr>
    </w:p>
    <w:p>
      <w:pPr>
        <w:ind w:left="400" w:hanging="393"/>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06"/>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7"/>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7"/>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ABG</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460" w:type="dxa"/>
            <w:vAlign w:val="bottom"/>
          </w:tcPr>
          <w:p>
            <w:pPr>
              <w:spacing w:after="0"/>
              <w:rPr>
                <w:sz w:val="19"/>
                <w:szCs w:val="19"/>
                <w:color w:val="auto"/>
              </w:rPr>
            </w:pPr>
          </w:p>
        </w:tc>
      </w:tr>
      <w:tr>
        <w:trPr>
          <w:trHeight w:val="1208"/>
        </w:trPr>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ind w:right="54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54" w:lineRule="exact"/>
        <w:rPr>
          <w:sz w:val="20"/>
          <w:szCs w:val="20"/>
          <w:color w:val="auto"/>
        </w:rPr>
      </w:pPr>
    </w:p>
    <w:p>
      <w:pPr>
        <w:spacing w:after="0" w:line="24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7736205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85"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79" w:lineRule="exact"/>
        <w:rPr>
          <w:sz w:val="20"/>
          <w:szCs w:val="20"/>
          <w:color w:val="auto"/>
        </w:rPr>
      </w:pPr>
    </w:p>
    <w:p>
      <w:pPr>
        <w:ind w:right="60" w:firstLine="402"/>
        <w:spacing w:after="0" w:line="279" w:lineRule="auto"/>
        <w:rPr>
          <w:sz w:val="20"/>
          <w:szCs w:val="20"/>
          <w:color w:val="auto"/>
        </w:rPr>
      </w:pPr>
      <w:r>
        <w:rPr>
          <w:rFonts w:ascii="Times New Roman" w:cs="Times New Roman" w:eastAsia="Times New Roman" w:hAnsi="Times New Roman"/>
          <w:sz w:val="18"/>
          <w:szCs w:val="18"/>
          <w:color w:val="auto"/>
        </w:rPr>
        <w:t>Asbury Automotive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an earnings release on February 5, 2026, announcing its financial results for the three months and year ended December 31, 2025. A copy of the earnings release is furnished as Exhibit 99.1 to this Current Report.</w:t>
      </w:r>
    </w:p>
    <w:p>
      <w:pPr>
        <w:spacing w:after="0" w:line="109"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The information furnished in this Current Report on Form 8-K, including Exhibit 99.1,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6"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3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329"/>
        </w:trPr>
        <w:tc>
          <w:tcPr>
            <w:tcW w:w="800" w:type="dxa"/>
            <w:vAlign w:val="bottom"/>
          </w:tcPr>
          <w:p>
            <w:pPr>
              <w:spacing w:after="0"/>
              <w:rPr>
                <w:sz w:val="24"/>
                <w:szCs w:val="24"/>
                <w:color w:val="auto"/>
              </w:rPr>
            </w:pPr>
          </w:p>
        </w:tc>
        <w:tc>
          <w:tcPr>
            <w:tcW w:w="7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February 5, 2026.</w:t>
            </w:r>
          </w:p>
        </w:tc>
      </w:tr>
      <w:tr>
        <w:trPr>
          <w:trHeight w:val="248"/>
        </w:trPr>
        <w:tc>
          <w:tcPr>
            <w:tcW w:w="1000" w:type="dxa"/>
            <w:vAlign w:val="bottom"/>
            <w:gridSpan w:val="2"/>
          </w:tcPr>
          <w:p>
            <w:pPr>
              <w:spacing w:after="0"/>
              <w:rPr>
                <w:sz w:val="21"/>
                <w:szCs w:val="21"/>
                <w:color w:val="auto"/>
              </w:rPr>
            </w:pPr>
          </w:p>
        </w:tc>
        <w:tc>
          <w:tcPr>
            <w:tcW w:w="3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19"/>
        </w:trPr>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2" w:lineRule="exact"/>
        <w:rPr>
          <w:sz w:val="20"/>
          <w:szCs w:val="20"/>
          <w:color w:val="auto"/>
        </w:rPr>
      </w:pPr>
    </w:p>
    <w:p>
      <w:pPr>
        <w:ind w:right="560" w:firstLine="442"/>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560" w:type="dxa"/>
            <w:vAlign w:val="bottom"/>
          </w:tcPr>
          <w:p>
            <w:pPr>
              <w:spacing w:after="0"/>
              <w:rPr>
                <w:sz w:val="20"/>
                <w:szCs w:val="20"/>
                <w:color w:val="auto"/>
              </w:rPr>
            </w:pPr>
          </w:p>
        </w:tc>
        <w:tc>
          <w:tcPr>
            <w:tcW w:w="76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ASBURY AUTOMOTIVE GROUP, INC.</w:t>
            </w:r>
          </w:p>
        </w:tc>
      </w:tr>
      <w:tr>
        <w:trPr>
          <w:trHeight w:val="28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8"/>
                <w:szCs w:val="18"/>
                <w:color w:val="auto"/>
                <w:w w:val="97"/>
              </w:rPr>
              <w:t>/s/ Michael D. Welch</w:t>
            </w:r>
          </w:p>
        </w:tc>
      </w:tr>
      <w:tr>
        <w:trPr>
          <w:trHeight w:val="199"/>
        </w:trPr>
        <w:tc>
          <w:tcPr>
            <w:tcW w:w="3560" w:type="dxa"/>
            <w:vAlign w:val="bottom"/>
          </w:tcPr>
          <w:p>
            <w:pPr>
              <w:spacing w:after="0"/>
              <w:rPr>
                <w:sz w:val="17"/>
                <w:szCs w:val="17"/>
                <w:color w:val="auto"/>
              </w:rPr>
            </w:pPr>
          </w:p>
        </w:tc>
        <w:tc>
          <w:tcPr>
            <w:tcW w:w="2680" w:type="dxa"/>
            <w:vAlign w:val="bottom"/>
          </w:tcPr>
          <w:p>
            <w:pPr>
              <w:ind w:left="1900"/>
              <w:spacing w:after="0" w:line="199" w:lineRule="exact"/>
              <w:rPr>
                <w:sz w:val="20"/>
                <w:szCs w:val="20"/>
                <w:color w:val="auto"/>
              </w:rPr>
            </w:pPr>
            <w:r>
              <w:rPr>
                <w:rFonts w:ascii="Times New Roman" w:cs="Times New Roman" w:eastAsia="Times New Roman" w:hAnsi="Times New Roman"/>
                <w:sz w:val="18"/>
                <w:szCs w:val="18"/>
                <w:b w:val="1"/>
                <w:bCs w:val="1"/>
                <w:color w:val="auto"/>
              </w:rPr>
              <w:t>Name:</w:t>
            </w:r>
          </w:p>
        </w:tc>
        <w:tc>
          <w:tcPr>
            <w:tcW w:w="4940" w:type="dxa"/>
            <w:vAlign w:val="bottom"/>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9"/>
              </w:rPr>
              <w:t>Michael D. Welch</w:t>
            </w:r>
          </w:p>
        </w:tc>
      </w:tr>
      <w:tr>
        <w:trPr>
          <w:trHeight w:val="237"/>
        </w:trPr>
        <w:tc>
          <w:tcPr>
            <w:tcW w:w="3560" w:type="dxa"/>
            <w:vAlign w:val="bottom"/>
          </w:tcPr>
          <w:p>
            <w:pPr>
              <w:spacing w:after="0"/>
              <w:rPr>
                <w:sz w:val="20"/>
                <w:szCs w:val="20"/>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40" w:type="dxa"/>
            <w:vAlign w:val="bottom"/>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rPr>
              <w:t>Senior Vice President and Chief Financial Officer</w:t>
            </w:r>
          </w:p>
        </w:tc>
      </w:tr>
    </w:tbl>
    <w:p>
      <w:pPr>
        <w:sectPr>
          <w:pgSz w:w="11900" w:h="16838" w:orient="portrait"/>
          <w:cols w:equalWidth="0" w:num="1">
            <w:col w:w="11220"/>
          </w:cols>
          <w:pgMar w:left="320" w:top="881" w:right="35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3021965" cy="604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21965"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Investors &amp; Reporters May Contact:</w:t>
      </w:r>
    </w:p>
    <w:p>
      <w:pPr>
        <w:spacing w:after="0" w:line="24"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Joe Sorice</w:t>
      </w:r>
    </w:p>
    <w:p>
      <w:pPr>
        <w:spacing w:after="0" w:line="5"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Sr. Manager, Investor Relations</w:t>
      </w:r>
    </w:p>
    <w:p>
      <w:pPr>
        <w:spacing w:after="0" w:line="4"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(770) 418-8211</w:t>
      </w:r>
    </w:p>
    <w:p>
      <w:pPr>
        <w:spacing w:after="0" w:line="5"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ir@asburyauto.com</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Asbury Automotive Group Reports Fourth Quarter Results</w:t>
      </w:r>
    </w:p>
    <w:p>
      <w:pPr>
        <w:spacing w:after="0" w:line="90" w:lineRule="exact"/>
        <w:rPr>
          <w:sz w:val="20"/>
          <w:szCs w:val="20"/>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All-time record annual Revenue of $18 billion</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Record fourth quarter Revenue of $4.7 billion, growth of 4%</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Record fourth quarter Gross Profit of $793 million, growth of 6%</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Same store Used Retail GPU of $1,749, growth of 18%</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Same store Used Retail Gross Profit of $51 million, growth of 4%</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EPS of $3.10 per diluted share; adjusted EPS, a non-GAAP measure, of $6.67 per diluted share</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Net income of $60 million; adjusted net income, a non-GAAP measure, of $129 million</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Repurchased approximately 212,000 shares for $50 million</w:t>
      </w:r>
    </w:p>
    <w:p>
      <w:pPr>
        <w:spacing w:after="0" w:line="133" w:lineRule="exact"/>
        <w:rPr>
          <w:rFonts w:ascii="Times New Roman" w:cs="Times New Roman" w:eastAsia="Times New Roman" w:hAnsi="Times New Roman"/>
          <w:sz w:val="21"/>
          <w:szCs w:val="21"/>
          <w:i w:val="1"/>
          <w:iCs w:val="1"/>
          <w:color w:val="auto"/>
        </w:rPr>
      </w:pPr>
    </w:p>
    <w:p>
      <w:pPr>
        <w:ind w:left="640" w:hanging="311"/>
        <w:spacing w:after="0"/>
        <w:tabs>
          <w:tab w:leader="none" w:pos="64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Resumed Tekion transition with implementation across 15 additional stores</w:t>
      </w:r>
    </w:p>
    <w:p>
      <w:pPr>
        <w:spacing w:after="0" w:line="200" w:lineRule="exact"/>
        <w:rPr>
          <w:sz w:val="20"/>
          <w:szCs w:val="20"/>
          <w:color w:val="auto"/>
        </w:rPr>
      </w:pPr>
    </w:p>
    <w:p>
      <w:pPr>
        <w:spacing w:after="0" w:line="206" w:lineRule="exact"/>
        <w:rPr>
          <w:sz w:val="20"/>
          <w:szCs w:val="20"/>
          <w:color w:val="auto"/>
        </w:rPr>
      </w:pPr>
    </w:p>
    <w:p>
      <w:pPr>
        <w:jc w:val="both"/>
        <w:ind w:firstLine="18"/>
        <w:spacing w:after="0" w:line="303" w:lineRule="auto"/>
        <w:rPr>
          <w:sz w:val="20"/>
          <w:szCs w:val="20"/>
          <w:color w:val="auto"/>
        </w:rPr>
      </w:pPr>
      <w:r>
        <w:rPr>
          <w:rFonts w:ascii="Times New Roman" w:cs="Times New Roman" w:eastAsia="Times New Roman" w:hAnsi="Times New Roman"/>
          <w:sz w:val="21"/>
          <w:szCs w:val="21"/>
          <w:color w:val="auto"/>
        </w:rPr>
        <w:t>ATLANTA, GA. (February 5, 2026) — Asbury Automotive Group, Inc. (NYSE: ABG) (the “Company”), one of the largest automotive retail and service companies in the U.S., reported financial results for the fourth quarter of 2025.</w:t>
      </w:r>
    </w:p>
    <w:p>
      <w:pPr>
        <w:spacing w:after="0" w:line="154" w:lineRule="exact"/>
        <w:rPr>
          <w:sz w:val="20"/>
          <w:szCs w:val="20"/>
          <w:color w:val="auto"/>
        </w:rPr>
      </w:pPr>
    </w:p>
    <w:p>
      <w:pPr>
        <w:jc w:val="both"/>
        <w:ind w:firstLine="18"/>
        <w:spacing w:after="0" w:line="265" w:lineRule="auto"/>
        <w:rPr>
          <w:sz w:val="20"/>
          <w:szCs w:val="20"/>
          <w:color w:val="auto"/>
        </w:rPr>
      </w:pPr>
      <w:r>
        <w:rPr>
          <w:rFonts w:ascii="Times New Roman" w:cs="Times New Roman" w:eastAsia="Times New Roman" w:hAnsi="Times New Roman"/>
          <w:sz w:val="21"/>
          <w:szCs w:val="21"/>
          <w:color w:val="auto"/>
        </w:rPr>
        <w:t>“Our fourth quarter results wrapped up a productive year for Asbury,” said David Hult, Asbury’s President and Chief Executive Officer. “This year, we acquired $2.9 billion in annualized revenue, repurchased $100 million in shares and continued our transition to Tekion. We invested in our stores by deploying $186 million in capital expenditures and ended the year ahead of our leverage forecast, showing our discipline in running the business today with an eye towards our sustainable growth trajectory.”</w:t>
      </w:r>
    </w:p>
    <w:p>
      <w:pPr>
        <w:spacing w:after="0" w:line="207" w:lineRule="exact"/>
        <w:rPr>
          <w:sz w:val="20"/>
          <w:szCs w:val="20"/>
          <w:color w:val="auto"/>
        </w:rPr>
      </w:pPr>
    </w:p>
    <w:p>
      <w:pPr>
        <w:jc w:val="both"/>
        <w:ind w:firstLine="18"/>
        <w:spacing w:after="0" w:line="262" w:lineRule="auto"/>
        <w:rPr>
          <w:sz w:val="20"/>
          <w:szCs w:val="20"/>
          <w:color w:val="auto"/>
        </w:rPr>
      </w:pPr>
      <w:r>
        <w:rPr>
          <w:rFonts w:ascii="Times New Roman" w:cs="Times New Roman" w:eastAsia="Times New Roman" w:hAnsi="Times New Roman"/>
          <w:sz w:val="21"/>
          <w:szCs w:val="21"/>
          <w:color w:val="auto"/>
        </w:rPr>
        <w:t>The Company reported fourth quarter 2025 net income of $60 million ($3.10 per diluted share), a decrease of 53% from $129 million ($6.54 per diluted share) in fourth quarter 2024. The Company reported fourth quarter 2025 adjusted net income, a non-GAAP measure, of $129 million ($6.67 per diluted share), a decrease of 10% from $143 million ($7.26 per diluted share) in fourth quarter 2024. The Company also divested four stores during the fourth quarter 2025 as part of ongoing capital allocation and portfolio optimization efforts. These stores contributed an estimated annualized revenue of $150 million.</w:t>
      </w:r>
    </w:p>
    <w:p>
      <w:pPr>
        <w:spacing w:after="0" w:line="197" w:lineRule="exact"/>
        <w:rPr>
          <w:sz w:val="20"/>
          <w:szCs w:val="20"/>
          <w:color w:val="auto"/>
        </w:rPr>
      </w:pPr>
    </w:p>
    <w:p>
      <w:pPr>
        <w:jc w:val="both"/>
        <w:ind w:firstLine="18"/>
        <w:spacing w:after="0" w:line="278" w:lineRule="auto"/>
        <w:rPr>
          <w:sz w:val="20"/>
          <w:szCs w:val="20"/>
          <w:color w:val="auto"/>
        </w:rPr>
      </w:pPr>
      <w:r>
        <w:rPr>
          <w:rFonts w:ascii="Times New Roman" w:cs="Times New Roman" w:eastAsia="Times New Roman" w:hAnsi="Times New Roman"/>
          <w:sz w:val="21"/>
          <w:szCs w:val="21"/>
          <w:color w:val="auto"/>
        </w:rPr>
        <w:t>The financial measures discussed below include both GAAP and adjusted (non-GAAP) financial measures. Please see “Non-GAAP Financial Disclosure and Reconciliation, Same Store Data and Other Data” and the reconciliations for non-GAAP metrics used herein.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18"/>
        <w:spacing w:after="0" w:line="270" w:lineRule="auto"/>
        <w:rPr>
          <w:sz w:val="20"/>
          <w:szCs w:val="20"/>
          <w:color w:val="auto"/>
        </w:rPr>
      </w:pPr>
      <w:r>
        <w:rPr>
          <w:rFonts w:ascii="Times New Roman" w:cs="Times New Roman" w:eastAsia="Times New Roman" w:hAnsi="Times New Roman"/>
          <w:sz w:val="21"/>
          <w:szCs w:val="21"/>
          <w:color w:val="auto"/>
        </w:rPr>
        <w:t>Adjusted net income for fourth quarter 2025 excludes, net of tax, non-cash asset impairments of $87 million ($4.50 per diluted share), net gain on divestitures of $26 million ($1.35 per diluted share), $5 million ($0.25 per diluted share) related to Tekion implementation expenses, $3 million ($0.15 per diluted share) related to non-cash fixed asset write-offs, and $1 million ($0.03 per diluted share) of professional fees related to the acquisition of the Herb Chambers Automotive Group.</w:t>
      </w:r>
    </w:p>
    <w:p>
      <w:pPr>
        <w:spacing w:after="0" w:line="187" w:lineRule="exact"/>
        <w:rPr>
          <w:sz w:val="20"/>
          <w:szCs w:val="20"/>
          <w:color w:val="auto"/>
        </w:rPr>
      </w:pPr>
    </w:p>
    <w:p>
      <w:pPr>
        <w:jc w:val="both"/>
        <w:ind w:firstLine="18"/>
        <w:spacing w:after="0" w:line="271" w:lineRule="auto"/>
        <w:rPr>
          <w:sz w:val="20"/>
          <w:szCs w:val="20"/>
          <w:color w:val="auto"/>
        </w:rPr>
      </w:pPr>
      <w:r>
        <w:rPr>
          <w:rFonts w:ascii="Times New Roman" w:cs="Times New Roman" w:eastAsia="Times New Roman" w:hAnsi="Times New Roman"/>
          <w:sz w:val="21"/>
          <w:szCs w:val="21"/>
          <w:color w:val="auto"/>
        </w:rPr>
        <w:t>Adjusted net income for fourth quarter 2024 excludes, net of tax, $11 million ($0.55 per diluted share) of non-cash asset impairments, $5 million ($0.25 per diluted share) of losses related to Hurricane Milton, and $1 million ($0.07 per diluted share) related to proceeds from the termination of a franchise.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Fourth Quarter 2025 Operational Summary</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Total Company vs. 4</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21"/>
          <w:szCs w:val="21"/>
          <w:b w:val="1"/>
          <w:bCs w:val="1"/>
          <w:color w:val="auto"/>
        </w:rPr>
        <w:t xml:space="preserve"> Quarter 2024:</w:t>
      </w:r>
    </w:p>
    <w:p>
      <w:pPr>
        <w:spacing w:after="0" w:line="71" w:lineRule="exact"/>
        <w:rPr>
          <w:sz w:val="20"/>
          <w:szCs w:val="20"/>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 of $4.7 billion, increase of 4%</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profit of $793 million, increase of 6%</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margin increased 31 bps to 17.0%</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vehicle revenue increase of 3%</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Used vehicle retail revenue increase of 1%; used vehicle retail gross profit increase of 16%</w:t>
      </w:r>
    </w:p>
    <w:p>
      <w:pPr>
        <w:spacing w:after="0" w:line="80"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Finance and insurance (F&amp;I) per vehicle retailed (PVR) of $2,334</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Parts and service revenue increase of 12%; gross profit increase of 13%</w:t>
      </w:r>
    </w:p>
    <w:p>
      <w:pPr>
        <w:spacing w:after="0" w:line="66"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Selling, General and Administrative expenses (SG&amp;A) as a percentage of gross profit of 66.7%</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SG&amp;A as a percentage of gross profit of 65.3%</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margin of 2.7%</w:t>
      </w:r>
    </w:p>
    <w:p>
      <w:pPr>
        <w:spacing w:after="0" w:line="80"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operating margin of 5.4%</w:t>
      </w:r>
    </w:p>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Same Store vs. 4</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21"/>
          <w:szCs w:val="21"/>
          <w:b w:val="1"/>
          <w:bCs w:val="1"/>
          <w:color w:val="auto"/>
        </w:rPr>
        <w:t xml:space="preserve"> Quarter 2024:</w:t>
      </w:r>
    </w:p>
    <w:p>
      <w:pPr>
        <w:spacing w:after="0" w:line="29" w:lineRule="exact"/>
        <w:rPr>
          <w:sz w:val="20"/>
          <w:szCs w:val="20"/>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 of $4.0 billion, decrease of 6%</w:t>
      </w:r>
    </w:p>
    <w:p>
      <w:pPr>
        <w:spacing w:after="0" w:line="42"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profit of $683 million, decrease of 5%</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margin increased 26 bps to 17.0%</w:t>
      </w:r>
    </w:p>
    <w:p>
      <w:pPr>
        <w:spacing w:after="0" w:line="80"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vehicle revenue decrease of 6%</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Used vehicle retail revenue decrease of 10%; used vehicle retail gross profit increase of 4%</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F&amp;I PVR of $2,335</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Parts and service revenue increase of 2%; gross profit increase of 2%</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SG&amp;A as a percentage of gross profit of 65.5%</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SG&amp;A as a percentage of gross profit of 64.1%</w:t>
      </w:r>
    </w:p>
    <w:p>
      <w:pPr>
        <w:spacing w:after="0" w:line="80"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margin of 2.5%</w:t>
      </w:r>
    </w:p>
    <w:p>
      <w:pPr>
        <w:spacing w:after="0" w:line="66"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operating margin of 5.6%</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Full Year 2025 Results</w:t>
      </w:r>
    </w:p>
    <w:p>
      <w:pPr>
        <w:spacing w:after="0" w:line="178"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21"/>
          <w:szCs w:val="21"/>
          <w:color w:val="auto"/>
        </w:rPr>
        <w:t>For the full year 2025, the Company reported net income of $492 million ($25.13 per diluted share) compared to $430 million ($21.50 per diluted share) in the prior year, a 17% increase in EPS. Adjusted net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21"/>
          <w:szCs w:val="21"/>
          <w:color w:val="auto"/>
        </w:rPr>
        <w:t>income (a non-GAAP measure) for 2025 was $550 million ($28.10 per diluted share) compared to $545 million ($27.24 per diluted share) in the prior year, a 3% increase in adjusted EPS.</w:t>
      </w:r>
    </w:p>
    <w:p>
      <w:pPr>
        <w:spacing w:after="0" w:line="16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21"/>
          <w:szCs w:val="21"/>
          <w:color w:val="auto"/>
        </w:rPr>
        <w:t>Total revenue for the full year 2025 was an all-time record of $18 billion. Transaction adjusted EBITDA for the full year 2025 was $1.1 billion. Adjusted operating cash flow for the full year was $651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Liquidity and Leverage</w:t>
      </w:r>
    </w:p>
    <w:p>
      <w:pPr>
        <w:spacing w:after="0" w:line="178"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21"/>
          <w:szCs w:val="21"/>
          <w:color w:val="auto"/>
        </w:rPr>
        <w:t>As of December 31, 2025, the Company had cash and floorplan offset accounts of $180 million (which excludes $12 million of cash at Total Care Auto, Powered by Asbury) and availability under the used vehicle floorplan line and revolver of $747 million for a total of $927 million in liquidity. The Company’s transaction adjusted net leverage ratio was 3.2x at quarter end.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Share Repurchases</w:t>
      </w:r>
    </w:p>
    <w:p>
      <w:pPr>
        <w:spacing w:after="0" w:line="17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1"/>
          <w:szCs w:val="21"/>
          <w:color w:val="auto"/>
        </w:rPr>
        <w:t>The Company repurchased approximately 212,000 shares for $50 million during the fourth quarter 2025. For the full year 2025, the Company repurchased approximately 433,000 shares for $100 million. As of December 31, 2025, the Company had approximately $176 million remaining on its share repurchase authorization.</w:t>
      </w:r>
    </w:p>
    <w:p>
      <w:pPr>
        <w:spacing w:after="0" w:line="18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1"/>
          <w:szCs w:val="21"/>
          <w:color w:val="auto"/>
        </w:rPr>
        <w:t>The shares may be purchased from time to time in the open market, in privately negotiated transactions or in other manners as permitted by federal securities laws and other legal and contractual requirements. 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Earnings Call</w:t>
      </w:r>
    </w:p>
    <w:p>
      <w:pPr>
        <w:spacing w:after="0" w:line="165" w:lineRule="exact"/>
        <w:rPr>
          <w:sz w:val="20"/>
          <w:szCs w:val="20"/>
          <w:color w:val="auto"/>
        </w:rPr>
      </w:pPr>
    </w:p>
    <w:p>
      <w:pPr>
        <w:ind w:right="420"/>
        <w:spacing w:after="0" w:line="303" w:lineRule="auto"/>
        <w:rPr>
          <w:sz w:val="20"/>
          <w:szCs w:val="20"/>
          <w:color w:val="auto"/>
        </w:rPr>
      </w:pPr>
      <w:r>
        <w:rPr>
          <w:rFonts w:ascii="Times New Roman" w:cs="Times New Roman" w:eastAsia="Times New Roman" w:hAnsi="Times New Roman"/>
          <w:sz w:val="21"/>
          <w:szCs w:val="21"/>
          <w:color w:val="auto"/>
        </w:rPr>
        <w:t>Additional commentary regarding the fourth quarter results will be provided during the earnings conference call on Thursday, February 5, 2026, at 9:00 a.m. ET.</w:t>
      </w:r>
    </w:p>
    <w:p>
      <w:pPr>
        <w:spacing w:after="0" w:line="15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1"/>
          <w:szCs w:val="21"/>
          <w:color w:val="auto"/>
        </w:rPr>
        <w:t xml:space="preserve">The conference call will be simulcast live on the internet. The webcast, together with supplemental materials, and can be accessed by logging onto </w:t>
      </w:r>
      <w:r>
        <w:rPr>
          <w:rFonts w:ascii="Times New Roman" w:cs="Times New Roman" w:eastAsia="Times New Roman" w:hAnsi="Times New Roman"/>
          <w:sz w:val="21"/>
          <w:szCs w:val="21"/>
          <w:u w:val="single" w:color="auto"/>
          <w:color w:val="0000ED"/>
        </w:rPr>
        <w:t>https://investors.asburyauto.com</w:t>
      </w:r>
      <w:r>
        <w:rPr>
          <w:rFonts w:ascii="Times New Roman" w:cs="Times New Roman" w:eastAsia="Times New Roman" w:hAnsi="Times New Roman"/>
          <w:sz w:val="21"/>
          <w:szCs w:val="21"/>
          <w:color w:val="auto"/>
        </w:rPr>
        <w:t>. A replay and the accompanying materials will be available on this site for at least 30 days.</w:t>
      </w:r>
    </w:p>
    <w:p>
      <w:pPr>
        <w:spacing w:after="0" w:line="187" w:lineRule="exact"/>
        <w:rPr>
          <w:sz w:val="20"/>
          <w:szCs w:val="20"/>
          <w:color w:val="auto"/>
        </w:rPr>
      </w:pPr>
    </w:p>
    <w:p>
      <w:pPr>
        <w:ind w:right="260"/>
        <w:spacing w:after="0" w:line="303" w:lineRule="auto"/>
        <w:rPr>
          <w:sz w:val="20"/>
          <w:szCs w:val="20"/>
          <w:color w:val="auto"/>
        </w:rPr>
      </w:pPr>
      <w:r>
        <w:rPr>
          <w:rFonts w:ascii="Times New Roman" w:cs="Times New Roman" w:eastAsia="Times New Roman" w:hAnsi="Times New Roman"/>
          <w:sz w:val="21"/>
          <w:szCs w:val="21"/>
          <w:color w:val="auto"/>
        </w:rPr>
        <w:t>In addition, live audio will be accessible to the public. Participants may enter the conference call five to ten minutes prior to the scheduled start of the call by dialing:</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16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Domestic:</w:t>
            </w:r>
          </w:p>
        </w:tc>
        <w:tc>
          <w:tcPr>
            <w:tcW w:w="21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(877) 407-2988</w:t>
            </w:r>
          </w:p>
        </w:tc>
      </w:tr>
      <w:tr>
        <w:trPr>
          <w:trHeight w:val="288"/>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International:</w:t>
            </w: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+1 (201) 389-0923</w:t>
            </w:r>
          </w:p>
        </w:tc>
      </w:tr>
      <w:tr>
        <w:trPr>
          <w:trHeight w:val="288"/>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Passcode:</w:t>
            </w: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13758044</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About Asbury Automotive Group, Inc.</w:t>
      </w:r>
    </w:p>
    <w:p>
      <w:pPr>
        <w:spacing w:after="0" w:line="178" w:lineRule="exact"/>
        <w:rPr>
          <w:sz w:val="20"/>
          <w:szCs w:val="20"/>
          <w:color w:val="auto"/>
        </w:rPr>
      </w:pPr>
    </w:p>
    <w:p>
      <w:pPr>
        <w:ind w:right="640"/>
        <w:spacing w:after="0" w:line="303" w:lineRule="auto"/>
        <w:rPr>
          <w:sz w:val="20"/>
          <w:szCs w:val="20"/>
          <w:color w:val="auto"/>
        </w:rPr>
      </w:pPr>
      <w:r>
        <w:rPr>
          <w:rFonts w:ascii="Times New Roman" w:cs="Times New Roman" w:eastAsia="Times New Roman" w:hAnsi="Times New Roman"/>
          <w:sz w:val="21"/>
          <w:szCs w:val="21"/>
          <w:color w:val="auto"/>
        </w:rPr>
        <w:t>Asbury Automotive Group, Inc. (NYSE: ABG), a Fortune 500 company headquartered in Atlanta, GA, is one of the largest automotive retailers in the U.S. In late 2020, Asbury embarked on a multi-year plan to</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20" w:top="1440" w:right="35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1"/>
          <w:szCs w:val="21"/>
          <w:color w:val="auto"/>
        </w:rPr>
        <w:t>increase revenue and profitability strategically through organic operations, acquisitive growth and innovative technologies, with its guest-centric approach as Asbury’s constant North Star. As of December 31, 2025, Asbury operated 171 new vehicle dealerships, consisting of 223 franchises and representing 36 domestic and foreign brands of vehicles. Asbury also operates Total Care Auto, Powered by Asbury, a leading provider of service contracts and other vehicle protection products, and 39 collision repair centers. Asbury offers an extensive range of automotive products and services, including new and used vehicles; parts and service, which includes vehicle repair and maintenance services, replacement parts and collision repair services; and finance and insurance products, including arranging vehicle financing through third parties and aftermarket products, such as extended service contracts, guaranteed asset protection debt cancellation, and prepaid maintenance. Asbury is recognized as one of America’s Fastest Growing Companies 2024 by the Financial Times, one of the World’s Most Trustworthy Companies 2024 and 2025 by Newsweek, and one of America’s Most Successful Small-Cap Companies by Forbes for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For additional information, visit </w:t>
      </w:r>
      <w:r>
        <w:rPr>
          <w:rFonts w:ascii="Times New Roman" w:cs="Times New Roman" w:eastAsia="Times New Roman" w:hAnsi="Times New Roman"/>
          <w:sz w:val="21"/>
          <w:szCs w:val="21"/>
          <w:u w:val="single" w:color="auto"/>
          <w:color w:val="0000ED"/>
        </w:rPr>
        <w:t>www.asburyauto.com</w:t>
      </w:r>
      <w:r>
        <w:rPr>
          <w:rFonts w:ascii="Times New Roman" w:cs="Times New Roman" w:eastAsia="Times New Roman" w:hAnsi="Times New Roman"/>
          <w:sz w:val="21"/>
          <w:szCs w:val="21"/>
          <w:u w:val="single" w:color="auto"/>
          <w:color w:val="0000FF"/>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Forward-Looking Statements</w:t>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Forward-looking statements are statements other than historical fact, and may include statements relating to goals, plans, objectives, beliefs, expectations and assumptions, projections regarding Asbury's financial position, liquidity, results of operations, cash flows, leverage, market position, the timing and amount of any stock repurchases, optimization of our dealership portfolio, revenue enhancement strategies, operational improvements, projections regarding the expected benefits of present and new technologies, the ability to implement those technologies, and the ability to transition to new technologies from existing systems; management’s plans, projections and objectives for future operations, scale and performance, integration plans and expected synergies from acquisitions, capital allocation strategy, and business strategy. These statements are based on management's current expectations and beliefs and involve significant risks and uncertainties that may cause results to differ materially from those set forth in the statements. These risks and uncertainties include, among other things, adverse outcomes with respect to current and future litigation and other proceedings; our inability to realize the benefits expected from recently completed transactions; our inability to promptly and effectively integrate completed transactions and the diversion of management’s attention from ongoing business and regular business responsibilities; our inability to complete future acquisitions or divestitures and the risks resulting therefrom; any supply chain disruptions impacting our industry and business; market factors and changes thereto, including changes related to trade; Asbury's relationships with, and the financial and operational stability of, vehicle manufacturers and other suppliers, including in response to the imposition of tariffs; acts of God and other natural disasters, including hurricanes; acts of war or similar incidents; the shortage of automotive parts and components, which may adversely impact supply from vehicle manufacturers and/or present retail sales challenges; risks associated with Asbury's indebtedness and our ability to comply with applicable covenants in our various financing agreements, or to obtain waivers of these covenants as necessary; risks associated with technology integration and implementation; risks related to competition in the automotive retail and service industries, general economic conditions both nationally and locally; governmental regulations and legislation, including changes in automotive state franchise laws and tariffs; our ability to execute our strategic and operational strategies and initiatives; our ability to leverage gains from Asbury’s dealership portfolio; our ability to capitalize on opportunities to repurchase Asbury’s debt and equity securities or purchase properties that Asbury currently leases; and our ability to stay within Asbury’s targeted range for capital expenditures. There can be no guarantees that Asbury's plans for future operations will be successfully implemented or that they will prove to be commercially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1"/>
          <w:szCs w:val="21"/>
          <w:color w:val="auto"/>
        </w:rPr>
        <w:t>These and other risk factors that could cause actual results to differ materially from those expressed or implied in our forward-looking statements are and will be discussed in Asbury's filings with the U.S. Securities and Exchange Commission from time to time, including its most recent annual report on Form 10-K and any subsequently filed quarterly reports on Form 10-Q. These forward-looking statements and such risks, uncertainties and other factors speak only as of the date of this press release. We undertake no obligation to publicly update any forward-looking statement, whether as a result of new information, future events or otherwise.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Non-GAAP Financial Disclosure and Reconciliation, Same Store Data and Other Data</w:t>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In addition to evaluating the financial condition and results of our operations in accordance with GAAP, from time to time management evaluates and analyzes results and any impact on the Company of strategic decisions and actions relating to, among other things, cost reduction, growth, and profitability improvement initiatives, and other events outside of normal or "core" business and operations, by considering certain alternative financial measures not prepared in accordance with GAAP. These measures include "Adjusted income from operations," "Adjusted net income," "Adjusted operating margins," "Adjusted EBITDA," "Adjusted diluted earnings per share ("EPS")," "Adjusted SG&amp;A," "Adjusted operating cash flow," "Transaction adjusted EBITDA" and "Transaction adjusted net leverage ratio." Further, management assesses the organic growth of our revenue and gross profit on a same store basis. We believe that our assessment on a same store basis represents an important indicator of comparative financial performance and provides relevant information to assess our performance at our existing locations.</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1"/>
          <w:szCs w:val="21"/>
          <w:color w:val="auto"/>
        </w:rPr>
        <w:t>Non-GAAP measures do not have definitions under GAAP and may be defined differently by and not be comparable to similarly titled measures used by other companies. As a result, any non-GAAP financial measures considered and evaluated by management are reviewed in conjunction with a review of the most directly comparable measures calculated in accordance with GAAP. Management cautions investors not to place undue reliance on such non-GAAP measures, but also to consider them with the most directly comparable GAAP measures. In their evaluation of results from time to time, management excludes items that do not arise directly from core operations or are otherwise of an unusual or non-recurring nature. Because these non-core, unusual or non-recurring charges and gains materially affect Asbury’s financial condition or results in the specific period in which they are recognized, management also evaluates and makes resource allocation and performance evaluation decisions based on the related non-GAAP measures excluding such items. In addition to using such non-GAAP measures to evaluate results in a specific period, management believes that such measures may provide more complete and consistent comparisons of operational performance on a period-over-period historical basis and a better indication of expected future trends. Management discloses these non-GAAP measures, and the related reconciliations, because it believes investors use these metrics in evaluating longer-term period-over-period performance, and to allow investors to better understand and evaluate the information used by management to assess operating performance.</w:t>
      </w:r>
    </w:p>
    <w:p>
      <w:pPr>
        <w:spacing w:after="0" w:line="2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Due to the significant effects that dealership acquisitions and divestitures have on our results of operations, and in order to provide more meaningful comparisons, we present herein "Transaction adjusted EBITDA" and "Transaction adjusted net leverage ratio" (collectively, the "Transaction Adjusted Metrics"), which reflect the effects of the dealership acquisitions and divestitures, if any, as if they had occurred on the first day of the last twelve-month periods being presented. For acquisitions, the pre-acquisition period amount being included in Transaction adjusted EBITDA is determined by pro-rating the forecasted adjusted EBITDA for the year following the acquisition(s). For divestitures, including divestitures due to requirements in connection with an acquisition, the adjusted EBITDA associated with the divestiture(s) is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1"/>
          <w:szCs w:val="21"/>
          <w:color w:val="auto"/>
        </w:rPr>
        <w:t>excluded from Transaction adjusted EBITDA. We believe the Transaction Adjusted Metrics provide relevant information to assess our performance at our existing dealership locations for the last twelve-month periods being presented.</w:t>
      </w:r>
    </w:p>
    <w:p>
      <w:pPr>
        <w:spacing w:after="0" w:line="16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21"/>
          <w:szCs w:val="21"/>
          <w:color w:val="auto"/>
        </w:rPr>
        <w:t>The Transaction Adjusted Metrics do not include any adjustments for other events attributable to the dealership acquisitions or divestitures unless otherwise described. We cannot assure you that such financial information would not be materially different if such information were audited or that our actual results would not differ materially from the Transaction Adjusted Metrics if the dealership acquisitions or divestitures had been completed as of the beginning of the last twelve-month periods being presented.</w:t>
      </w:r>
    </w:p>
    <w:p>
      <w:pPr>
        <w:spacing w:after="0" w:line="18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1"/>
          <w:szCs w:val="21"/>
          <w:color w:val="auto"/>
        </w:rPr>
        <w:t>Same store amounts consist of information from dealerships for identical months in each comparative period, commencing with the first month we owned the dealership. Additionally, amounts related to divested dealerships are excluded from each comparative period.</w:t>
      </w:r>
    </w:p>
    <w:p>
      <w:pPr>
        <w:spacing w:after="0" w:line="180" w:lineRule="exact"/>
        <w:rPr>
          <w:sz w:val="20"/>
          <w:szCs w:val="20"/>
          <w:color w:val="auto"/>
        </w:rPr>
      </w:pPr>
    </w:p>
    <w:p>
      <w:pPr>
        <w:ind w:right="700"/>
        <w:spacing w:after="0" w:line="290" w:lineRule="auto"/>
        <w:rPr>
          <w:sz w:val="20"/>
          <w:szCs w:val="20"/>
          <w:color w:val="auto"/>
        </w:rPr>
      </w:pPr>
      <w:r>
        <w:rPr>
          <w:rFonts w:ascii="Times New Roman" w:cs="Times New Roman" w:eastAsia="Times New Roman" w:hAnsi="Times New Roman"/>
          <w:sz w:val="21"/>
          <w:szCs w:val="21"/>
          <w:color w:val="auto"/>
        </w:rPr>
        <w:t>Amounts presented herein have been calculated using non-rounded amounts for all periods presented and therefore certain amounts may not compute or tie to prior presentation due to rounding.</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440" w:right="37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(In millions, except per share data)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242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For the Twelve Months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114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9"/>
                <w:szCs w:val="19"/>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2,525.3</w:t>
            </w:r>
          </w:p>
        </w:tc>
        <w:tc>
          <w:tcPr>
            <w:tcW w:w="2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9,496.2</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8,849.7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1"/>
        </w:trPr>
        <w:tc>
          <w:tcPr>
            <w:tcW w:w="39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used vehicle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8"/>
        </w:trPr>
        <w:tc>
          <w:tcPr>
            <w:tcW w:w="3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8"/>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3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1"/>
        </w:trPr>
        <w:tc>
          <w:tcPr>
            <w:tcW w:w="3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used vehicle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8"/>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8"/>
        </w:trPr>
        <w:tc>
          <w:tcPr>
            <w:tcW w:w="3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1"/>
        </w:trPr>
        <w:tc>
          <w:tcPr>
            <w:tcW w:w="3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9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9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line="161" w:lineRule="exact"/>
              <w:rPr>
                <w:sz w:val="20"/>
                <w:szCs w:val="20"/>
                <w:color w:val="auto"/>
              </w:rPr>
            </w:pPr>
            <w:r>
              <w:rPr>
                <w:rFonts w:ascii="Times New Roman" w:cs="Times New Roman" w:eastAsia="Times New Roman" w:hAnsi="Times New Roman"/>
                <w:sz w:val="18"/>
                <w:szCs w:val="18"/>
                <w:color w:val="auto"/>
              </w:rPr>
              <w:t>WEIGHTED AVERAGE SHARES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9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Restricted stock</w:t>
            </w:r>
          </w:p>
        </w:tc>
        <w:tc>
          <w:tcPr>
            <w:tcW w:w="2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Performance share units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Disclosures-Consolidated (In millions)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00" w:type="dxa"/>
            <w:vAlign w:val="bottom"/>
          </w:tcPr>
          <w:p>
            <w:pPr>
              <w:spacing w:after="0"/>
              <w:rPr>
                <w:sz w:val="17"/>
                <w:szCs w:val="17"/>
                <w:color w:val="auto"/>
              </w:rPr>
            </w:pPr>
          </w:p>
        </w:tc>
        <w:tc>
          <w:tcPr>
            <w:tcW w:w="12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BALANCE SHEET DATA</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(29.0)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net (a)</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157.0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8"/>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242.3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Floor plan notes payable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332.3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8"/>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723.2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433.4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3,891.9</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389.8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1"/>
        </w:trPr>
        <w:tc>
          <w:tcPr>
            <w:tcW w:w="4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823.2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Excluding $96.5 million and $58.7 million of inventory classified as assets held for sale as of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68"/>
        </w:trPr>
        <w:tc>
          <w:tcPr>
            <w:tcW w:w="5520" w:type="dxa"/>
            <w:vAlign w:val="bottom"/>
            <w:tcBorders>
              <w:top w:val="single" w:sz="8" w:color="CCEEFF"/>
            </w:tcBorders>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8"/>
                <w:szCs w:val="18"/>
                <w:b w:val="1"/>
                <w:bCs w:val="1"/>
                <w:color w:val="auto"/>
              </w:rPr>
              <w:t>Days Supply</w:t>
            </w:r>
          </w:p>
        </w:tc>
        <w:tc>
          <w:tcPr>
            <w:tcW w:w="16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New vehicle inventory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8"/>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Used vehicle inventory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supply of inventory is calculated based on new and used inventory, in units, at the end of each reporting period and a 30-day historical unit sales.</w:t>
      </w:r>
    </w:p>
    <w:p>
      <w:pPr>
        <w:sectPr>
          <w:pgSz w:w="11900" w:h="16838" w:orient="portrait"/>
          <w:cols w:equalWidth="0" w:num="1">
            <w:col w:w="11340"/>
          </w:cols>
          <w:pgMar w:left="32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340"/>
          </w:cols>
          <w:pgMar w:left="320" w:top="1440" w:right="2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68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Brand Mix - New Vehicle Revenue by Brand</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68"/>
        </w:trPr>
        <w:tc>
          <w:tcPr>
            <w:tcW w:w="80" w:type="dxa"/>
            <w:vAlign w:val="bottom"/>
            <w:tcBorders>
              <w:right w:val="single" w:sz="8" w:color="CCEEFF"/>
            </w:tcBorders>
          </w:tcPr>
          <w:p>
            <w:pPr>
              <w:spacing w:after="0"/>
              <w:rPr>
                <w:sz w:val="14"/>
                <w:szCs w:val="14"/>
                <w:color w:val="auto"/>
              </w:rPr>
            </w:pPr>
          </w:p>
        </w:tc>
        <w:tc>
          <w:tcPr>
            <w:tcW w:w="8600" w:type="dxa"/>
            <w:vAlign w:val="bottom"/>
            <w:gridSpan w:val="6"/>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rPr>
              <w:t>Luxury</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Lexus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Mercedes-Benz</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BMW</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Porsche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Land Rover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luxury</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luxury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188"/>
        </w:trPr>
        <w:tc>
          <w:tcPr>
            <w:tcW w:w="80" w:type="dxa"/>
            <w:vAlign w:val="bottom"/>
            <w:tcBorders>
              <w:right w:val="single" w:sz="8" w:color="CCEEFF"/>
            </w:tcBorders>
          </w:tcPr>
          <w:p>
            <w:pPr>
              <w:spacing w:after="0"/>
              <w:rPr>
                <w:sz w:val="16"/>
                <w:szCs w:val="16"/>
                <w:color w:val="auto"/>
              </w:rPr>
            </w:pPr>
          </w:p>
        </w:tc>
        <w:tc>
          <w:tcPr>
            <w:tcW w:w="860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Imports</w:t>
            </w: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Toyota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Honda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Hyundai</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Kia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tcBorders>
              <w:bottom w:val="single" w:sz="8" w:color="CCEEFF"/>
            </w:tcBorders>
            <w:gridSpan w:val="6"/>
          </w:tcPr>
          <w:p>
            <w:pPr>
              <w:ind w:left="320"/>
              <w:spacing w:after="0"/>
              <w:rPr>
                <w:sz w:val="20"/>
                <w:szCs w:val="20"/>
                <w:color w:val="auto"/>
              </w:rPr>
            </w:pPr>
            <w:r>
              <w:rPr>
                <w:rFonts w:ascii="Times New Roman" w:cs="Times New Roman" w:eastAsia="Times New Roman" w:hAnsi="Times New Roman"/>
                <w:sz w:val="18"/>
                <w:szCs w:val="18"/>
                <w:color w:val="auto"/>
              </w:rPr>
              <w:t>Other imports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1"/>
        </w:trPr>
        <w:tc>
          <w:tcPr>
            <w:tcW w:w="80" w:type="dxa"/>
            <w:vAlign w:val="bottom"/>
            <w:tcBorders>
              <w:right w:val="single" w:sz="8" w:color="CCEEFF"/>
            </w:tcBorders>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imports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860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Domestic</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Chrysler, Dodge, Jeep, Ram</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Chevrolet, Buick, GMC</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domestic</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6"/>
        </w:trPr>
        <w:tc>
          <w:tcPr>
            <w:tcW w:w="80" w:type="dxa"/>
            <w:vAlign w:val="bottom"/>
            <w:tcBorders>
              <w:right w:val="single" w:sz="8" w:color="CCEEFF"/>
            </w:tcBorders>
          </w:tcPr>
          <w:p>
            <w:pPr>
              <w:spacing w:after="0"/>
              <w:rPr>
                <w:sz w:val="20"/>
                <w:szCs w:val="20"/>
                <w:color w:val="auto"/>
              </w:rPr>
            </w:pPr>
          </w:p>
        </w:tc>
        <w:tc>
          <w:tcPr>
            <w:tcW w:w="86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New Vehicle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68"/>
        </w:trPr>
        <w:tc>
          <w:tcPr>
            <w:tcW w:w="80" w:type="dxa"/>
            <w:vAlign w:val="bottom"/>
            <w:tcBorders>
              <w:right w:val="single" w:sz="8" w:color="CCEEFF"/>
            </w:tcBorders>
          </w:tcPr>
          <w:p>
            <w:pPr>
              <w:spacing w:after="0"/>
              <w:rPr>
                <w:sz w:val="14"/>
                <w:szCs w:val="14"/>
                <w:color w:val="auto"/>
              </w:rPr>
            </w:pPr>
          </w:p>
        </w:tc>
        <w:tc>
          <w:tcPr>
            <w:tcW w:w="8600" w:type="dxa"/>
            <w:vAlign w:val="bottom"/>
            <w:gridSpan w:val="6"/>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rPr>
              <w:t>Revenue mix</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retail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Used vehicle wholesale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46"/>
        </w:trPr>
        <w:tc>
          <w:tcPr>
            <w:tcW w:w="80" w:type="dxa"/>
            <w:vAlign w:val="bottom"/>
            <w:tcBorders>
              <w:right w:val="single" w:sz="8" w:color="CCEEFF"/>
            </w:tcBorders>
          </w:tcPr>
          <w:p>
            <w:pPr>
              <w:spacing w:after="0"/>
              <w:rPr>
                <w:sz w:val="20"/>
                <w:szCs w:val="20"/>
                <w:color w:val="auto"/>
              </w:rPr>
            </w:pPr>
          </w:p>
        </w:tc>
        <w:tc>
          <w:tcPr>
            <w:tcW w:w="86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00" w:type="dxa"/>
            <w:vAlign w:val="bottom"/>
            <w:tcBorders>
              <w:top w:val="single" w:sz="8" w:color="CCEEFF"/>
              <w:bottom w:val="single" w:sz="8" w:color="CCEEFF"/>
            </w:tcBorders>
            <w:gridSpan w:val="6"/>
            <w:vMerge w:val="restart"/>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Gross profit mix</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0" w:type="dxa"/>
            <w:vAlign w:val="bottom"/>
          </w:tcPr>
          <w:p>
            <w:pPr>
              <w:spacing w:after="0"/>
              <w:rPr>
                <w:sz w:val="11"/>
                <w:szCs w:val="11"/>
                <w:color w:val="auto"/>
              </w:rPr>
            </w:pPr>
          </w:p>
        </w:tc>
        <w:tc>
          <w:tcPr>
            <w:tcW w:w="8600" w:type="dxa"/>
            <w:vAlign w:val="bottom"/>
            <w:gridSpan w:val="6"/>
            <w:vMerge w:val="continue"/>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vehicle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Used vehicle retail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wholesale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Parts and service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0" w:type="dxa"/>
            <w:vAlign w:val="bottom"/>
          </w:tcPr>
          <w:p>
            <w:pPr>
              <w:spacing w:after="0"/>
              <w:rPr>
                <w:sz w:val="1"/>
                <w:szCs w:val="1"/>
                <w:color w:val="auto"/>
              </w:rPr>
            </w:pPr>
          </w:p>
        </w:tc>
      </w:tr>
      <w:tr>
        <w:trPr>
          <w:trHeight w:val="228"/>
        </w:trPr>
        <w:tc>
          <w:tcPr>
            <w:tcW w:w="80" w:type="dxa"/>
            <w:vAlign w:val="bottom"/>
            <w:tcBorders>
              <w:right w:val="single" w:sz="8" w:color="CCEEFF"/>
            </w:tcBorders>
          </w:tcPr>
          <w:p>
            <w:pPr>
              <w:spacing w:after="0"/>
              <w:rPr>
                <w:sz w:val="19"/>
                <w:szCs w:val="19"/>
                <w:color w:val="auto"/>
              </w:rPr>
            </w:pPr>
          </w:p>
        </w:tc>
        <w:tc>
          <w:tcPr>
            <w:tcW w:w="8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80"/>
          </w:cols>
          <w:pgMar w:left="320" w:top="1440" w:right="39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HIGHLIGHTS-CONSOLIDATED (In millions)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6"/>
          <w:szCs w:val="16"/>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4"/>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4"/>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For the Twelve Months Ended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gridSpan w:val="2"/>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gridSpan w:val="2"/>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7"/>
                <w:szCs w:val="17"/>
                <w:color w:val="auto"/>
              </w:rPr>
            </w:pPr>
          </w:p>
        </w:tc>
        <w:tc>
          <w:tcPr>
            <w:tcW w:w="10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w w:val="98"/>
              </w:rPr>
              <w:t>Revenue</w:t>
            </w:r>
          </w:p>
        </w:tc>
        <w:tc>
          <w:tcPr>
            <w:tcW w:w="320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28"/>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2,525.3</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2,457.1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9,496.2</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8,849.7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4"/>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800" w:type="dxa"/>
            <w:vAlign w:val="bottom"/>
            <w:gridSpan w:val="8"/>
          </w:tcPr>
          <w:p>
            <w:pPr>
              <w:ind w:left="3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1,098.9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4,549.6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4,605.9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20" w:type="dxa"/>
            <w:vAlign w:val="bottom"/>
            <w:shd w:val="clear" w:color="auto" w:fill="CCEEFF"/>
          </w:tcPr>
          <w:p>
            <w:pPr>
              <w:spacing w:after="0"/>
              <w:rPr>
                <w:sz w:val="19"/>
                <w:szCs w:val="19"/>
                <w:color w:val="auto"/>
              </w:rPr>
            </w:pPr>
          </w:p>
        </w:tc>
        <w:tc>
          <w:tcPr>
            <w:tcW w:w="380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Wholesale</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612.3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1"/>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Total used vehicle</w:t>
            </w:r>
          </w:p>
        </w:tc>
        <w:tc>
          <w:tcPr>
            <w:tcW w:w="1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1,258.5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5,225.4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5,218.2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590.4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2,354.7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8"/>
        </w:trPr>
        <w:tc>
          <w:tcPr>
            <w:tcW w:w="382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6"/>
                <w:szCs w:val="16"/>
                <w:color w:val="auto"/>
              </w:rPr>
              <w:t>Finance and insurance, net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198.5</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766.0</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1"/>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4,504.5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17,999.0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17,188.6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174"/>
        </w:trPr>
        <w:tc>
          <w:tcPr>
            <w:tcW w:w="3820" w:type="dxa"/>
            <w:vAlign w:val="bottom"/>
            <w:gridSpan w:val="9"/>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640.4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Used vehicle: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380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228.6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8"/>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8"/>
          </w:tcPr>
          <w:p>
            <w:pPr>
              <w:ind w:left="320"/>
              <w:spacing w:after="0"/>
              <w:rPr>
                <w:sz w:val="20"/>
                <w:szCs w:val="20"/>
                <w:color w:val="auto"/>
              </w:rPr>
            </w:pPr>
            <w:r>
              <w:rPr>
                <w:rFonts w:ascii="Times New Roman" w:cs="Times New Roman" w:eastAsia="Times New Roman" w:hAnsi="Times New Roman"/>
                <w:sz w:val="16"/>
                <w:szCs w:val="16"/>
                <w:color w:val="auto"/>
              </w:rPr>
              <w:t>Wholesale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16.8</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1"/>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used vehicle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245.4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8"/>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1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1,351.2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and insurance, net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711.6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1"/>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Total 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3,071.7</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2,948.6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Unit sales</w:t>
            </w:r>
          </w:p>
        </w:tc>
        <w:tc>
          <w:tcPr>
            <w:tcW w:w="3120" w:type="dxa"/>
            <w:vAlign w:val="bottom"/>
            <w:tcBorders>
              <w:bottom w:val="single" w:sz="8" w:color="CCEEFF"/>
            </w:tcBorders>
            <w:gridSpan w:val="6"/>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212"/>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380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Luxury</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11,888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10,579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40,818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36,827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8"/>
        </w:trPr>
        <w:tc>
          <w:tcPr>
            <w:tcW w:w="20" w:type="dxa"/>
            <w:vAlign w:val="bottom"/>
          </w:tcPr>
          <w:p>
            <w:pPr>
              <w:spacing w:after="0"/>
              <w:rPr>
                <w:sz w:val="19"/>
                <w:szCs w:val="19"/>
                <w:color w:val="auto"/>
              </w:rPr>
            </w:pPr>
          </w:p>
        </w:tc>
        <w:tc>
          <w:tcPr>
            <w:tcW w:w="3800" w:type="dxa"/>
            <w:vAlign w:val="bottom"/>
            <w:gridSpan w:val="8"/>
          </w:tcPr>
          <w:p>
            <w:pPr>
              <w:ind w:left="320"/>
              <w:spacing w:after="0"/>
              <w:rPr>
                <w:sz w:val="20"/>
                <w:szCs w:val="20"/>
                <w:color w:val="auto"/>
              </w:rPr>
            </w:pPr>
            <w:r>
              <w:rPr>
                <w:rFonts w:ascii="Times New Roman" w:cs="Times New Roman" w:eastAsia="Times New Roman" w:hAnsi="Times New Roman"/>
                <w:sz w:val="16"/>
                <w:szCs w:val="16"/>
                <w:color w:val="auto"/>
              </w:rPr>
              <w:t>Import</w:t>
            </w:r>
          </w:p>
        </w:tc>
        <w:tc>
          <w:tcPr>
            <w:tcW w:w="1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24,065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24,593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93,726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91,243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8"/>
        </w:trPr>
        <w:tc>
          <w:tcPr>
            <w:tcW w:w="20" w:type="dxa"/>
            <w:vAlign w:val="bottom"/>
            <w:shd w:val="clear" w:color="auto" w:fill="CCEEFF"/>
          </w:tcPr>
          <w:p>
            <w:pPr>
              <w:spacing w:after="0"/>
              <w:rPr>
                <w:sz w:val="19"/>
                <w:szCs w:val="19"/>
                <w:color w:val="auto"/>
              </w:rPr>
            </w:pPr>
          </w:p>
        </w:tc>
        <w:tc>
          <w:tcPr>
            <w:tcW w:w="380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Domestic</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12,083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46,660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45,148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1"/>
        </w:trPr>
        <w:tc>
          <w:tcPr>
            <w:tcW w:w="20" w:type="dxa"/>
            <w:vAlign w:val="bottom"/>
          </w:tcPr>
          <w:p>
            <w:pPr>
              <w:spacing w:after="0"/>
              <w:rPr>
                <w:sz w:val="19"/>
                <w:szCs w:val="19"/>
                <w:color w:val="auto"/>
              </w:rPr>
            </w:pPr>
          </w:p>
        </w:tc>
        <w:tc>
          <w:tcPr>
            <w:tcW w:w="3800" w:type="dxa"/>
            <w:vAlign w:val="bottom"/>
            <w:gridSpan w:val="8"/>
          </w:tcPr>
          <w:p>
            <w:pPr>
              <w:ind w:left="440"/>
              <w:spacing w:after="0"/>
              <w:rPr>
                <w:sz w:val="20"/>
                <w:szCs w:val="20"/>
                <w:color w:val="auto"/>
              </w:rPr>
            </w:pPr>
            <w:r>
              <w:rPr>
                <w:rFonts w:ascii="Times New Roman" w:cs="Times New Roman" w:eastAsia="Times New Roman" w:hAnsi="Times New Roman"/>
                <w:sz w:val="16"/>
                <w:szCs w:val="16"/>
                <w:color w:val="auto"/>
              </w:rPr>
              <w:t>Total new vehicle</w:t>
            </w:r>
          </w:p>
        </w:tc>
        <w:tc>
          <w:tcPr>
            <w:tcW w:w="1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47,201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47,255</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181,204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173,218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33,782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35,328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150,698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Used to new ratio</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9"/>
              </w:rPr>
              <w:t>Average selling price</w:t>
            </w:r>
          </w:p>
        </w:tc>
        <w:tc>
          <w:tcPr>
            <w:tcW w:w="236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228"/>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51,996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52,406</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51,090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31,106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31,788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30,564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174"/>
        </w:trPr>
        <w:tc>
          <w:tcPr>
            <w:tcW w:w="3820" w:type="dxa"/>
            <w:vAlign w:val="bottom"/>
            <w:gridSpan w:val="9"/>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Average gross profit per unit</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4"/>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800" w:type="dxa"/>
            <w:vAlign w:val="bottom"/>
            <w:gridSpan w:val="8"/>
          </w:tcPr>
          <w:p>
            <w:pPr>
              <w:ind w:left="320"/>
              <w:spacing w:after="0"/>
              <w:rPr>
                <w:sz w:val="20"/>
                <w:szCs w:val="20"/>
                <w:color w:val="auto"/>
              </w:rPr>
            </w:pPr>
            <w:r>
              <w:rPr>
                <w:rFonts w:ascii="Times New Roman" w:cs="Times New Roman" w:eastAsia="Times New Roman" w:hAnsi="Times New Roman"/>
                <w:sz w:val="16"/>
                <w:szCs w:val="16"/>
                <w:color w:val="auto"/>
              </w:rPr>
              <w:t>Luxury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7,118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6,814</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20" w:type="dxa"/>
            <w:vAlign w:val="bottom"/>
            <w:shd w:val="clear" w:color="auto" w:fill="CCEEFF"/>
          </w:tcPr>
          <w:p>
            <w:pPr>
              <w:spacing w:after="0"/>
              <w:rPr>
                <w:sz w:val="19"/>
                <w:szCs w:val="19"/>
                <w:color w:val="auto"/>
              </w:rPr>
            </w:pPr>
          </w:p>
        </w:tc>
        <w:tc>
          <w:tcPr>
            <w:tcW w:w="380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Import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2,495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20" w:type="dxa"/>
            <w:vAlign w:val="bottom"/>
          </w:tcPr>
          <w:p>
            <w:pPr>
              <w:spacing w:after="0"/>
              <w:rPr>
                <w:sz w:val="19"/>
                <w:szCs w:val="19"/>
                <w:color w:val="auto"/>
              </w:rPr>
            </w:pPr>
          </w:p>
        </w:tc>
        <w:tc>
          <w:tcPr>
            <w:tcW w:w="3800" w:type="dxa"/>
            <w:vAlign w:val="bottom"/>
            <w:gridSpan w:val="8"/>
          </w:tcPr>
          <w:p>
            <w:pPr>
              <w:ind w:left="320"/>
              <w:spacing w:after="0"/>
              <w:rPr>
                <w:sz w:val="20"/>
                <w:szCs w:val="20"/>
                <w:color w:val="auto"/>
              </w:rPr>
            </w:pPr>
            <w:r>
              <w:rPr>
                <w:rFonts w:ascii="Times New Roman" w:cs="Times New Roman" w:eastAsia="Times New Roman" w:hAnsi="Times New Roman"/>
                <w:sz w:val="16"/>
                <w:szCs w:val="16"/>
                <w:color w:val="auto"/>
              </w:rPr>
              <w:t>Domestic</w:t>
            </w:r>
          </w:p>
        </w:tc>
        <w:tc>
          <w:tcPr>
            <w:tcW w:w="1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3,203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new vehicle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3,641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3,697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1,517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and insurance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2,197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8"/>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Front end yield (1)</w:t>
            </w:r>
          </w:p>
        </w:tc>
        <w:tc>
          <w:tcPr>
            <w:tcW w:w="1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4,939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4,880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174"/>
        </w:trPr>
        <w:tc>
          <w:tcPr>
            <w:tcW w:w="20" w:type="dxa"/>
            <w:vAlign w:val="bottom"/>
            <w:shd w:val="clear" w:color="auto" w:fill="CCEEFF"/>
          </w:tcPr>
          <w:p>
            <w:pPr>
              <w:spacing w:after="0"/>
              <w:rPr>
                <w:sz w:val="15"/>
                <w:szCs w:val="15"/>
                <w:color w:val="auto"/>
              </w:rPr>
            </w:pPr>
          </w:p>
        </w:tc>
        <w:tc>
          <w:tcPr>
            <w:tcW w:w="380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Gross margin</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Total new vehicle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 bps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bps</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 bps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bps</w:t>
            </w:r>
          </w:p>
        </w:tc>
      </w:tr>
      <w:tr>
        <w:trPr>
          <w:trHeight w:val="228"/>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 bps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bps</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profit margin</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 bps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bps</w:t>
            </w:r>
          </w:p>
        </w:tc>
      </w:tr>
      <w:tr>
        <w:trPr>
          <w:trHeight w:val="174"/>
        </w:trPr>
        <w:tc>
          <w:tcPr>
            <w:tcW w:w="3820" w:type="dxa"/>
            <w:vAlign w:val="bottom"/>
            <w:gridSpan w:val="9"/>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476.9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1,987.6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1,888.5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8"/>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Adjusted selling, 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1,974.9</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as a % of gross profit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 bps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bps</w:t>
            </w:r>
          </w:p>
        </w:tc>
      </w:tr>
      <w:tr>
        <w:trPr>
          <w:trHeight w:val="228"/>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Adjusted SG&amp;A as a % of gross profit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 bps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bps</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revenue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 bps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bps</w:t>
            </w:r>
          </w:p>
        </w:tc>
      </w:tr>
      <w:tr>
        <w:trPr>
          <w:trHeight w:val="228"/>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gross profit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(1,603) bps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bps</w:t>
            </w:r>
          </w:p>
        </w:tc>
      </w:tr>
      <w:tr>
        <w:trPr>
          <w:trHeight w:val="228"/>
        </w:trPr>
        <w:tc>
          <w:tcPr>
            <w:tcW w:w="3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 as a % of revenue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 bps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bps</w:t>
            </w:r>
          </w:p>
        </w:tc>
      </w:tr>
      <w:tr>
        <w:trPr>
          <w:trHeight w:val="233"/>
        </w:trPr>
        <w:tc>
          <w:tcPr>
            <w:tcW w:w="38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 as a % of gross profit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 bps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bps</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Front end yield is calculated as gross profit from new vehicles, used retail vehicles and finance and insurance (net), divided by combined new and used retail unit sales.</w:t>
      </w:r>
    </w:p>
    <w:p>
      <w:pPr>
        <w:sectPr>
          <w:pgSz w:w="11900" w:h="16838" w:orient="portrait"/>
          <w:cols w:equalWidth="0" w:num="1">
            <w:col w:w="11240"/>
          </w:cols>
          <w:pgMar w:left="320" w:top="1440" w:right="339" w:bottom="7"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7"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STORE OPERATING HIGHLIGHTS-CONSOLIDATED (In millions)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For the Twelve Months Ended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88"/>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w w:val="96"/>
              </w:rPr>
              <w:t>Revenue</w:t>
            </w:r>
          </w:p>
        </w:tc>
        <w:tc>
          <w:tcPr>
            <w:tcW w:w="304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8"/>
        </w:trPr>
        <w:tc>
          <w:tcPr>
            <w:tcW w:w="3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New vehicle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2,186.2</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2,333.8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8,636.1</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8,320.1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7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1,049.2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4,347.8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20" w:type="dxa"/>
            <w:vAlign w:val="bottom"/>
            <w:shd w:val="clear" w:color="auto" w:fill="CCEEFF"/>
          </w:tcPr>
          <w:p>
            <w:pPr>
              <w:spacing w:after="0"/>
              <w:rPr>
                <w:sz w:val="19"/>
                <w:szCs w:val="19"/>
                <w:color w:val="auto"/>
              </w:rPr>
            </w:pPr>
          </w:p>
        </w:tc>
        <w:tc>
          <w:tcPr>
            <w:tcW w:w="370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594.9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1"/>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used vehicle</w:t>
            </w:r>
          </w:p>
        </w:tc>
        <w:tc>
          <w:tcPr>
            <w:tcW w:w="2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1,205.4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4,757.7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4,942.7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service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558.4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8"/>
        </w:trPr>
        <w:tc>
          <w:tcPr>
            <w:tcW w:w="372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191.7</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733.3</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1"/>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4,020.2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4,289.3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16,395.9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16,208.8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168"/>
        </w:trPr>
        <w:tc>
          <w:tcPr>
            <w:tcW w:w="3720" w:type="dxa"/>
            <w:vAlign w:val="bottom"/>
            <w:gridSpan w:val="9"/>
          </w:tcPr>
          <w:p>
            <w:pPr>
              <w:ind w:left="20"/>
              <w:spacing w:after="0" w:line="168"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605.8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3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Used vehicle: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370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219.8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2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gridSpan w:val="8"/>
          </w:tcPr>
          <w:p>
            <w:pPr>
              <w:ind w:left="320"/>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1"/>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used vehicle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236.8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8"/>
        </w:trPr>
        <w:tc>
          <w:tcPr>
            <w:tcW w:w="3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Parts and service</w:t>
            </w:r>
          </w:p>
        </w:tc>
        <w:tc>
          <w:tcPr>
            <w:tcW w:w="2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323.8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1,276.2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678.9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1"/>
        </w:trPr>
        <w:tc>
          <w:tcPr>
            <w:tcW w:w="372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717.0</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2,802.7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2,797.8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168"/>
        </w:trPr>
        <w:tc>
          <w:tcPr>
            <w:tcW w:w="20" w:type="dxa"/>
            <w:vAlign w:val="bottom"/>
            <w:shd w:val="clear" w:color="auto" w:fill="CCEEFF"/>
          </w:tcPr>
          <w:p>
            <w:pPr>
              <w:spacing w:after="0"/>
              <w:rPr>
                <w:sz w:val="14"/>
                <w:szCs w:val="14"/>
                <w:color w:val="auto"/>
              </w:rPr>
            </w:pPr>
          </w:p>
        </w:tc>
        <w:tc>
          <w:tcPr>
            <w:tcW w:w="3700" w:type="dxa"/>
            <w:vAlign w:val="bottom"/>
            <w:gridSpan w:val="8"/>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rPr>
              <w:t>Unit sales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New vehicle: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370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Luxury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10,120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34,990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8"/>
        </w:trPr>
        <w:tc>
          <w:tcPr>
            <w:tcW w:w="20" w:type="dxa"/>
            <w:vAlign w:val="bottom"/>
          </w:tcPr>
          <w:p>
            <w:pPr>
              <w:spacing w:after="0"/>
              <w:rPr>
                <w:sz w:val="19"/>
                <w:szCs w:val="19"/>
                <w:color w:val="auto"/>
              </w:rPr>
            </w:pPr>
          </w:p>
        </w:tc>
        <w:tc>
          <w:tcPr>
            <w:tcW w:w="37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Import</w:t>
            </w:r>
          </w:p>
        </w:tc>
        <w:tc>
          <w:tcPr>
            <w:tcW w:w="2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23,311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85,178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8"/>
        </w:trPr>
        <w:tc>
          <w:tcPr>
            <w:tcW w:w="20" w:type="dxa"/>
            <w:vAlign w:val="bottom"/>
            <w:shd w:val="clear" w:color="auto" w:fill="CCEEFF"/>
          </w:tcPr>
          <w:p>
            <w:pPr>
              <w:spacing w:after="0"/>
              <w:rPr>
                <w:sz w:val="19"/>
                <w:szCs w:val="19"/>
                <w:color w:val="auto"/>
              </w:rPr>
            </w:pPr>
          </w:p>
        </w:tc>
        <w:tc>
          <w:tcPr>
            <w:tcW w:w="370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11,324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43,376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42,065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1"/>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new vehicle</w:t>
            </w:r>
          </w:p>
        </w:tc>
        <w:tc>
          <w:tcPr>
            <w:tcW w:w="2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41,760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44,755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166,625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162,233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33,564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141,131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3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Used to new ratio</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8"/>
        </w:trPr>
        <w:tc>
          <w:tcPr>
            <w:tcW w:w="20" w:type="dxa"/>
            <w:vAlign w:val="bottom"/>
            <w:shd w:val="clear" w:color="auto" w:fill="CCEEFF"/>
          </w:tcPr>
          <w:p>
            <w:pPr>
              <w:spacing w:after="0"/>
              <w:rPr>
                <w:sz w:val="18"/>
                <w:szCs w:val="18"/>
                <w:color w:val="auto"/>
              </w:rPr>
            </w:pPr>
          </w:p>
        </w:tc>
        <w:tc>
          <w:tcPr>
            <w:tcW w:w="3700" w:type="dxa"/>
            <w:vAlign w:val="bottom"/>
            <w:gridSpan w:val="8"/>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Average selling price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15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New vehicle</w:t>
            </w:r>
          </w:p>
        </w:tc>
        <w:tc>
          <w:tcPr>
            <w:tcW w:w="212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52,351</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52,146</w:t>
            </w:r>
          </w:p>
        </w:tc>
        <w:tc>
          <w:tcPr>
            <w:tcW w:w="1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51,830</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51,285</w:t>
            </w:r>
          </w:p>
        </w:tc>
        <w:tc>
          <w:tcPr>
            <w:tcW w:w="1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31,261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30,807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188"/>
        </w:trPr>
        <w:tc>
          <w:tcPr>
            <w:tcW w:w="3720" w:type="dxa"/>
            <w:vAlign w:val="bottom"/>
            <w:gridSpan w:val="9"/>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Average gross profit per unit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7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Luxury</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7,138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20" w:type="dxa"/>
            <w:vAlign w:val="bottom"/>
            <w:shd w:val="clear" w:color="auto" w:fill="CCEEFF"/>
          </w:tcPr>
          <w:p>
            <w:pPr>
              <w:spacing w:after="0"/>
              <w:rPr>
                <w:sz w:val="19"/>
                <w:szCs w:val="19"/>
                <w:color w:val="auto"/>
              </w:rPr>
            </w:pPr>
          </w:p>
        </w:tc>
        <w:tc>
          <w:tcPr>
            <w:tcW w:w="370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Import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2,487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2,622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20" w:type="dxa"/>
            <w:vAlign w:val="bottom"/>
          </w:tcPr>
          <w:p>
            <w:pPr>
              <w:spacing w:after="0"/>
              <w:rPr>
                <w:sz w:val="19"/>
                <w:szCs w:val="19"/>
                <w:color w:val="auto"/>
              </w:rPr>
            </w:pPr>
          </w:p>
        </w:tc>
        <w:tc>
          <w:tcPr>
            <w:tcW w:w="37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3,235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new vehicle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3,658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3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Used vehicle retail</w:t>
            </w:r>
          </w:p>
        </w:tc>
        <w:tc>
          <w:tcPr>
            <w:tcW w:w="2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1,558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2,270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Front end yield (1)</w:t>
            </w:r>
          </w:p>
        </w:tc>
        <w:tc>
          <w:tcPr>
            <w:tcW w:w="2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4,995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4,960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88"/>
        </w:trPr>
        <w:tc>
          <w:tcPr>
            <w:tcW w:w="20" w:type="dxa"/>
            <w:vAlign w:val="bottom"/>
            <w:shd w:val="clear" w:color="auto" w:fill="CCEEFF"/>
          </w:tcPr>
          <w:p>
            <w:pPr>
              <w:spacing w:after="0"/>
              <w:rPr>
                <w:sz w:val="16"/>
                <w:szCs w:val="16"/>
                <w:color w:val="auto"/>
              </w:rPr>
            </w:pPr>
          </w:p>
        </w:tc>
        <w:tc>
          <w:tcPr>
            <w:tcW w:w="3700" w:type="dxa"/>
            <w:vAlign w:val="bottom"/>
            <w:gridSpan w:val="8"/>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new vehicle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 bps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bps</w:t>
            </w: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 bps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bps</w:t>
            </w:r>
          </w:p>
        </w:tc>
      </w:tr>
      <w:tr>
        <w:trPr>
          <w:trHeight w:val="228"/>
        </w:trPr>
        <w:tc>
          <w:tcPr>
            <w:tcW w:w="3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Parts and service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 bps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bps</w:t>
            </w: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 margin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 bps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bps</w:t>
            </w:r>
          </w:p>
        </w:tc>
      </w:tr>
      <w:tr>
        <w:trPr>
          <w:trHeight w:val="188"/>
        </w:trPr>
        <w:tc>
          <w:tcPr>
            <w:tcW w:w="3720" w:type="dxa"/>
            <w:vAlign w:val="bottom"/>
            <w:gridSpan w:val="9"/>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454.0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8"/>
        </w:trPr>
        <w:tc>
          <w:tcPr>
            <w:tcW w:w="3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Adjusted selling, general and administrative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447.6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1,782.9</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1,764.3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8"/>
        </w:trPr>
        <w:tc>
          <w:tcPr>
            <w:tcW w:w="37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a % of gross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222 bps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bps</w:t>
            </w:r>
          </w:p>
        </w:tc>
      </w:tr>
      <w:tr>
        <w:trPr>
          <w:trHeight w:val="233"/>
        </w:trPr>
        <w:tc>
          <w:tcPr>
            <w:tcW w:w="3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Adjusted SG&amp;A as a % of gross profit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162 bps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bps</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Front end yield is calculated as gross profit from new vehicles, used retail vehicles and finance and insurance (net), divided by combined new and used retail unit sales.</w:t>
      </w:r>
    </w:p>
    <w:p>
      <w:pPr>
        <w:sectPr>
          <w:pgSz w:w="11900" w:h="16838" w:orient="portrait"/>
          <w:cols w:equalWidth="0" w:num="1">
            <w:col w:w="11240"/>
          </w:cols>
          <w:pgMar w:left="320" w:top="1440" w:right="339" w:bottom="476"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476"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REPORTING (Unaudited)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7"/>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r>
      <w:tr>
        <w:trPr>
          <w:trHeight w:val="213"/>
        </w:trPr>
        <w:tc>
          <w:tcPr>
            <w:tcW w:w="4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8"/>
        </w:trPr>
        <w:tc>
          <w:tcPr>
            <w:tcW w:w="4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TCA</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TCA</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4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4,504.5</w:t>
            </w:r>
          </w:p>
        </w:tc>
      </w:tr>
      <w:tr>
        <w:trPr>
          <w:trHeight w:val="22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1"/>
        </w:trPr>
        <w:tc>
          <w:tcPr>
            <w:tcW w:w="4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4,560.1</w:t>
            </w:r>
          </w:p>
        </w:tc>
      </w:tr>
      <w:tr>
        <w:trPr>
          <w:trHeight w:val="20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8"/>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1"/>
        </w:trPr>
        <w:tc>
          <w:tcPr>
            <w:tcW w:w="4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4,504.5</w:t>
            </w:r>
          </w:p>
        </w:tc>
      </w:tr>
      <w:tr>
        <w:trPr>
          <w:trHeight w:val="235"/>
        </w:trPr>
        <w:tc>
          <w:tcPr>
            <w:tcW w:w="4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selling, general and administrative expense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1"/>
        </w:trPr>
        <w:tc>
          <w:tcPr>
            <w:tcW w:w="4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r>
      <w:tr>
        <w:trPr>
          <w:trHeight w:val="235"/>
        </w:trPr>
        <w:tc>
          <w:tcPr>
            <w:tcW w:w="4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intersegment revenue eliminations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8"/>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intersegment cost of sales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174"/>
        </w:trPr>
        <w:tc>
          <w:tcPr>
            <w:tcW w:w="4240" w:type="dxa"/>
            <w:vAlign w:val="bottom"/>
          </w:tcPr>
          <w:p>
            <w:pPr>
              <w:ind w:left="340"/>
              <w:spacing w:after="0" w:line="175" w:lineRule="exact"/>
              <w:rPr>
                <w:sz w:val="20"/>
                <w:szCs w:val="20"/>
                <w:color w:val="auto"/>
              </w:rPr>
            </w:pPr>
            <w:r>
              <w:rPr>
                <w:rFonts w:ascii="Times New Roman" w:cs="Times New Roman" w:eastAsia="Times New Roman" w:hAnsi="Times New Roman"/>
                <w:sz w:val="18"/>
                <w:szCs w:val="18"/>
                <w:color w:val="auto"/>
              </w:rPr>
              <w:t>Deferral of SG&amp;A expense (related to capitalized</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1"/>
        </w:trPr>
        <w:tc>
          <w:tcPr>
            <w:tcW w:w="4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contract costs offset by amortization)</w:t>
            </w: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1"/>
        </w:trPr>
        <w:tc>
          <w:tcPr>
            <w:tcW w:w="4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intersegment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8"/>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8"/>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8"/>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operating income is calculated as GAAP operating income, excluding the effects of asset impairments and including floor plan interest expense.</w:t>
      </w: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40"/>
          </w:cols>
          <w:pgMar w:left="320" w:top="1440" w:right="5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60" w:type="dxa"/>
            <w:vAlign w:val="bottom"/>
          </w:tcPr>
          <w:p>
            <w:pPr>
              <w:spacing w:after="0"/>
              <w:rPr>
                <w:sz w:val="18"/>
                <w:szCs w:val="18"/>
                <w:color w:val="auto"/>
              </w:rPr>
            </w:pPr>
          </w:p>
        </w:tc>
        <w:tc>
          <w:tcPr>
            <w:tcW w:w="35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Twelve Months Ended December 31, 2025</w:t>
            </w:r>
          </w:p>
        </w:tc>
        <w:tc>
          <w:tcPr>
            <w:tcW w:w="120" w:type="dxa"/>
            <w:vAlign w:val="bottom"/>
          </w:tcPr>
          <w:p>
            <w:pPr>
              <w:spacing w:after="0"/>
              <w:rPr>
                <w:sz w:val="18"/>
                <w:szCs w:val="18"/>
                <w:color w:val="auto"/>
              </w:rPr>
            </w:pPr>
          </w:p>
        </w:tc>
        <w:tc>
          <w:tcPr>
            <w:tcW w:w="35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Twelve Months Ended December 31, 2024</w:t>
            </w:r>
          </w:p>
        </w:tc>
      </w:tr>
      <w:tr>
        <w:trPr>
          <w:trHeight w:val="209"/>
        </w:trPr>
        <w:tc>
          <w:tcPr>
            <w:tcW w:w="3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TCA</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17,672.9</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17,188.6</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21"/>
        </w:trPr>
        <w:tc>
          <w:tcPr>
            <w:tcW w:w="39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17,944.8</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17,107.5</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17,411.1</w:t>
            </w:r>
          </w:p>
        </w:tc>
      </w:tr>
      <w:tr>
        <w:trPr>
          <w:trHeight w:val="20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8"/>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21"/>
        </w:trPr>
        <w:tc>
          <w:tcPr>
            <w:tcW w:w="3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17,999.0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17,188.6</w:t>
            </w:r>
          </w:p>
        </w:tc>
      </w:tr>
      <w:tr>
        <w:trPr>
          <w:trHeight w:val="235"/>
        </w:trPr>
        <w:tc>
          <w:tcPr>
            <w:tcW w:w="3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4,966.3</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selling, general and administrative expense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1"/>
        </w:trPr>
        <w:tc>
          <w:tcPr>
            <w:tcW w:w="3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889.5</w:t>
            </w:r>
          </w:p>
        </w:tc>
      </w:tr>
      <w:tr>
        <w:trPr>
          <w:trHeight w:val="235"/>
        </w:trPr>
        <w:tc>
          <w:tcPr>
            <w:tcW w:w="3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intersegment revenue eliminations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28"/>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intersegment cost of sales eliminations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174"/>
        </w:trPr>
        <w:tc>
          <w:tcPr>
            <w:tcW w:w="3960" w:type="dxa"/>
            <w:vAlign w:val="bottom"/>
          </w:tcPr>
          <w:p>
            <w:pPr>
              <w:ind w:left="340"/>
              <w:spacing w:after="0" w:line="175" w:lineRule="exact"/>
              <w:rPr>
                <w:sz w:val="20"/>
                <w:szCs w:val="20"/>
                <w:color w:val="auto"/>
              </w:rPr>
            </w:pPr>
            <w:r>
              <w:rPr>
                <w:rFonts w:ascii="Times New Roman" w:cs="Times New Roman" w:eastAsia="Times New Roman" w:hAnsi="Times New Roman"/>
                <w:sz w:val="18"/>
                <w:szCs w:val="18"/>
                <w:color w:val="auto"/>
              </w:rPr>
              <w:t>Deferral of SG&amp;A expense (related to capitalized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1"/>
        </w:trPr>
        <w:tc>
          <w:tcPr>
            <w:tcW w:w="3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contract costs offset by amortization)</w:t>
            </w: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1"/>
        </w:trPr>
        <w:tc>
          <w:tcPr>
            <w:tcW w:w="3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intersegment eliminations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8"/>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28"/>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28"/>
        </w:trPr>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6"/>
        </w:trPr>
        <w:tc>
          <w:tcPr>
            <w:tcW w:w="3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operating income is calculated as GAAP operating income, excluding the effects of asset impairments and including floor plan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440" w:right="37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reconciliations for our non-GAAP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6"/>
                <w:szCs w:val="16"/>
                <w:color w:val="auto"/>
              </w:rPr>
            </w:pPr>
          </w:p>
        </w:tc>
        <w:tc>
          <w:tcPr>
            <w:tcW w:w="23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1"/>
                <w:szCs w:val="11"/>
                <w:color w:val="auto"/>
              </w:rPr>
            </w:pPr>
          </w:p>
        </w:tc>
        <w:tc>
          <w:tcPr>
            <w:tcW w:w="1060" w:type="dxa"/>
            <w:vAlign w:val="bottom"/>
          </w:tcPr>
          <w:p>
            <w:pPr>
              <w:jc w:val="right"/>
              <w:ind w:right="72"/>
              <w:spacing w:after="0" w:line="130"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58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Adjusted leverage ratio:</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floor plan offset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TCA cash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Availability under our used vehicle floor plan facility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long-term net debt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3,392.1</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6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8"/>
                <w:szCs w:val="18"/>
                <w:color w:val="auto"/>
              </w:rPr>
              <w:t>Calculation of earnings before interest, taxes, depreciation and amortization</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 and other 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 ("EBITDA")</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Non-core items - expense (income):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franchise termination</w:t>
            </w: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Hurricane Milton losses</w:t>
            </w: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recovery</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Professional fees associated with acquisition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Tekion implementation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Fixed assets write-off</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tcBorders>
            <w:shd w:val="clear" w:color="auto" w:fill="CCEEFF"/>
          </w:tcPr>
          <w:p>
            <w:pPr>
              <w:spacing w:after="0"/>
              <w:rPr>
                <w:sz w:val="19"/>
                <w:szCs w:val="19"/>
                <w:color w:val="auto"/>
              </w:rPr>
            </w:pPr>
          </w:p>
        </w:tc>
        <w:tc>
          <w:tcPr>
            <w:tcW w:w="584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non-core items</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68"/>
        </w:trPr>
        <w:tc>
          <w:tcPr>
            <w:tcW w:w="20" w:type="dxa"/>
            <w:vAlign w:val="bottom"/>
            <w:tcBorders>
              <w:bottom w:val="single" w:sz="8" w:color="CCEEFF"/>
            </w:tcBorders>
          </w:tcPr>
          <w:p>
            <w:pPr>
              <w:spacing w:after="0"/>
              <w:rPr>
                <w:sz w:val="23"/>
                <w:szCs w:val="23"/>
                <w:color w:val="auto"/>
              </w:rPr>
            </w:pPr>
          </w:p>
        </w:tc>
        <w:tc>
          <w:tcPr>
            <w:tcW w:w="1720" w:type="dxa"/>
            <w:vAlign w:val="bottom"/>
            <w:tcBorders>
              <w:bottom w:val="single" w:sz="8" w:color="CCEEFF"/>
            </w:tcBorders>
          </w:tcPr>
          <w:p>
            <w:pPr>
              <w:spacing w:after="0"/>
              <w:rPr>
                <w:sz w:val="23"/>
                <w:szCs w:val="23"/>
                <w:color w:val="auto"/>
              </w:rPr>
            </w:pPr>
          </w:p>
        </w:tc>
        <w:tc>
          <w:tcPr>
            <w:tcW w:w="4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dealership acquisitions and divestitures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2"/>
          </w:tcPr>
          <w:p>
            <w:pPr>
              <w:ind w:left="760"/>
              <w:spacing w:after="0"/>
              <w:rPr>
                <w:sz w:val="20"/>
                <w:szCs w:val="20"/>
                <w:color w:val="auto"/>
              </w:rPr>
            </w:pPr>
            <w:r>
              <w:rPr>
                <w:rFonts w:ascii="Times New Roman" w:cs="Times New Roman" w:eastAsia="Times New Roman" w:hAnsi="Times New Roman"/>
                <w:sz w:val="18"/>
                <w:szCs w:val="18"/>
                <w:color w:val="auto"/>
              </w:rPr>
              <w:t>Transaction adjusted EBITDA</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4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Transaction adjusted net leverage ratio</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20" w:top="1440" w:right="37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Three Months Ended December 31, 2025</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44"/>
              <w:spacing w:after="0" w:line="145" w:lineRule="exact"/>
              <w:rPr>
                <w:sz w:val="20"/>
                <w:szCs w:val="20"/>
                <w:color w:val="auto"/>
              </w:rPr>
            </w:pPr>
            <w:r>
              <w:rPr>
                <w:rFonts w:ascii="Times New Roman" w:cs="Times New Roman" w:eastAsia="Times New Roman" w:hAnsi="Times New Roman"/>
                <w:sz w:val="15"/>
                <w:szCs w:val="15"/>
                <w:b w:val="1"/>
                <w:bCs w:val="1"/>
                <w:color w:val="auto"/>
              </w:rPr>
              <w:t>Gain on</w:t>
            </w:r>
          </w:p>
        </w:tc>
        <w:tc>
          <w:tcPr>
            <w:tcW w:w="180" w:type="dxa"/>
            <w:vAlign w:val="bottom"/>
          </w:tcPr>
          <w:p>
            <w:pPr>
              <w:spacing w:after="0"/>
              <w:rPr>
                <w:sz w:val="12"/>
                <w:szCs w:val="12"/>
                <w:color w:val="auto"/>
              </w:rPr>
            </w:pPr>
          </w:p>
        </w:tc>
        <w:tc>
          <w:tcPr>
            <w:tcW w:w="1100" w:type="dxa"/>
            <w:vAlign w:val="bottom"/>
            <w:vMerge w:val="restart"/>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Asset</w:t>
            </w:r>
          </w:p>
        </w:tc>
        <w:tc>
          <w:tcPr>
            <w:tcW w:w="12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w w:val="99"/>
              </w:rPr>
              <w:t>Professional fees</w:t>
            </w:r>
          </w:p>
        </w:tc>
        <w:tc>
          <w:tcPr>
            <w:tcW w:w="200" w:type="dxa"/>
            <w:vAlign w:val="bottom"/>
          </w:tcPr>
          <w:p>
            <w:pPr>
              <w:spacing w:after="0"/>
              <w:rPr>
                <w:sz w:val="12"/>
                <w:szCs w:val="12"/>
                <w:color w:val="auto"/>
              </w:rPr>
            </w:pPr>
          </w:p>
        </w:tc>
        <w:tc>
          <w:tcPr>
            <w:tcW w:w="132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5"/>
                <w:szCs w:val="15"/>
                <w:b w:val="1"/>
                <w:bCs w:val="1"/>
                <w:color w:val="auto"/>
              </w:rPr>
              <w:t>Tekion</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Non-GAAP</w:t>
            </w: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GAAP</w:t>
            </w:r>
          </w:p>
        </w:tc>
        <w:tc>
          <w:tcPr>
            <w:tcW w:w="220" w:type="dxa"/>
            <w:vAlign w:val="bottom"/>
          </w:tcPr>
          <w:p>
            <w:pPr>
              <w:spacing w:after="0"/>
              <w:rPr>
                <w:sz w:val="12"/>
                <w:szCs w:val="12"/>
                <w:color w:val="auto"/>
              </w:rPr>
            </w:pPr>
          </w:p>
        </w:tc>
        <w:tc>
          <w:tcPr>
            <w:tcW w:w="1060" w:type="dxa"/>
            <w:vAlign w:val="bottom"/>
          </w:tcPr>
          <w:p>
            <w:pPr>
              <w:jc w:val="center"/>
              <w:ind w:right="144"/>
              <w:spacing w:after="0" w:line="148" w:lineRule="exact"/>
              <w:rPr>
                <w:sz w:val="20"/>
                <w:szCs w:val="20"/>
                <w:color w:val="auto"/>
              </w:rPr>
            </w:pPr>
            <w:r>
              <w:rPr>
                <w:rFonts w:ascii="Times New Roman" w:cs="Times New Roman" w:eastAsia="Times New Roman" w:hAnsi="Times New Roman"/>
                <w:sz w:val="15"/>
                <w:szCs w:val="15"/>
                <w:b w:val="1"/>
                <w:bCs w:val="1"/>
                <w:color w:val="auto"/>
              </w:rPr>
              <w:t>dealership</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64"/>
              <w:spacing w:after="0" w:line="148" w:lineRule="exact"/>
              <w:rPr>
                <w:sz w:val="20"/>
                <w:szCs w:val="20"/>
                <w:color w:val="auto"/>
              </w:rPr>
            </w:pPr>
            <w:r>
              <w:rPr>
                <w:rFonts w:ascii="Times New Roman" w:cs="Times New Roman" w:eastAsia="Times New Roman" w:hAnsi="Times New Roman"/>
                <w:sz w:val="15"/>
                <w:szCs w:val="15"/>
                <w:b w:val="1"/>
                <w:bCs w:val="1"/>
                <w:color w:val="auto"/>
              </w:rPr>
              <w:t>associated with</w:t>
            </w:r>
          </w:p>
        </w:tc>
        <w:tc>
          <w:tcPr>
            <w:tcW w:w="200" w:type="dxa"/>
            <w:vAlign w:val="bottom"/>
          </w:tcPr>
          <w:p>
            <w:pPr>
              <w:spacing w:after="0"/>
              <w:rPr>
                <w:sz w:val="12"/>
                <w:szCs w:val="12"/>
                <w:color w:val="auto"/>
              </w:rPr>
            </w:pPr>
          </w:p>
        </w:tc>
        <w:tc>
          <w:tcPr>
            <w:tcW w:w="1320" w:type="dxa"/>
            <w:vAlign w:val="bottom"/>
          </w:tcPr>
          <w:p>
            <w:pPr>
              <w:jc w:val="center"/>
              <w:ind w:right="104"/>
              <w:spacing w:after="0" w:line="148" w:lineRule="exact"/>
              <w:rPr>
                <w:sz w:val="20"/>
                <w:szCs w:val="20"/>
                <w:color w:val="auto"/>
              </w:rPr>
            </w:pPr>
            <w:r>
              <w:rPr>
                <w:rFonts w:ascii="Times New Roman" w:cs="Times New Roman" w:eastAsia="Times New Roman" w:hAnsi="Times New Roman"/>
                <w:sz w:val="15"/>
                <w:szCs w:val="15"/>
                <w:b w:val="1"/>
                <w:bCs w:val="1"/>
                <w:color w:val="auto"/>
              </w:rPr>
              <w:t>implementation</w:t>
            </w: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Income tax effect</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divestitures,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impairments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acquisition</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2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gridSpan w:val="5"/>
          </w:tcPr>
          <w:p>
            <w:pPr>
              <w:jc w:val="right"/>
              <w:ind w:right="844"/>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9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Selling, general and</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administrative (SG&amp;A)</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528.7</w:t>
            </w:r>
          </w:p>
        </w:tc>
        <w:tc>
          <w:tcPr>
            <w:tcW w:w="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517.8</w:t>
            </w:r>
          </w:p>
        </w:tc>
        <w:tc>
          <w:tcPr>
            <w:tcW w:w="0" w:type="dxa"/>
            <w:vAlign w:val="bottom"/>
          </w:tcPr>
          <w:p>
            <w:pPr>
              <w:spacing w:after="0"/>
              <w:rPr>
                <w:sz w:val="1"/>
                <w:szCs w:val="1"/>
                <w:color w:val="auto"/>
              </w:rPr>
            </w:pPr>
          </w:p>
        </w:tc>
      </w:tr>
      <w:tr>
        <w:trPr>
          <w:trHeight w:val="199"/>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 impairments</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115.0</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126.4</w:t>
            </w:r>
          </w:p>
        </w:tc>
        <w:tc>
          <w:tcPr>
            <w:tcW w:w="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118.8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6.4</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252.2</w:t>
            </w:r>
          </w:p>
        </w:tc>
        <w:tc>
          <w:tcPr>
            <w:tcW w:w="0" w:type="dxa"/>
            <w:vAlign w:val="bottom"/>
          </w:tcPr>
          <w:p>
            <w:pPr>
              <w:spacing w:after="0"/>
              <w:rPr>
                <w:sz w:val="1"/>
                <w:szCs w:val="1"/>
                <w:color w:val="auto"/>
              </w:rPr>
            </w:pPr>
          </w:p>
        </w:tc>
      </w:tr>
      <w:tr>
        <w:trPr>
          <w:trHeight w:val="199"/>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60.0</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(34.5)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118.8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6.4</w:t>
            </w:r>
          </w:p>
        </w:tc>
        <w:tc>
          <w:tcPr>
            <w:tcW w:w="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(22.1)</w:t>
            </w:r>
          </w:p>
        </w:tc>
        <w:tc>
          <w:tcPr>
            <w:tcW w:w="2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129.3</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1960" w:type="dxa"/>
            <w:vAlign w:val="bottom"/>
          </w:tcPr>
          <w:p>
            <w:pPr>
              <w:ind w:left="20"/>
              <w:spacing w:after="0" w:line="148" w:lineRule="exact"/>
              <w:rPr>
                <w:sz w:val="20"/>
                <w:szCs w:val="20"/>
                <w:color w:val="auto"/>
              </w:rPr>
            </w:pPr>
            <w:r>
              <w:rPr>
                <w:rFonts w:ascii="Times New Roman" w:cs="Times New Roman" w:eastAsia="Times New Roman" w:hAnsi="Times New Roman"/>
                <w:sz w:val="15"/>
                <w:szCs w:val="15"/>
                <w:color w:val="auto"/>
              </w:rPr>
              <w:t>Weighted average common</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 outstanding - diluted</w:t>
            </w:r>
          </w:p>
        </w:tc>
        <w:tc>
          <w:tcPr>
            <w:tcW w:w="240" w:type="dxa"/>
            <w:vAlign w:val="bottom"/>
          </w:tcPr>
          <w:p>
            <w:pPr>
              <w:spacing w:after="0"/>
              <w:rPr>
                <w:sz w:val="18"/>
                <w:szCs w:val="18"/>
                <w:color w:val="auto"/>
              </w:rPr>
            </w:pPr>
          </w:p>
        </w:tc>
        <w:tc>
          <w:tcPr>
            <w:tcW w:w="10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19.4</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19.4</w:t>
            </w:r>
          </w:p>
        </w:tc>
        <w:tc>
          <w:tcPr>
            <w:tcW w:w="0" w:type="dxa"/>
            <w:vAlign w:val="bottom"/>
          </w:tcPr>
          <w:p>
            <w:pPr>
              <w:spacing w:after="0"/>
              <w:rPr>
                <w:sz w:val="1"/>
                <w:szCs w:val="1"/>
                <w:color w:val="auto"/>
              </w:rPr>
            </w:pPr>
          </w:p>
        </w:tc>
      </w:tr>
      <w:tr>
        <w:trPr>
          <w:trHeight w:val="272"/>
        </w:trPr>
        <w:tc>
          <w:tcPr>
            <w:tcW w:w="1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EPS</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3.10</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(1.35)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4.65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0.03</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0.25</w:t>
            </w:r>
          </w:p>
        </w:tc>
        <w:tc>
          <w:tcPr>
            <w:tcW w:w="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6.67</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SG&amp;A as a % of gross profit</w:t>
            </w:r>
          </w:p>
        </w:tc>
        <w:tc>
          <w:tcPr>
            <w:tcW w:w="2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66.7 %</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65.3 %</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Income from operations as a %</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of revenue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2.7 %</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5.4 %</w:t>
            </w:r>
          </w:p>
        </w:tc>
        <w:tc>
          <w:tcPr>
            <w:tcW w:w="0" w:type="dxa"/>
            <w:vAlign w:val="bottom"/>
          </w:tcPr>
          <w:p>
            <w:pPr>
              <w:spacing w:after="0"/>
              <w:rPr>
                <w:sz w:val="1"/>
                <w:szCs w:val="1"/>
                <w:color w:val="auto"/>
              </w:rPr>
            </w:pPr>
          </w:p>
        </w:tc>
      </w:tr>
      <w:tr>
        <w:trPr>
          <w:trHeight w:val="268"/>
        </w:trPr>
        <w:tc>
          <w:tcPr>
            <w:tcW w:w="1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 (Same Store)</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447.3</w:t>
            </w:r>
          </w:p>
        </w:tc>
        <w:tc>
          <w:tcPr>
            <w:tcW w:w="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437.1</w:t>
            </w:r>
          </w:p>
        </w:tc>
        <w:tc>
          <w:tcPr>
            <w:tcW w:w="0" w:type="dxa"/>
            <w:vAlign w:val="bottom"/>
          </w:tcPr>
          <w:p>
            <w:pPr>
              <w:spacing w:after="0"/>
              <w:rPr>
                <w:sz w:val="1"/>
                <w:szCs w:val="1"/>
                <w:color w:val="auto"/>
              </w:rPr>
            </w:pPr>
          </w:p>
        </w:tc>
      </w:tr>
      <w:tr>
        <w:trPr>
          <w:trHeight w:val="147"/>
        </w:trPr>
        <w:tc>
          <w:tcPr>
            <w:tcW w:w="1960" w:type="dxa"/>
            <w:vAlign w:val="bottom"/>
          </w:tcPr>
          <w:p>
            <w:pPr>
              <w:ind w:left="20"/>
              <w:spacing w:after="0" w:line="148" w:lineRule="exact"/>
              <w:rPr>
                <w:sz w:val="20"/>
                <w:szCs w:val="20"/>
                <w:color w:val="auto"/>
              </w:rPr>
            </w:pPr>
            <w:r>
              <w:rPr>
                <w:rFonts w:ascii="Times New Roman" w:cs="Times New Roman" w:eastAsia="Times New Roman" w:hAnsi="Times New Roman"/>
                <w:sz w:val="15"/>
                <w:szCs w:val="15"/>
                <w:color w:val="auto"/>
              </w:rPr>
              <w:t>SG&amp;A as a % of gross profit</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(Same Store)</w:t>
            </w:r>
          </w:p>
        </w:tc>
        <w:tc>
          <w:tcPr>
            <w:tcW w:w="2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65.5 %</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Three Months Ended December 31, 2024</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24"/>
              <w:spacing w:after="0" w:line="145" w:lineRule="exact"/>
              <w:rPr>
                <w:sz w:val="20"/>
                <w:szCs w:val="20"/>
                <w:color w:val="auto"/>
              </w:rPr>
            </w:pPr>
            <w:r>
              <w:rPr>
                <w:rFonts w:ascii="Times New Roman" w:cs="Times New Roman" w:eastAsia="Times New Roman" w:hAnsi="Times New Roman"/>
                <w:sz w:val="15"/>
                <w:szCs w:val="15"/>
                <w:b w:val="1"/>
                <w:bCs w:val="1"/>
                <w:color w:val="auto"/>
              </w:rPr>
              <w:t>Proceeds from</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vMerge w:val="restart"/>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Hurricane Milton</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GAAP</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24"/>
              <w:spacing w:after="0" w:line="148" w:lineRule="exact"/>
              <w:rPr>
                <w:sz w:val="20"/>
                <w:szCs w:val="20"/>
                <w:color w:val="auto"/>
              </w:rPr>
            </w:pPr>
            <w:r>
              <w:rPr>
                <w:rFonts w:ascii="Times New Roman" w:cs="Times New Roman" w:eastAsia="Times New Roman" w:hAnsi="Times New Roman"/>
                <w:sz w:val="15"/>
                <w:szCs w:val="15"/>
                <w:b w:val="1"/>
                <w:bCs w:val="1"/>
                <w:color w:val="auto"/>
                <w:w w:val="97"/>
              </w:rPr>
              <w:t>franchise</w:t>
            </w:r>
          </w:p>
        </w:tc>
        <w:tc>
          <w:tcPr>
            <w:tcW w:w="160" w:type="dxa"/>
            <w:vAlign w:val="bottom"/>
          </w:tcPr>
          <w:p>
            <w:pPr>
              <w:spacing w:after="0"/>
              <w:rPr>
                <w:sz w:val="12"/>
                <w:szCs w:val="12"/>
                <w:color w:val="auto"/>
              </w:rPr>
            </w:pPr>
          </w:p>
        </w:tc>
        <w:tc>
          <w:tcPr>
            <w:tcW w:w="136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Asset impairments</w:t>
            </w:r>
          </w:p>
        </w:tc>
        <w:tc>
          <w:tcPr>
            <w:tcW w:w="1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Income tax effect</w:t>
            </w:r>
          </w:p>
        </w:tc>
        <w:tc>
          <w:tcPr>
            <w:tcW w:w="158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Non-GAAP adjusted</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termination</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3"/>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9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Selling, general and</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administrative (SG&amp;A)</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476.9</w:t>
            </w:r>
          </w:p>
        </w:tc>
        <w:tc>
          <w:tcPr>
            <w:tcW w:w="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472.4</w:t>
            </w:r>
          </w:p>
        </w:tc>
        <w:tc>
          <w:tcPr>
            <w:tcW w:w="0" w:type="dxa"/>
            <w:vAlign w:val="bottom"/>
          </w:tcPr>
          <w:p>
            <w:pPr>
              <w:spacing w:after="0"/>
              <w:rPr>
                <w:sz w:val="1"/>
                <w:szCs w:val="1"/>
                <w:color w:val="auto"/>
              </w:rPr>
            </w:pPr>
          </w:p>
        </w:tc>
      </w:tr>
      <w:tr>
        <w:trPr>
          <w:trHeight w:val="199"/>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239.7</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258.3</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128.8</w:t>
            </w:r>
          </w:p>
        </w:tc>
        <w:tc>
          <w:tcPr>
            <w:tcW w:w="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5"/>
                <w:szCs w:val="15"/>
                <w:color w:val="auto"/>
              </w:rPr>
              <w:t>(4.3)</w:t>
            </w:r>
          </w:p>
        </w:tc>
        <w:tc>
          <w:tcPr>
            <w:tcW w:w="60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143.1</w:t>
            </w:r>
          </w:p>
        </w:tc>
        <w:tc>
          <w:tcPr>
            <w:tcW w:w="0" w:type="dxa"/>
            <w:vAlign w:val="bottom"/>
          </w:tcPr>
          <w:p>
            <w:pPr>
              <w:spacing w:after="0"/>
              <w:rPr>
                <w:sz w:val="1"/>
                <w:szCs w:val="1"/>
                <w:color w:val="auto"/>
              </w:rPr>
            </w:pPr>
          </w:p>
        </w:tc>
      </w:tr>
      <w:tr>
        <w:trPr>
          <w:trHeight w:val="268"/>
        </w:trPr>
        <w:tc>
          <w:tcPr>
            <w:tcW w:w="1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19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Weighted average common</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 outstanding - diluted</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19.7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19.7</w:t>
            </w:r>
          </w:p>
        </w:tc>
        <w:tc>
          <w:tcPr>
            <w:tcW w:w="0" w:type="dxa"/>
            <w:vAlign w:val="bottom"/>
          </w:tcPr>
          <w:p>
            <w:pPr>
              <w:spacing w:after="0"/>
              <w:rPr>
                <w:sz w:val="1"/>
                <w:szCs w:val="1"/>
                <w:color w:val="auto"/>
              </w:rPr>
            </w:pPr>
          </w:p>
        </w:tc>
      </w:tr>
      <w:tr>
        <w:trPr>
          <w:trHeight w:val="268"/>
        </w:trPr>
        <w:tc>
          <w:tcPr>
            <w:tcW w:w="1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EPS</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6.54</w:t>
            </w:r>
          </w:p>
        </w:tc>
        <w:tc>
          <w:tcPr>
            <w:tcW w:w="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7.26</w:t>
            </w:r>
          </w:p>
        </w:tc>
        <w:tc>
          <w:tcPr>
            <w:tcW w:w="0" w:type="dxa"/>
            <w:vAlign w:val="bottom"/>
          </w:tcPr>
          <w:p>
            <w:pPr>
              <w:spacing w:after="0"/>
              <w:rPr>
                <w:sz w:val="1"/>
                <w:szCs w:val="1"/>
                <w:color w:val="auto"/>
              </w:rPr>
            </w:pPr>
          </w:p>
        </w:tc>
      </w:tr>
      <w:tr>
        <w:trPr>
          <w:trHeight w:val="268"/>
        </w:trPr>
        <w:tc>
          <w:tcPr>
            <w:tcW w:w="1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 as a % of gross profit</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63.6 %</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63.0 %</w:t>
            </w:r>
          </w:p>
        </w:tc>
        <w:tc>
          <w:tcPr>
            <w:tcW w:w="0" w:type="dxa"/>
            <w:vAlign w:val="bottom"/>
          </w:tcPr>
          <w:p>
            <w:pPr>
              <w:spacing w:after="0"/>
              <w:rPr>
                <w:sz w:val="1"/>
                <w:szCs w:val="1"/>
                <w:color w:val="auto"/>
              </w:rPr>
            </w:pPr>
          </w:p>
        </w:tc>
      </w:tr>
      <w:tr>
        <w:trPr>
          <w:trHeight w:val="147"/>
        </w:trPr>
        <w:tc>
          <w:tcPr>
            <w:tcW w:w="1960" w:type="dxa"/>
            <w:vAlign w:val="bottom"/>
          </w:tcPr>
          <w:p>
            <w:pPr>
              <w:ind w:left="20"/>
              <w:spacing w:after="0" w:line="148" w:lineRule="exact"/>
              <w:rPr>
                <w:sz w:val="20"/>
                <w:szCs w:val="20"/>
                <w:color w:val="auto"/>
              </w:rPr>
            </w:pPr>
            <w:r>
              <w:rPr>
                <w:rFonts w:ascii="Times New Roman" w:cs="Times New Roman" w:eastAsia="Times New Roman" w:hAnsi="Times New Roman"/>
                <w:sz w:val="15"/>
                <w:szCs w:val="15"/>
                <w:color w:val="auto"/>
              </w:rPr>
              <w:t>Income from operations as a %</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 revenue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5.3 %</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5.7 %</w:t>
            </w:r>
          </w:p>
        </w:tc>
        <w:tc>
          <w:tcPr>
            <w:tcW w:w="0" w:type="dxa"/>
            <w:vAlign w:val="bottom"/>
          </w:tcPr>
          <w:p>
            <w:pPr>
              <w:spacing w:after="0"/>
              <w:rPr>
                <w:sz w:val="1"/>
                <w:szCs w:val="1"/>
                <w:color w:val="auto"/>
              </w:rPr>
            </w:pPr>
          </w:p>
        </w:tc>
      </w:tr>
      <w:tr>
        <w:trPr>
          <w:trHeight w:val="272"/>
        </w:trPr>
        <w:tc>
          <w:tcPr>
            <w:tcW w:w="19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SG&amp;A (Same Store)</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454.0</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447.6</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SG&amp;A as a % of gross profit</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(Same Store)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63.3 %</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b w:val="1"/>
          <w:bCs w:val="1"/>
          <w:color w:val="auto"/>
        </w:rPr>
        <w:t>Twelve Months Ended December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left="44"/>
              <w:spacing w:after="0" w:line="149" w:lineRule="exact"/>
              <w:rPr>
                <w:sz w:val="20"/>
                <w:szCs w:val="20"/>
                <w:color w:val="auto"/>
              </w:rPr>
            </w:pPr>
            <w:r>
              <w:rPr>
                <w:rFonts w:ascii="Times New Roman" w:cs="Times New Roman" w:eastAsia="Times New Roman" w:hAnsi="Times New Roman"/>
                <w:sz w:val="15"/>
                <w:szCs w:val="15"/>
                <w:b w:val="1"/>
                <w:bCs w:val="1"/>
                <w:color w:val="auto"/>
                <w:w w:val="97"/>
              </w:rPr>
              <w:t>Gain on</w:t>
            </w: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vMerge w:val="restart"/>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Professional</w:t>
            </w:r>
          </w:p>
        </w:tc>
        <w:tc>
          <w:tcPr>
            <w:tcW w:w="1480" w:type="dxa"/>
            <w:vAlign w:val="bottom"/>
            <w:tcBorders>
              <w:top w:val="single" w:sz="8" w:color="auto"/>
            </w:tcBorders>
            <w:gridSpan w:val="2"/>
            <w:vMerge w:val="restart"/>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Tekion</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44"/>
              <w:spacing w:after="0" w:line="149" w:lineRule="exact"/>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left="44"/>
              <w:spacing w:after="0" w:line="148" w:lineRule="exact"/>
              <w:rPr>
                <w:sz w:val="20"/>
                <w:szCs w:val="20"/>
                <w:color w:val="auto"/>
              </w:rPr>
            </w:pPr>
            <w:r>
              <w:rPr>
                <w:rFonts w:ascii="Times New Roman" w:cs="Times New Roman" w:eastAsia="Times New Roman" w:hAnsi="Times New Roman"/>
                <w:sz w:val="15"/>
                <w:szCs w:val="15"/>
                <w:b w:val="1"/>
                <w:bCs w:val="1"/>
                <w:color w:val="auto"/>
                <w:w w:val="98"/>
              </w:rPr>
              <w:t>dealership</w:t>
            </w:r>
          </w:p>
        </w:tc>
        <w:tc>
          <w:tcPr>
            <w:tcW w:w="1240" w:type="dxa"/>
            <w:vAlign w:val="bottom"/>
            <w:gridSpan w:val="2"/>
            <w:vMerge w:val="restart"/>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Asset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Insurance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64"/>
              <w:spacing w:after="0" w:line="148" w:lineRule="exact"/>
              <w:rPr>
                <w:sz w:val="20"/>
                <w:szCs w:val="20"/>
                <w:color w:val="auto"/>
              </w:rPr>
            </w:pPr>
            <w:r>
              <w:rPr>
                <w:rFonts w:ascii="Times New Roman" w:cs="Times New Roman" w:eastAsia="Times New Roman" w:hAnsi="Times New Roman"/>
                <w:sz w:val="15"/>
                <w:szCs w:val="15"/>
                <w:b w:val="1"/>
                <w:bCs w:val="1"/>
                <w:color w:val="auto"/>
              </w:rPr>
              <w:t>related</w:t>
            </w:r>
          </w:p>
        </w:tc>
        <w:tc>
          <w:tcPr>
            <w:tcW w:w="160" w:type="dxa"/>
            <w:vAlign w:val="bottom"/>
          </w:tcPr>
          <w:p>
            <w:pPr>
              <w:spacing w:after="0"/>
              <w:rPr>
                <w:sz w:val="12"/>
                <w:szCs w:val="12"/>
                <w:color w:val="auto"/>
              </w:rPr>
            </w:pPr>
          </w:p>
        </w:tc>
        <w:tc>
          <w:tcPr>
            <w:tcW w:w="62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60" w:type="dxa"/>
            <w:vAlign w:val="bottom"/>
          </w:tcPr>
          <w:p>
            <w:pPr>
              <w:spacing w:after="0"/>
              <w:rPr>
                <w:sz w:val="12"/>
                <w:szCs w:val="12"/>
                <w:color w:val="auto"/>
              </w:rPr>
            </w:pPr>
          </w:p>
        </w:tc>
        <w:tc>
          <w:tcPr>
            <w:tcW w:w="86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9"/>
              </w:rPr>
              <w:t>Non-GAAP</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w w:val="98"/>
              </w:rPr>
              <w:t>GAAP</w:t>
            </w:r>
          </w:p>
        </w:tc>
        <w:tc>
          <w:tcPr>
            <w:tcW w:w="1140" w:type="dxa"/>
            <w:vAlign w:val="bottom"/>
            <w:gridSpan w:val="2"/>
          </w:tcPr>
          <w:p>
            <w:pPr>
              <w:jc w:val="center"/>
              <w:ind w:left="44"/>
              <w:spacing w:after="0" w:line="161" w:lineRule="exact"/>
              <w:rPr>
                <w:sz w:val="20"/>
                <w:szCs w:val="20"/>
                <w:color w:val="auto"/>
              </w:rPr>
            </w:pPr>
            <w:r>
              <w:rPr>
                <w:rFonts w:ascii="Times New Roman" w:cs="Times New Roman" w:eastAsia="Times New Roman" w:hAnsi="Times New Roman"/>
                <w:sz w:val="15"/>
                <w:szCs w:val="15"/>
                <w:b w:val="1"/>
                <w:bCs w:val="1"/>
                <w:color w:val="auto"/>
              </w:rPr>
              <w:t>divestitures,</w:t>
            </w:r>
          </w:p>
        </w:tc>
        <w:tc>
          <w:tcPr>
            <w:tcW w:w="12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4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rPr>
              <w:t>fees associated</w:t>
            </w:r>
          </w:p>
        </w:tc>
        <w:tc>
          <w:tcPr>
            <w:tcW w:w="1480" w:type="dxa"/>
            <w:vAlign w:val="bottom"/>
            <w:gridSpan w:val="2"/>
          </w:tcPr>
          <w:p>
            <w:pPr>
              <w:jc w:val="right"/>
              <w:ind w:right="124"/>
              <w:spacing w:after="0" w:line="161" w:lineRule="exact"/>
              <w:rPr>
                <w:sz w:val="20"/>
                <w:szCs w:val="20"/>
                <w:color w:val="auto"/>
              </w:rPr>
            </w:pPr>
            <w:r>
              <w:rPr>
                <w:rFonts w:ascii="Times New Roman" w:cs="Times New Roman" w:eastAsia="Times New Roman" w:hAnsi="Times New Roman"/>
                <w:sz w:val="15"/>
                <w:szCs w:val="15"/>
                <w:b w:val="1"/>
                <w:bCs w:val="1"/>
                <w:color w:val="auto"/>
              </w:rPr>
              <w:t>implementation</w:t>
            </w:r>
          </w:p>
        </w:tc>
        <w:tc>
          <w:tcPr>
            <w:tcW w:w="160" w:type="dxa"/>
            <w:vAlign w:val="bottom"/>
          </w:tcPr>
          <w:p>
            <w:pPr>
              <w:spacing w:after="0"/>
              <w:rPr>
                <w:sz w:val="13"/>
                <w:szCs w:val="13"/>
                <w:color w:val="auto"/>
              </w:rPr>
            </w:pPr>
          </w:p>
        </w:tc>
        <w:tc>
          <w:tcPr>
            <w:tcW w:w="920" w:type="dxa"/>
            <w:vAlign w:val="bottom"/>
            <w:gridSpan w:val="2"/>
          </w:tcPr>
          <w:p>
            <w:pPr>
              <w:jc w:val="center"/>
              <w:ind w:right="44"/>
              <w:spacing w:after="0" w:line="161" w:lineRule="exact"/>
              <w:rPr>
                <w:sz w:val="20"/>
                <w:szCs w:val="20"/>
                <w:color w:val="auto"/>
              </w:rPr>
            </w:pPr>
            <w:r>
              <w:rPr>
                <w:rFonts w:ascii="Times New Roman" w:cs="Times New Roman" w:eastAsia="Times New Roman" w:hAnsi="Times New Roman"/>
                <w:sz w:val="15"/>
                <w:szCs w:val="15"/>
                <w:b w:val="1"/>
                <w:bCs w:val="1"/>
                <w:color w:val="auto"/>
              </w:rPr>
              <w:t>deferred tax</w:t>
            </w:r>
          </w:p>
        </w:tc>
        <w:tc>
          <w:tcPr>
            <w:tcW w:w="1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4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tcPr>
          <w:p>
            <w:pPr>
              <w:jc w:val="center"/>
              <w:ind w:left="444"/>
              <w:spacing w:after="0"/>
              <w:rPr>
                <w:sz w:val="20"/>
                <w:szCs w:val="20"/>
                <w:color w:val="auto"/>
              </w:rPr>
            </w:pPr>
            <w:r>
              <w:rPr>
                <w:rFonts w:ascii="Times New Roman" w:cs="Times New Roman" w:eastAsia="Times New Roman" w:hAnsi="Times New Roman"/>
                <w:sz w:val="15"/>
                <w:szCs w:val="15"/>
                <w:b w:val="1"/>
                <w:bCs w:val="1"/>
                <w:color w:val="auto"/>
              </w:rPr>
              <w:t>net</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impairments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recovery</w:t>
            </w:r>
          </w:p>
        </w:tc>
        <w:tc>
          <w:tcPr>
            <w:tcW w:w="11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with acquisition</w:t>
            </w:r>
          </w:p>
        </w:tc>
        <w:tc>
          <w:tcPr>
            <w:tcW w:w="1480" w:type="dxa"/>
            <w:vAlign w:val="bottom"/>
            <w:tcBorders>
              <w:bottom w:val="single" w:sz="8" w:color="auto"/>
            </w:tcBorders>
            <w:gridSpan w:val="2"/>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true-up</w:t>
            </w: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tax effect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5"/>
          </w:tcPr>
          <w:p>
            <w:pPr>
              <w:jc w:val="center"/>
              <w:ind w:right="204"/>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6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Selling, general and</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60" w:type="dxa"/>
            <w:vAlign w:val="bottom"/>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administrative</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97"/>
              </w:rPr>
              <w:t>1,987.6</w:t>
            </w:r>
          </w:p>
        </w:tc>
        <w:tc>
          <w:tcPr>
            <w:tcW w:w="74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90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1,974.9</w:t>
            </w:r>
          </w:p>
        </w:tc>
        <w:tc>
          <w:tcPr>
            <w:tcW w:w="0" w:type="dxa"/>
            <w:vAlign w:val="bottom"/>
          </w:tcPr>
          <w:p>
            <w:pPr>
              <w:spacing w:after="0"/>
              <w:rPr>
                <w:sz w:val="1"/>
                <w:szCs w:val="1"/>
                <w:color w:val="auto"/>
              </w:rPr>
            </w:pPr>
          </w:p>
        </w:tc>
      </w:tr>
      <w:tr>
        <w:trPr>
          <w:trHeight w:val="1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Asset impairments</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141.0</w:t>
            </w:r>
          </w:p>
        </w:tc>
        <w:tc>
          <w:tcPr>
            <w:tcW w:w="74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7"/>
                <w:szCs w:val="17"/>
                <w:color w:val="auto"/>
              </w:rPr>
            </w:pPr>
          </w:p>
        </w:tc>
        <w:tc>
          <w:tcPr>
            <w:tcW w:w="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9"/>
        </w:trPr>
        <w:tc>
          <w:tcPr>
            <w:tcW w:w="14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Income from</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operations</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860.6</w:t>
            </w:r>
          </w:p>
        </w:tc>
        <w:tc>
          <w:tcPr>
            <w:tcW w:w="74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144.8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15.4</w:t>
            </w:r>
          </w:p>
        </w:tc>
        <w:tc>
          <w:tcPr>
            <w:tcW w:w="90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1,014.4</w:t>
            </w:r>
          </w:p>
        </w:tc>
        <w:tc>
          <w:tcPr>
            <w:tcW w:w="0" w:type="dxa"/>
            <w:vAlign w:val="bottom"/>
          </w:tcPr>
          <w:p>
            <w:pPr>
              <w:spacing w:after="0"/>
              <w:rPr>
                <w:sz w:val="1"/>
                <w:szCs w:val="1"/>
                <w:color w:val="auto"/>
              </w:rPr>
            </w:pPr>
          </w:p>
        </w:tc>
      </w:tr>
      <w:tr>
        <w:trPr>
          <w:trHeight w:val="1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492.0</w:t>
            </w:r>
          </w:p>
        </w:tc>
        <w:tc>
          <w:tcPr>
            <w:tcW w:w="74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9"/>
              </w:rPr>
              <w:t>(80.2)</w:t>
            </w:r>
          </w:p>
        </w:tc>
        <w:tc>
          <w:tcPr>
            <w:tcW w:w="6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144.8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15.4</w:t>
            </w:r>
          </w:p>
        </w:tc>
        <w:tc>
          <w:tcPr>
            <w:tcW w:w="90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8.6</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550.1</w:t>
            </w:r>
          </w:p>
        </w:tc>
        <w:tc>
          <w:tcPr>
            <w:tcW w:w="0" w:type="dxa"/>
            <w:vAlign w:val="bottom"/>
          </w:tcPr>
          <w:p>
            <w:pPr>
              <w:spacing w:after="0"/>
              <w:rPr>
                <w:sz w:val="1"/>
                <w:szCs w:val="1"/>
                <w:color w:val="auto"/>
              </w:rPr>
            </w:pPr>
          </w:p>
        </w:tc>
      </w:tr>
      <w:tr>
        <w:trPr>
          <w:trHeight w:val="270"/>
        </w:trPr>
        <w:tc>
          <w:tcPr>
            <w:tcW w:w="14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14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5"/>
                <w:szCs w:val="15"/>
                <w:color w:val="auto"/>
              </w:rPr>
              <w:t>Weighted average</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6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5"/>
                <w:szCs w:val="15"/>
                <w:color w:val="auto"/>
              </w:rPr>
              <w:t>common share</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outstanding - diluted</w:t>
            </w:r>
          </w:p>
        </w:tc>
        <w:tc>
          <w:tcPr>
            <w:tcW w:w="180" w:type="dxa"/>
            <w:vAlign w:val="bottom"/>
          </w:tcPr>
          <w:p>
            <w:pPr>
              <w:spacing w:after="0"/>
              <w:rPr>
                <w:sz w:val="17"/>
                <w:szCs w:val="17"/>
                <w:color w:val="auto"/>
              </w:rPr>
            </w:pPr>
          </w:p>
        </w:tc>
        <w:tc>
          <w:tcPr>
            <w:tcW w:w="6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19.6</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272"/>
        </w:trPr>
        <w:tc>
          <w:tcPr>
            <w:tcW w:w="14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Diluted EPS</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25.13</w:t>
            </w:r>
          </w:p>
        </w:tc>
        <w:tc>
          <w:tcPr>
            <w:tcW w:w="74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3"/>
              </w:rPr>
              <w:t>(3.11)</w:t>
            </w:r>
          </w:p>
        </w:tc>
        <w:tc>
          <w:tcPr>
            <w:tcW w:w="6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5.62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(0.58)</w:t>
            </w:r>
          </w:p>
        </w:tc>
        <w:tc>
          <w:tcPr>
            <w:tcW w:w="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0.60</w:t>
            </w:r>
          </w:p>
        </w:tc>
        <w:tc>
          <w:tcPr>
            <w:tcW w:w="90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0.33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28.10</w:t>
            </w:r>
          </w:p>
        </w:tc>
        <w:tc>
          <w:tcPr>
            <w:tcW w:w="0" w:type="dxa"/>
            <w:vAlign w:val="bottom"/>
          </w:tcPr>
          <w:p>
            <w:pPr>
              <w:spacing w:after="0"/>
              <w:rPr>
                <w:sz w:val="1"/>
                <w:szCs w:val="1"/>
                <w:color w:val="auto"/>
              </w:rPr>
            </w:pPr>
          </w:p>
        </w:tc>
      </w:tr>
      <w:tr>
        <w:trPr>
          <w:trHeight w:val="257"/>
        </w:trPr>
        <w:tc>
          <w:tcPr>
            <w:tcW w:w="1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4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5"/>
                <w:szCs w:val="15"/>
                <w:color w:val="auto"/>
              </w:rPr>
              <w:t>SG&amp;A as a % of gross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profit</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64.7 %</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64.3 %</w:t>
            </w:r>
          </w:p>
        </w:tc>
        <w:tc>
          <w:tcPr>
            <w:tcW w:w="0" w:type="dxa"/>
            <w:vAlign w:val="bottom"/>
          </w:tcPr>
          <w:p>
            <w:pPr>
              <w:spacing w:after="0"/>
              <w:rPr>
                <w:sz w:val="1"/>
                <w:szCs w:val="1"/>
                <w:color w:val="auto"/>
              </w:rPr>
            </w:pPr>
          </w:p>
        </w:tc>
      </w:tr>
      <w:tr>
        <w:trPr>
          <w:trHeight w:val="151"/>
        </w:trPr>
        <w:tc>
          <w:tcPr>
            <w:tcW w:w="1460" w:type="dxa"/>
            <w:vAlign w:val="bottom"/>
            <w:gridSpan w:val="2"/>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Income from</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60" w:type="dxa"/>
            <w:vAlign w:val="bottom"/>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operations as a % of</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0" w:type="dxa"/>
            <w:vAlign w:val="bottom"/>
          </w:tcPr>
          <w:p>
            <w:pPr>
              <w:spacing w:after="0"/>
              <w:rPr>
                <w:sz w:val="1"/>
                <w:szCs w:val="1"/>
                <w:color w:val="auto"/>
              </w:rPr>
            </w:pPr>
          </w:p>
        </w:tc>
      </w:tr>
      <w:tr>
        <w:trPr>
          <w:trHeight w:val="255"/>
        </w:trPr>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 (Same Store)</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97"/>
              </w:rPr>
              <w:t>1,785.4</w:t>
            </w:r>
          </w:p>
        </w:tc>
        <w:tc>
          <w:tcPr>
            <w:tcW w:w="74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90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1,782.9</w:t>
            </w:r>
          </w:p>
        </w:tc>
        <w:tc>
          <w:tcPr>
            <w:tcW w:w="0" w:type="dxa"/>
            <w:vAlign w:val="bottom"/>
          </w:tcPr>
          <w:p>
            <w:pPr>
              <w:spacing w:after="0"/>
              <w:rPr>
                <w:sz w:val="1"/>
                <w:szCs w:val="1"/>
                <w:color w:val="auto"/>
              </w:rPr>
            </w:pPr>
          </w:p>
        </w:tc>
      </w:tr>
      <w:tr>
        <w:trPr>
          <w:trHeight w:val="147"/>
        </w:trPr>
        <w:tc>
          <w:tcPr>
            <w:tcW w:w="14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5"/>
                <w:szCs w:val="15"/>
                <w:color w:val="auto"/>
              </w:rPr>
              <w:t>SG&amp;A as a % of gross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profit (Same Store)</w:t>
            </w:r>
          </w:p>
        </w:tc>
        <w:tc>
          <w:tcPr>
            <w:tcW w:w="1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63.7 %</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63.6 %</w:t>
            </w:r>
          </w:p>
        </w:tc>
        <w:tc>
          <w:tcPr>
            <w:tcW w:w="0" w:type="dxa"/>
            <w:vAlign w:val="bottom"/>
          </w:tcPr>
          <w:p>
            <w:pPr>
              <w:spacing w:after="0"/>
              <w:rPr>
                <w:sz w:val="1"/>
                <w:szCs w:val="1"/>
                <w:color w:val="auto"/>
              </w:rPr>
            </w:pPr>
          </w:p>
        </w:tc>
      </w:tr>
      <w:tr>
        <w:trPr>
          <w:trHeight w:val="486"/>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Twelve Months Ended December 31, 2024</w:t>
            </w: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rPr>
              <w:t>Gain on</w:t>
            </w:r>
          </w:p>
        </w:tc>
        <w:tc>
          <w:tcPr>
            <w:tcW w:w="1100" w:type="dxa"/>
            <w:vAlign w:val="bottom"/>
            <w:gridSpan w:val="3"/>
            <w:vMerge w:val="restart"/>
          </w:tcPr>
          <w:p>
            <w:pPr>
              <w:jc w:val="center"/>
              <w:ind w:left="4"/>
              <w:spacing w:after="0"/>
              <w:rPr>
                <w:sz w:val="20"/>
                <w:szCs w:val="20"/>
                <w:color w:val="auto"/>
              </w:rPr>
            </w:pPr>
            <w:r>
              <w:rPr>
                <w:rFonts w:ascii="Times New Roman" w:cs="Times New Roman" w:eastAsia="Times New Roman" w:hAnsi="Times New Roman"/>
                <w:sz w:val="15"/>
                <w:szCs w:val="15"/>
                <w:b w:val="1"/>
                <w:bCs w:val="1"/>
                <w:color w:val="auto"/>
              </w:rPr>
              <w:t>Proceeds from</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180"/>
              <w:spacing w:after="0" w:line="148" w:lineRule="exact"/>
              <w:rPr>
                <w:sz w:val="20"/>
                <w:szCs w:val="20"/>
                <w:color w:val="auto"/>
              </w:rPr>
            </w:pPr>
            <w:r>
              <w:rPr>
                <w:rFonts w:ascii="Times New Roman" w:cs="Times New Roman" w:eastAsia="Times New Roman" w:hAnsi="Times New Roman"/>
                <w:sz w:val="15"/>
                <w:szCs w:val="15"/>
                <w:b w:val="1"/>
                <w:bCs w:val="1"/>
                <w:color w:val="auto"/>
              </w:rPr>
              <w:t>dealership</w:t>
            </w:r>
          </w:p>
        </w:tc>
        <w:tc>
          <w:tcPr>
            <w:tcW w:w="11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Hurricane</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3"/>
            <w:vMerge w:val="restart"/>
          </w:tcPr>
          <w:p>
            <w:pPr>
              <w:jc w:val="center"/>
              <w:ind w:left="4"/>
              <w:spacing w:after="0"/>
              <w:rPr>
                <w:sz w:val="20"/>
                <w:szCs w:val="20"/>
                <w:color w:val="auto"/>
              </w:rPr>
            </w:pPr>
            <w:r>
              <w:rPr>
                <w:rFonts w:ascii="Times New Roman" w:cs="Times New Roman" w:eastAsia="Times New Roman" w:hAnsi="Times New Roman"/>
                <w:sz w:val="15"/>
                <w:szCs w:val="15"/>
                <w:b w:val="1"/>
                <w:bCs w:val="1"/>
                <w:color w:val="auto"/>
              </w:rPr>
              <w:t>Income tax</w:t>
            </w:r>
          </w:p>
        </w:tc>
        <w:tc>
          <w:tcPr>
            <w:tcW w:w="260" w:type="dxa"/>
            <w:vAlign w:val="bottom"/>
          </w:tcPr>
          <w:p>
            <w:pPr>
              <w:spacing w:after="0"/>
              <w:rPr>
                <w:sz w:val="12"/>
                <w:szCs w:val="12"/>
                <w:color w:val="auto"/>
              </w:rPr>
            </w:pPr>
          </w:p>
        </w:tc>
        <w:tc>
          <w:tcPr>
            <w:tcW w:w="102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Non-GAAP</w:t>
            </w:r>
          </w:p>
        </w:tc>
        <w:tc>
          <w:tcPr>
            <w:tcW w:w="0" w:type="dxa"/>
            <w:vAlign w:val="bottom"/>
          </w:tcPr>
          <w:p>
            <w:pPr>
              <w:spacing w:after="0"/>
              <w:rPr>
                <w:sz w:val="1"/>
                <w:szCs w:val="1"/>
                <w:color w:val="auto"/>
              </w:rPr>
            </w:pPr>
          </w:p>
        </w:tc>
      </w:tr>
      <w:tr>
        <w:trPr>
          <w:trHeight w:val="147"/>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GAAP</w:t>
            </w:r>
          </w:p>
        </w:tc>
        <w:tc>
          <w:tcPr>
            <w:tcW w:w="10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5"/>
                <w:szCs w:val="15"/>
                <w:b w:val="1"/>
                <w:bCs w:val="1"/>
                <w:color w:val="auto"/>
              </w:rPr>
              <w:t>divestitures,</w:t>
            </w:r>
          </w:p>
        </w:tc>
        <w:tc>
          <w:tcPr>
            <w:tcW w:w="110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5"/>
                <w:szCs w:val="15"/>
                <w:b w:val="1"/>
                <w:bCs w:val="1"/>
                <w:color w:val="auto"/>
              </w:rPr>
              <w:t>franchise</w:t>
            </w: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Asset impairments</w:t>
            </w: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40" w:type="dxa"/>
            <w:vAlign w:val="bottom"/>
            <w:gridSpan w:val="3"/>
            <w:vMerge w:val="restart"/>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Hail damage</w:t>
            </w:r>
          </w:p>
        </w:tc>
        <w:tc>
          <w:tcPr>
            <w:tcW w:w="10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64"/>
              <w:spacing w:after="0"/>
              <w:rPr>
                <w:sz w:val="20"/>
                <w:szCs w:val="20"/>
                <w:color w:val="auto"/>
              </w:rPr>
            </w:pPr>
            <w:r>
              <w:rPr>
                <w:rFonts w:ascii="Times New Roman" w:cs="Times New Roman" w:eastAsia="Times New Roman" w:hAnsi="Times New Roman"/>
                <w:sz w:val="15"/>
                <w:szCs w:val="15"/>
                <w:b w:val="1"/>
                <w:bCs w:val="1"/>
                <w:color w:val="auto"/>
                <w:w w:val="99"/>
              </w:rPr>
              <w:t>net</w:t>
            </w: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termination</w:t>
            </w:r>
          </w:p>
        </w:tc>
        <w:tc>
          <w:tcPr>
            <w:tcW w:w="1420" w:type="dxa"/>
            <w:vAlign w:val="bottom"/>
            <w:tcBorders>
              <w:bottom w:val="single" w:sz="8" w:color="auto"/>
            </w:tcBorders>
            <w:gridSpan w:val="3"/>
            <w:vMerge w:val="continue"/>
          </w:tcPr>
          <w:p>
            <w:pPr>
              <w:spacing w:after="0"/>
              <w:rPr>
                <w:sz w:val="18"/>
                <w:szCs w:val="18"/>
                <w:color w:val="auto"/>
              </w:rPr>
            </w:pPr>
          </w:p>
        </w:tc>
        <w:tc>
          <w:tcPr>
            <w:tcW w:w="116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Milton losses</w:t>
            </w:r>
          </w:p>
        </w:tc>
        <w:tc>
          <w:tcPr>
            <w:tcW w:w="1140" w:type="dxa"/>
            <w:vAlign w:val="bottom"/>
            <w:tcBorders>
              <w:bottom w:val="single" w:sz="8" w:color="auto"/>
            </w:tcBorders>
            <w:gridSpan w:val="3"/>
            <w:vMerge w:val="continue"/>
          </w:tcPr>
          <w:p>
            <w:pPr>
              <w:spacing w:after="0"/>
              <w:rPr>
                <w:sz w:val="18"/>
                <w:szCs w:val="18"/>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effect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46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Selling, general and</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administrative (SG&amp;A)</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7"/>
              </w:rPr>
              <w:t>1,888.5</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58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w:t>
            </w:r>
          </w:p>
        </w:tc>
        <w:tc>
          <w:tcPr>
            <w:tcW w:w="5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1,877.0</w:t>
            </w:r>
          </w:p>
        </w:tc>
        <w:tc>
          <w:tcPr>
            <w:tcW w:w="0" w:type="dxa"/>
            <w:vAlign w:val="bottom"/>
          </w:tcPr>
          <w:p>
            <w:pPr>
              <w:spacing w:after="0"/>
              <w:rPr>
                <w:sz w:val="1"/>
                <w:szCs w:val="1"/>
                <w:color w:val="auto"/>
              </w:rPr>
            </w:pPr>
          </w:p>
        </w:tc>
      </w:tr>
      <w:tr>
        <w:trPr>
          <w:trHeight w:val="199"/>
        </w:trPr>
        <w:tc>
          <w:tcPr>
            <w:tcW w:w="16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64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835.6</w:t>
            </w: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6.4</w:t>
            </w:r>
          </w:p>
        </w:tc>
        <w:tc>
          <w:tcPr>
            <w:tcW w:w="580" w:type="dxa"/>
            <w:vAlign w:val="bottom"/>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7.1</w:t>
            </w:r>
          </w:p>
        </w:tc>
        <w:tc>
          <w:tcPr>
            <w:tcW w:w="52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3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996.7</w:t>
            </w:r>
          </w:p>
        </w:tc>
        <w:tc>
          <w:tcPr>
            <w:tcW w:w="0" w:type="dxa"/>
            <w:vAlign w:val="bottom"/>
          </w:tcPr>
          <w:p>
            <w:pPr>
              <w:spacing w:after="0"/>
              <w:rPr>
                <w:sz w:val="1"/>
                <w:szCs w:val="1"/>
                <w:color w:val="auto"/>
              </w:rPr>
            </w:pPr>
          </w:p>
        </w:tc>
      </w:tr>
      <w:tr>
        <w:trPr>
          <w:trHeight w:val="20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430.3</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56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6.4</w:t>
            </w:r>
          </w:p>
        </w:tc>
        <w:tc>
          <w:tcPr>
            <w:tcW w:w="58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7.1</w:t>
            </w:r>
          </w:p>
        </w:tc>
        <w:tc>
          <w:tcPr>
            <w:tcW w:w="5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545.1</w:t>
            </w:r>
          </w:p>
        </w:tc>
        <w:tc>
          <w:tcPr>
            <w:tcW w:w="0" w:type="dxa"/>
            <w:vAlign w:val="bottom"/>
          </w:tcPr>
          <w:p>
            <w:pPr>
              <w:spacing w:after="0"/>
              <w:rPr>
                <w:sz w:val="1"/>
                <w:szCs w:val="1"/>
                <w:color w:val="auto"/>
              </w:rPr>
            </w:pPr>
          </w:p>
        </w:tc>
      </w:tr>
      <w:tr>
        <w:trPr>
          <w:trHeight w:val="268"/>
        </w:trPr>
        <w:tc>
          <w:tcPr>
            <w:tcW w:w="1940" w:type="dxa"/>
            <w:vAlign w:val="bottom"/>
            <w:gridSpan w:val="4"/>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2280" w:type="dxa"/>
            <w:vAlign w:val="bottom"/>
            <w:gridSpan w:val="5"/>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Weighted average common</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 outstanding - diluted</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20.0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268"/>
        </w:trPr>
        <w:tc>
          <w:tcPr>
            <w:tcW w:w="146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EPS</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21.50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56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(0.07)</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0.24</w:t>
            </w:r>
          </w:p>
        </w:tc>
        <w:tc>
          <w:tcPr>
            <w:tcW w:w="58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98"/>
              </w:rPr>
              <w:t>0.27</w:t>
            </w:r>
          </w:p>
        </w:tc>
        <w:tc>
          <w:tcPr>
            <w:tcW w:w="5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27.24</w:t>
            </w:r>
          </w:p>
        </w:tc>
        <w:tc>
          <w:tcPr>
            <w:tcW w:w="0" w:type="dxa"/>
            <w:vAlign w:val="bottom"/>
          </w:tcPr>
          <w:p>
            <w:pPr>
              <w:spacing w:after="0"/>
              <w:rPr>
                <w:sz w:val="1"/>
                <w:szCs w:val="1"/>
                <w:color w:val="auto"/>
              </w:rPr>
            </w:pPr>
          </w:p>
        </w:tc>
      </w:tr>
      <w:tr>
        <w:trPr>
          <w:trHeight w:val="268"/>
        </w:trPr>
        <w:tc>
          <w:tcPr>
            <w:tcW w:w="1940" w:type="dxa"/>
            <w:vAlign w:val="bottom"/>
            <w:gridSpan w:val="4"/>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 as a % of gross profit</w:t>
            </w: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64.0 %</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63.7 %</w:t>
            </w:r>
          </w:p>
        </w:tc>
        <w:tc>
          <w:tcPr>
            <w:tcW w:w="0" w:type="dxa"/>
            <w:vAlign w:val="bottom"/>
          </w:tcPr>
          <w:p>
            <w:pPr>
              <w:spacing w:after="0"/>
              <w:rPr>
                <w:sz w:val="1"/>
                <w:szCs w:val="1"/>
                <w:color w:val="auto"/>
              </w:rPr>
            </w:pPr>
          </w:p>
        </w:tc>
      </w:tr>
      <w:tr>
        <w:trPr>
          <w:trHeight w:val="147"/>
        </w:trPr>
        <w:tc>
          <w:tcPr>
            <w:tcW w:w="2280" w:type="dxa"/>
            <w:vAlign w:val="bottom"/>
            <w:gridSpan w:val="5"/>
          </w:tcPr>
          <w:p>
            <w:pPr>
              <w:ind w:left="20"/>
              <w:spacing w:after="0" w:line="148" w:lineRule="exact"/>
              <w:rPr>
                <w:sz w:val="20"/>
                <w:szCs w:val="20"/>
                <w:color w:val="auto"/>
              </w:rPr>
            </w:pPr>
            <w:r>
              <w:rPr>
                <w:rFonts w:ascii="Times New Roman" w:cs="Times New Roman" w:eastAsia="Times New Roman" w:hAnsi="Times New Roman"/>
                <w:sz w:val="15"/>
                <w:szCs w:val="15"/>
                <w:color w:val="auto"/>
              </w:rPr>
              <w:t>Income from operations as a %</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of revenue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4.9 %</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0" w:type="dxa"/>
            <w:vAlign w:val="bottom"/>
          </w:tcPr>
          <w:p>
            <w:pPr>
              <w:spacing w:after="0"/>
              <w:rPr>
                <w:sz w:val="1"/>
                <w:szCs w:val="1"/>
                <w:color w:val="auto"/>
              </w:rPr>
            </w:pPr>
          </w:p>
        </w:tc>
      </w:tr>
      <w:tr>
        <w:trPr>
          <w:trHeight w:val="272"/>
        </w:trPr>
        <w:tc>
          <w:tcPr>
            <w:tcW w:w="146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SG&amp;A (Same Store)</w:t>
            </w:r>
          </w:p>
        </w:tc>
        <w:tc>
          <w:tcPr>
            <w:tcW w:w="180" w:type="dxa"/>
            <w:vAlign w:val="bottom"/>
          </w:tcPr>
          <w:p>
            <w:pPr>
              <w:spacing w:after="0"/>
              <w:rPr>
                <w:sz w:val="17"/>
                <w:szCs w:val="17"/>
                <w:color w:val="auto"/>
              </w:rPr>
            </w:pPr>
          </w:p>
        </w:tc>
        <w:tc>
          <w:tcPr>
            <w:tcW w:w="64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97"/>
              </w:rPr>
              <w:t>1,777.8</w:t>
            </w: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580" w:type="dxa"/>
            <w:vAlign w:val="bottom"/>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(7.1)</w:t>
            </w:r>
          </w:p>
        </w:tc>
        <w:tc>
          <w:tcPr>
            <w:tcW w:w="52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3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1,764.3</w:t>
            </w:r>
          </w:p>
        </w:tc>
        <w:tc>
          <w:tcPr>
            <w:tcW w:w="0" w:type="dxa"/>
            <w:vAlign w:val="bottom"/>
          </w:tcPr>
          <w:p>
            <w:pPr>
              <w:spacing w:after="0"/>
              <w:rPr>
                <w:sz w:val="1"/>
                <w:szCs w:val="1"/>
                <w:color w:val="auto"/>
              </w:rPr>
            </w:pPr>
          </w:p>
        </w:tc>
      </w:tr>
      <w:tr>
        <w:trPr>
          <w:trHeight w:val="149"/>
        </w:trPr>
        <w:tc>
          <w:tcPr>
            <w:tcW w:w="2280" w:type="dxa"/>
            <w:vAlign w:val="bottom"/>
            <w:gridSpan w:val="5"/>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SG&amp;A as a % of gross profit</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(Same Store)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63.5 %</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cash flow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133590" cy="144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7133590" cy="144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 in Floor Plan Notes Payable—Non-Trade, net</w:t>
      </w:r>
    </w:p>
    <w:p>
      <w:pPr>
        <w:spacing w:after="0" w:line="21" w:lineRule="exact"/>
        <w:rPr>
          <w:sz w:val="20"/>
          <w:szCs w:val="20"/>
          <w:color w:val="auto"/>
        </w:rPr>
      </w:pPr>
    </w:p>
    <w:p>
      <w:pPr>
        <w:ind w:left="320"/>
        <w:spacing w:after="0" w:line="233" w:lineRule="auto"/>
        <w:rPr>
          <w:sz w:val="20"/>
          <w:szCs w:val="20"/>
          <w:color w:val="auto"/>
        </w:rPr>
      </w:pPr>
      <w:r>
        <w:rPr>
          <w:rFonts w:ascii="Times New Roman" w:cs="Times New Roman" w:eastAsia="Times New Roman" w:hAnsi="Times New Roman"/>
          <w:sz w:val="18"/>
          <w:szCs w:val="18"/>
          <w:color w:val="auto"/>
        </w:rPr>
        <w:t>Change in Floor Plan Notes Payable—Non-Trade associated with floor plan offset, used vehicle borrowing base changes adjusted for acquisition and divestitures</w:t>
      </w:r>
    </w:p>
    <w:p>
      <w:pPr>
        <w:spacing w:after="0" w:line="8" w:lineRule="exact"/>
        <w:rPr>
          <w:sz w:val="20"/>
          <w:szCs w:val="20"/>
          <w:color w:val="auto"/>
        </w:rPr>
      </w:pPr>
    </w:p>
    <w:p>
      <w:pPr>
        <w:ind w:left="320" w:right="420"/>
        <w:spacing w:after="0" w:line="236" w:lineRule="auto"/>
        <w:rPr>
          <w:sz w:val="20"/>
          <w:szCs w:val="20"/>
          <w:color w:val="auto"/>
        </w:rPr>
      </w:pPr>
      <w:r>
        <w:rPr>
          <w:rFonts w:ascii="Times New Roman" w:cs="Times New Roman" w:eastAsia="Times New Roman" w:hAnsi="Times New Roman"/>
          <w:sz w:val="18"/>
          <w:szCs w:val="18"/>
          <w:color w:val="auto"/>
        </w:rPr>
        <w:t>Change in Floor Plan Notes Payable—Trade associated with floor plan offset, adjusted for acquisition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-254635</wp:posOffset>
            </wp:positionV>
            <wp:extent cx="7133590" cy="264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264160"/>
                    </a:xfrm>
                    <a:prstGeom prst="rect">
                      <a:avLst/>
                    </a:prstGeom>
                    <a:noFill/>
                  </pic:spPr>
                </pic:pic>
              </a:graphicData>
            </a:graphic>
          </wp:anchor>
        </w:drawing>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Adjusted cash flow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31"/>
        </w:trPr>
        <w:tc>
          <w:tcPr>
            <w:tcW w:w="28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40" w:type="dxa"/>
            <w:vAlign w:val="bottom"/>
          </w:tcPr>
          <w:p>
            <w:pPr>
              <w:spacing w:after="0"/>
              <w:rPr>
                <w:sz w:val="20"/>
                <w:szCs w:val="20"/>
                <w:color w:val="auto"/>
              </w:rPr>
            </w:pPr>
          </w:p>
        </w:tc>
      </w:tr>
      <w:tr>
        <w:trPr>
          <w:trHeight w:val="442"/>
        </w:trPr>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Pr>
          <w:p>
            <w:pPr>
              <w:spacing w:after="0"/>
              <w:rPr>
                <w:sz w:val="24"/>
                <w:szCs w:val="24"/>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r>
      <w:tr>
        <w:trPr>
          <w:trHeight w:val="233"/>
        </w:trPr>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6"/>
        </w:trPr>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415"/>
        </w:trPr>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1"/>
        </w:trPr>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8320" w:space="220"/>
        <w:col w:w="268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2026-02-05T06:05:50Z</dcterms:created>
  <dcterms:modified xsi:type="dcterms:W3CDTF">2026-02-05T06:05:50Z</dcterms:modified>
</cp:coreProperties>
</file>