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51435</wp:posOffset>
            </wp:positionV>
            <wp:extent cx="2425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87630</wp:posOffset>
            </wp:positionV>
            <wp:extent cx="2425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4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167640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Asbury Automotive Group, Inc.</w:t>
      </w:r>
    </w:p>
    <w:p>
      <w:pPr>
        <w:spacing w:after="0" w:line="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41" w:lineRule="exact"/>
        <w:rPr>
          <w:sz w:val="24"/>
          <w:szCs w:val="24"/>
          <w:color w:val="auto"/>
        </w:rPr>
      </w:pPr>
    </w:p>
    <w:tbl>
      <w:tblPr>
        <w:tblLayout w:type="fixed"/>
        <w:tblInd w:w="124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556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Delaware</w:t>
            </w:r>
          </w:p>
        </w:tc>
      </w:tr>
      <w:tr>
        <w:trPr>
          <w:trHeight w:val="187"/>
        </w:trPr>
        <w:tc>
          <w:tcPr>
            <w:tcW w:w="3060" w:type="dxa"/>
            <w:vAlign w:val="bottom"/>
          </w:tcPr>
          <w:p>
            <w:pPr>
              <w:spacing w:after="0"/>
              <w:rPr>
                <w:sz w:val="16"/>
                <w:szCs w:val="16"/>
                <w:color w:val="auto"/>
              </w:rPr>
            </w:pPr>
          </w:p>
        </w:tc>
        <w:tc>
          <w:tcPr>
            <w:tcW w:w="55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w:t>
            </w:r>
          </w:p>
        </w:tc>
      </w:tr>
      <w:tr>
        <w:trPr>
          <w:trHeight w:val="347"/>
        </w:trPr>
        <w:tc>
          <w:tcPr>
            <w:tcW w:w="306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001-31262</w:t>
            </w:r>
          </w:p>
        </w:tc>
        <w:tc>
          <w:tcPr>
            <w:tcW w:w="5560" w:type="dxa"/>
            <w:vAlign w:val="bottom"/>
          </w:tcPr>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01-0609375</w:t>
            </w:r>
          </w:p>
        </w:tc>
      </w:tr>
      <w:tr>
        <w:trPr>
          <w:trHeight w:val="166"/>
        </w:trPr>
        <w:tc>
          <w:tcPr>
            <w:tcW w:w="3060" w:type="dxa"/>
            <w:vAlign w:val="bottom"/>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5560" w:type="dxa"/>
            <w:vAlign w:val="bottom"/>
          </w:tcPr>
          <w:p>
            <w:pPr>
              <w:jc w:val="center"/>
              <w:ind w:left="3659"/>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r>
      <w:tr>
        <w:trPr>
          <w:trHeight w:val="345"/>
        </w:trPr>
        <w:tc>
          <w:tcPr>
            <w:tcW w:w="306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2905 Premiere Parkway NW Suite 300</w:t>
            </w:r>
          </w:p>
        </w:tc>
        <w:tc>
          <w:tcPr>
            <w:tcW w:w="5560" w:type="dxa"/>
            <w:vAlign w:val="bottom"/>
          </w:tcPr>
          <w:p>
            <w:pPr>
              <w:spacing w:after="0"/>
              <w:rPr>
                <w:sz w:val="24"/>
                <w:szCs w:val="24"/>
                <w:color w:val="auto"/>
              </w:rPr>
            </w:pPr>
          </w:p>
        </w:tc>
      </w:tr>
      <w:tr>
        <w:trPr>
          <w:trHeight w:val="229"/>
        </w:trPr>
        <w:tc>
          <w:tcPr>
            <w:tcW w:w="306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Duluth, GA</w:t>
            </w:r>
          </w:p>
        </w:tc>
        <w:tc>
          <w:tcPr>
            <w:tcW w:w="5560" w:type="dxa"/>
            <w:vAlign w:val="bottom"/>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30097</w:t>
            </w:r>
          </w:p>
        </w:tc>
      </w:tr>
      <w:tr>
        <w:trPr>
          <w:trHeight w:val="239"/>
        </w:trPr>
        <w:tc>
          <w:tcPr>
            <w:tcW w:w="306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560" w:type="dxa"/>
            <w:vAlign w:val="bottom"/>
          </w:tcPr>
          <w:p>
            <w:pPr>
              <w:jc w:val="center"/>
              <w:ind w:left="3659"/>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(770) 418-8200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5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123825</wp:posOffset>
            </wp:positionV>
            <wp:extent cx="2425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3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0"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4"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0"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10"/>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8"/>
        </w:trPr>
        <w:tc>
          <w:tcPr>
            <w:tcW w:w="4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ABG</w:t>
            </w:r>
          </w:p>
        </w:tc>
        <w:tc>
          <w:tcPr>
            <w:tcW w:w="100" w:type="dxa"/>
            <w:vAlign w:val="bottom"/>
          </w:tcPr>
          <w:p>
            <w:pPr>
              <w:spacing w:after="0"/>
              <w:rPr>
                <w:sz w:val="19"/>
                <w:szCs w:val="19"/>
                <w:color w:val="auto"/>
              </w:rPr>
            </w:pPr>
          </w:p>
        </w:tc>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440" w:type="dxa"/>
            <w:vAlign w:val="bottom"/>
          </w:tcPr>
          <w:p>
            <w:pPr>
              <w:spacing w:after="0"/>
              <w:rPr>
                <w:sz w:val="19"/>
                <w:szCs w:val="19"/>
                <w:color w:val="auto"/>
              </w:rPr>
            </w:pPr>
          </w:p>
        </w:tc>
      </w:tr>
      <w:tr>
        <w:trPr>
          <w:trHeight w:val="1204"/>
        </w:trPr>
        <w:tc>
          <w:tcPr>
            <w:tcW w:w="4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 w:name="page2"/>
    <w:bookmarkEnd w:id="1"/>
    <w:p>
      <w:pPr>
        <w:ind w:right="360"/>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57" w:lineRule="exact"/>
        <w:rPr>
          <w:sz w:val="20"/>
          <w:szCs w:val="20"/>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7792085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91"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2023 Senior Credit Facility</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April 9, 2025, Asbury Automotive Group, Inc. (the "Company”) obtained an amendment (the “Amendment”) to the Fourth Amended and Restated Credit Agreement (the "2023 Senior Credit Facility"), dated as of October 20, 2023, by and among the Company, as a borrower, certain of its subsidiaries, as vehicle borrowers, Bank of America, N.A., as administrative agent, revolving swing line lender, new vehicle floorplan swing line lender, used vehicle floorplan swing line lender and an L/C issuer, and the other lenders party thereto.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 among other things, provides for the following, subject to satisfaction of certain other customary conditions in each case:</w:t>
      </w:r>
    </w:p>
    <w:p>
      <w:pPr>
        <w:spacing w:after="0" w:line="27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an increase of the aggregate commitments under the revolving credit facility, from $500 million to $925 million; 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increase of the aggregate commitments under the new vehicle floor plan facility, from $1.925 billion to $2.25 billion.</w:t>
      </w:r>
    </w:p>
    <w:p>
      <w:pPr>
        <w:spacing w:after="0" w:line="22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increases under the Amendment are conditioned upon and will only become effective concurrently with the consummation of the previously announced acquisition of the Herb Chambers automotive group.</w:t>
      </w:r>
    </w:p>
    <w:p>
      <w:pPr>
        <w:spacing w:after="0" w:line="18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and certain of its affiliates may have commercial banking, investment banking and retail lending and other relationships with certain of the lenders under the 2023 Senior Credit Facility, as amended, and/or their respective affiliates. These lenders, or their respective affiliates, have received, and may in the future receive, customary fees and expenses for those services.</w:t>
      </w:r>
    </w:p>
    <w:p>
      <w:pPr>
        <w:spacing w:after="0" w:line="20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subject to, and qualified in its entirety by reference to, the full text of the Amendment, a copy of which is attached hereto as Exhibit 10.1 and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800" w:hanging="387"/>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exhibits are furnished as part of this report.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r>
      <w:tr>
        <w:trPr>
          <w:trHeight w:val="331"/>
        </w:trPr>
        <w:tc>
          <w:tcPr>
            <w:tcW w:w="800" w:type="dxa"/>
            <w:vAlign w:val="bottom"/>
          </w:tcPr>
          <w:p>
            <w:pPr>
              <w:spacing w:after="0"/>
              <w:rPr>
                <w:sz w:val="24"/>
                <w:szCs w:val="24"/>
                <w:color w:val="auto"/>
              </w:rPr>
            </w:pPr>
          </w:p>
        </w:tc>
        <w:tc>
          <w:tcPr>
            <w:tcW w:w="7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68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Amendment to the Fourth Amended and Restated Credit Agreement, dated April 9, 2025, among Asbury Automotive</w:t>
            </w:r>
          </w:p>
        </w:tc>
      </w:tr>
      <w:tr>
        <w:trPr>
          <w:trHeight w:val="155"/>
        </w:trPr>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6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Group, Inc., as a borrower and guarantor, certain of its subsidiaries, as vehicle borrowers and subsidiary guarantors, Bank of</w:t>
            </w:r>
          </w:p>
        </w:tc>
      </w:tr>
      <w:tr>
        <w:trPr>
          <w:trHeight w:val="175"/>
        </w:trPr>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America, N.A., as administrative agent, revolving swing line lender, new vehicle floorplan swing line lender, used vehicle</w:t>
            </w:r>
          </w:p>
        </w:tc>
      </w:tr>
      <w:tr>
        <w:trPr>
          <w:trHeight w:val="225"/>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floorplan swing line lender and an L/C issuer, and the other lenders party thereto.</w:t>
            </w:r>
          </w:p>
        </w:tc>
      </w:tr>
      <w:tr>
        <w:trPr>
          <w:trHeight w:val="234"/>
        </w:trPr>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28"/>
        </w:trPr>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 w:name="page4"/>
    <w:bookmarkEnd w:id="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480" w:val="left"/>
          <w:tab w:leader="none" w:pos="6400" w:val="left"/>
        </w:tabs>
        <w:rPr>
          <w:sz w:val="20"/>
          <w:szCs w:val="20"/>
          <w:color w:val="auto"/>
        </w:rPr>
      </w:pPr>
      <w:r>
        <w:rPr>
          <w:rFonts w:ascii="Times New Roman" w:cs="Times New Roman" w:eastAsia="Times New Roman" w:hAnsi="Times New Roman"/>
          <w:sz w:val="18"/>
          <w:szCs w:val="18"/>
          <w:color w:val="auto"/>
        </w:rPr>
        <w:t>Date: April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D.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375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5500"/>
        <w:spacing w:after="0"/>
        <w:tabs>
          <w:tab w:leader="none" w:pos="64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6"/>
          <w:szCs w:val="16"/>
          <w:b w:val="1"/>
          <w:bCs w:val="1"/>
          <w:color w:val="auto"/>
        </w:rPr>
        <w:t>Michael D. Welch</w:t>
      </w:r>
    </w:p>
    <w:p>
      <w:pPr>
        <w:spacing w:after="0" w:line="23" w:lineRule="exact"/>
        <w:rPr>
          <w:sz w:val="20"/>
          <w:szCs w:val="20"/>
          <w:color w:val="auto"/>
        </w:rPr>
      </w:pPr>
    </w:p>
    <w:p>
      <w:pPr>
        <w:ind w:left="5500"/>
        <w:spacing w:after="0"/>
        <w:tabs>
          <w:tab w:leader="none" w:pos="64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6"/>
          <w:szCs w:val="16"/>
          <w:b w:val="1"/>
          <w:bCs w:val="1"/>
          <w:color w:val="auto"/>
        </w:rPr>
        <w:t>Senior Vice President and Chief Financial Officer</w:t>
      </w:r>
    </w:p>
    <w:p>
      <w:pPr>
        <w:sectPr>
          <w:pgSz w:w="11900" w:h="16838" w:orient="portrait"/>
          <w:cols w:equalWidth="0" w:num="1">
            <w:col w:w="10720"/>
          </w:cols>
          <w:pgMar w:left="320" w:top="887" w:right="859" w:bottom="1440" w:gutter="0" w:footer="0" w:header="0"/>
        </w:sectPr>
      </w:pPr>
    </w:p>
    <w:bookmarkStart w:id="4" w:name="page5"/>
    <w:bookmarkEnd w:id="4"/>
    <w:p>
      <w:pPr>
        <w:ind w:left="966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FIRST AMENDMENT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FOURTH AMENDED AND RESTATED CREDIT AGREEMENT</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FIRST AMENDMENT TO FOURTH AMENDED AND RESTATED CREDIT AGREEMENT</w:t>
      </w:r>
      <w:r>
        <w:rPr>
          <w:rFonts w:ascii="Times New Roman" w:cs="Times New Roman" w:eastAsia="Times New Roman" w:hAnsi="Times New Roman"/>
          <w:sz w:val="20"/>
          <w:szCs w:val="20"/>
          <w:color w:val="auto"/>
        </w:rPr>
        <w:t>, dated as of April 9, 2025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xml:space="preserve">”) is by and among </w:t>
      </w:r>
      <w:r>
        <w:rPr>
          <w:rFonts w:ascii="Times New Roman" w:cs="Times New Roman" w:eastAsia="Times New Roman" w:hAnsi="Times New Roman"/>
          <w:sz w:val="20"/>
          <w:szCs w:val="20"/>
          <w:b w:val="1"/>
          <w:bCs w:val="1"/>
          <w:color w:val="auto"/>
        </w:rPr>
        <w:t>ASBURY AUTOMOTIVE GROUP, 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certain Subsidiaries of the Company party hereto as New Vehicle Borrowers (each a “</w:t>
      </w:r>
      <w:r>
        <w:rPr>
          <w:rFonts w:ascii="Times New Roman" w:cs="Times New Roman" w:eastAsia="Times New Roman" w:hAnsi="Times New Roman"/>
          <w:sz w:val="20"/>
          <w:szCs w:val="20"/>
          <w:u w:val="single" w:color="auto"/>
          <w:color w:val="auto"/>
        </w:rPr>
        <w:t>New Vehicle Borrower</w:t>
      </w:r>
      <w:r>
        <w:rPr>
          <w:rFonts w:ascii="Times New Roman" w:cs="Times New Roman" w:eastAsia="Times New Roman" w:hAnsi="Times New Roman"/>
          <w:sz w:val="20"/>
          <w:szCs w:val="20"/>
          <w:color w:val="auto"/>
        </w:rPr>
        <w:t>” and collectively with the Used Vehicle Borrowers (defined below), the “</w:t>
      </w:r>
      <w:r>
        <w:rPr>
          <w:rFonts w:ascii="Times New Roman" w:cs="Times New Roman" w:eastAsia="Times New Roman" w:hAnsi="Times New Roman"/>
          <w:sz w:val="20"/>
          <w:szCs w:val="20"/>
          <w:u w:val="single" w:color="auto"/>
          <w:color w:val="auto"/>
        </w:rPr>
        <w:t>Vehicle Borrowers</w:t>
      </w:r>
      <w:r>
        <w:rPr>
          <w:rFonts w:ascii="Times New Roman" w:cs="Times New Roman" w:eastAsia="Times New Roman" w:hAnsi="Times New Roman"/>
          <w:sz w:val="20"/>
          <w:szCs w:val="20"/>
          <w:color w:val="auto"/>
        </w:rPr>
        <w:t>”), certain Subsidiaries of the Company party hereto as Used Vehicle Borrowers (each a “</w:t>
      </w:r>
      <w:r>
        <w:rPr>
          <w:rFonts w:ascii="Times New Roman" w:cs="Times New Roman" w:eastAsia="Times New Roman" w:hAnsi="Times New Roman"/>
          <w:sz w:val="20"/>
          <w:szCs w:val="20"/>
          <w:u w:val="single" w:color="auto"/>
          <w:color w:val="auto"/>
        </w:rPr>
        <w:t>Used Vehicle Borrower</w:t>
      </w:r>
      <w:r>
        <w:rPr>
          <w:rFonts w:ascii="Times New Roman" w:cs="Times New Roman" w:eastAsia="Times New Roman" w:hAnsi="Times New Roman"/>
          <w:sz w:val="20"/>
          <w:szCs w:val="20"/>
          <w:color w:val="auto"/>
        </w:rPr>
        <w:t>”, and collectively with the Company, the “</w:t>
      </w:r>
      <w:r>
        <w:rPr>
          <w:rFonts w:ascii="Times New Roman" w:cs="Times New Roman" w:eastAsia="Times New Roman" w:hAnsi="Times New Roman"/>
          <w:sz w:val="20"/>
          <w:szCs w:val="20"/>
          <w:u w:val="single" w:color="auto"/>
          <w:color w:val="auto"/>
        </w:rPr>
        <w:t>Used Vehicle Borrowers</w:t>
      </w:r>
      <w:r>
        <w:rPr>
          <w:rFonts w:ascii="Times New Roman" w:cs="Times New Roman" w:eastAsia="Times New Roman" w:hAnsi="Times New Roman"/>
          <w:sz w:val="20"/>
          <w:szCs w:val="20"/>
          <w:color w:val="auto"/>
        </w:rPr>
        <w:t>”), the Guarantors party hereto, the Lenders party hereto (the “</w:t>
      </w:r>
      <w:r>
        <w:rPr>
          <w:rFonts w:ascii="Times New Roman" w:cs="Times New Roman" w:eastAsia="Times New Roman" w:hAnsi="Times New Roman"/>
          <w:sz w:val="20"/>
          <w:szCs w:val="20"/>
          <w:u w:val="single" w:color="auto"/>
          <w:color w:val="auto"/>
        </w:rPr>
        <w:t>Consenting Lenders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 as Administrative Agent, Revolving Swing Line Lender, New Vehicle Floorplan Swing Line Lender, Used Vehicle Floorplan Swing Line Lender and an L/C Issuer. The Vehicle Borrowers, including the Company in its capacity as Borrower under the Revolving Credit Facility, are referred to collectively as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individually as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 I TN E S S E T H:</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Administrative Agent, Revolving Swing Line Lender, New Vehicle Floorplan Swing Line Lender, Used Vehicle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Floorplan Swing Line Lender, L/C Issuer, certain financial institutions from time to time party thereto as lenders and the Borrowers are parties to that certain Fourth Amended and Restated Credit Agreement, dated as of October 20, 2023 (as otherwise amended, supplemented or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capitalized terms used but not defined herein shall have the meanings set forth in the Credit Agreement).</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and the Borrowers have advised the Administrative Agent and the Lenders of their desire (a)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consummate the acquisition by the Company or one or more of its Subsidiaries of all or substantially all of the assets of certain automotive dealerships owned, directly or indirectly, by Herbert G. Chambers, Jennings Road Management Corp., the HGC Dealership Companies (as defined below) or the HGC Real Estate Companies (as defined below) (collectively, the “</w:t>
      </w:r>
      <w:r>
        <w:rPr>
          <w:rFonts w:ascii="Times New Roman" w:cs="Times New Roman" w:eastAsia="Times New Roman" w:hAnsi="Times New Roman"/>
          <w:sz w:val="20"/>
          <w:szCs w:val="20"/>
          <w:u w:val="single" w:color="auto"/>
          <w:color w:val="auto"/>
        </w:rPr>
        <w:t>HGC Sellers</w:t>
      </w:r>
      <w:r>
        <w:rPr>
          <w:rFonts w:ascii="Times New Roman" w:cs="Times New Roman" w:eastAsia="Times New Roman" w:hAnsi="Times New Roman"/>
          <w:sz w:val="20"/>
          <w:szCs w:val="20"/>
          <w:color w:val="auto"/>
        </w:rPr>
        <w:t>”) pursuant to that certain Purchase and Sale Agreement, dated as of February 14, 2025 (the “</w:t>
      </w:r>
      <w:r>
        <w:rPr>
          <w:rFonts w:ascii="Times New Roman" w:cs="Times New Roman" w:eastAsia="Times New Roman" w:hAnsi="Times New Roman"/>
          <w:sz w:val="20"/>
          <w:szCs w:val="20"/>
          <w:u w:val="single" w:color="auto"/>
          <w:color w:val="auto"/>
        </w:rPr>
        <w:t>HGC Acquisition Agreement</w:t>
      </w:r>
      <w:r>
        <w:rPr>
          <w:rFonts w:ascii="Times New Roman" w:cs="Times New Roman" w:eastAsia="Times New Roman" w:hAnsi="Times New Roman"/>
          <w:sz w:val="20"/>
          <w:szCs w:val="20"/>
          <w:color w:val="auto"/>
        </w:rPr>
        <w:t>” and, together with the documents, agreements, certificates and instruments executed in connection therewith, collectively, the “</w:t>
      </w:r>
      <w:r>
        <w:rPr>
          <w:rFonts w:ascii="Times New Roman" w:cs="Times New Roman" w:eastAsia="Times New Roman" w:hAnsi="Times New Roman"/>
          <w:sz w:val="20"/>
          <w:szCs w:val="20"/>
          <w:u w:val="single" w:color="auto"/>
          <w:color w:val="auto"/>
        </w:rPr>
        <w:t>HGC Acquisition Documents</w:t>
      </w:r>
      <w:r>
        <w:rPr>
          <w:rFonts w:ascii="Times New Roman" w:cs="Times New Roman" w:eastAsia="Times New Roman" w:hAnsi="Times New Roman"/>
          <w:sz w:val="20"/>
          <w:szCs w:val="20"/>
          <w:color w:val="auto"/>
        </w:rPr>
        <w:t>” and such acquisition, the “</w:t>
      </w:r>
      <w:r>
        <w:rPr>
          <w:rFonts w:ascii="Times New Roman" w:cs="Times New Roman" w:eastAsia="Times New Roman" w:hAnsi="Times New Roman"/>
          <w:sz w:val="20"/>
          <w:szCs w:val="20"/>
          <w:u w:val="single" w:color="auto"/>
          <w:color w:val="auto"/>
        </w:rPr>
        <w:t>HGC Acquisition</w:t>
      </w:r>
      <w:r>
        <w:rPr>
          <w:rFonts w:ascii="Times New Roman" w:cs="Times New Roman" w:eastAsia="Times New Roman" w:hAnsi="Times New Roman"/>
          <w:sz w:val="20"/>
          <w:szCs w:val="20"/>
          <w:color w:val="auto"/>
        </w:rPr>
        <w:t>”), by and among Asbury Automotive Group L.L.C., a Delaware limited liability company, and the HGC Sellers, and (b) for the Company or any of its Subsidiaries to incur Indebtedness under the Credit Agreement, the proceeds of which will be used to consummate the transactions contemplated by the HGC Acquisition Documents.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and the Borrowers have requested (a) an increase in the Aggregate Revolving Commitments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Aggregate New Vehicle Floorplan Commitments, so that after giving effect to such increase, (i) the Aggregate Revolving Commitments will be $925,000,000, and (ii) the Aggregate New Vehicle Floorplan Commitments will be $2,250,000,000 (the increases described in clause (a) hereof are collectively referred to herein as the “</w:t>
      </w:r>
      <w:r>
        <w:rPr>
          <w:rFonts w:ascii="Times New Roman" w:cs="Times New Roman" w:eastAsia="Times New Roman" w:hAnsi="Times New Roman"/>
          <w:sz w:val="20"/>
          <w:szCs w:val="20"/>
          <w:u w:val="single" w:color="auto"/>
          <w:color w:val="auto"/>
        </w:rPr>
        <w:t>2025 Commitment Increase</w:t>
      </w:r>
      <w:r>
        <w:rPr>
          <w:rFonts w:ascii="Times New Roman" w:cs="Times New Roman" w:eastAsia="Times New Roman" w:hAnsi="Times New Roman"/>
          <w:sz w:val="20"/>
          <w:szCs w:val="20"/>
          <w:color w:val="auto"/>
        </w:rPr>
        <w:t>”), and (b) certain other amendments to the Credit Agreement, as more specifically set forth herein.</w:t>
      </w:r>
    </w:p>
    <w:p>
      <w:pPr>
        <w:spacing w:after="0" w:line="19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each Lender providing a portion of the 2025 Commitment Increase is willing to provide the 2025 Commitment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Increase and the Administrative Agent and the Consenting Lenders have agreed to such requests, subject to the terms and conditions of this Amendment.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#517664085</w:t>
      </w:r>
    </w:p>
    <w:p>
      <w:pPr>
        <w:sectPr>
          <w:pgSz w:w="11900" w:h="16838" w:orient="portrait"/>
          <w:cols w:equalWidth="0" w:num="1">
            <w:col w:w="11240"/>
          </w:cols>
          <w:pgMar w:left="320" w:top="117" w:right="339" w:bottom="1440" w:gutter="0" w:footer="0" w:header="0"/>
        </w:sectPr>
      </w:pPr>
    </w:p>
    <w:bookmarkStart w:id="5" w:name="page6"/>
    <w:bookmarkEnd w:id="5"/>
    <w:p>
      <w:pPr>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by this Amendment, the Administrative Agent, the Consenting Lenders, the Company and the Borrowers desire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intend to evidence the amendments set forth herein.</w:t>
      </w:r>
    </w:p>
    <w:p>
      <w:pPr>
        <w:spacing w:after="0" w:line="165"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NOW, THEREFORE, </w:t>
      </w:r>
      <w:r>
        <w:rPr>
          <w:rFonts w:ascii="Times New Roman" w:cs="Times New Roman" w:eastAsia="Times New Roman" w:hAnsi="Times New Roman"/>
          <w:sz w:val="20"/>
          <w:szCs w:val="20"/>
          <w:color w:val="auto"/>
        </w:rPr>
        <w:t>in consideration of the premises and the agreements, provisions and covenants herein contained, the parties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hereto agree as follows: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1 - DEFINITIONS; AMENDMENTS</w:t>
      </w:r>
    </w:p>
    <w:p>
      <w:pPr>
        <w:spacing w:after="0" w:line="22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 xml:space="preserve">Definitions. </w:t>
      </w:r>
      <w:r>
        <w:rPr>
          <w:rFonts w:ascii="Times New Roman" w:cs="Times New Roman" w:eastAsia="Times New Roman" w:hAnsi="Times New Roman"/>
          <w:sz w:val="19"/>
          <w:szCs w:val="19"/>
          <w:color w:val="auto"/>
        </w:rPr>
        <w:t>As used in the Amendment, the following terms shall have the meanings set forth below:</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2025 Commitment Increase Effective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2025 Amendment Effective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Joining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3.11</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 xml:space="preserve">Amendments to Credit Agreement Effective on 2025 Commitment Increase Effective Date. </w:t>
      </w:r>
      <w:r>
        <w:rPr>
          <w:rFonts w:ascii="Times New Roman" w:cs="Times New Roman" w:eastAsia="Times New Roman" w:hAnsi="Times New Roman"/>
          <w:sz w:val="19"/>
          <w:szCs w:val="19"/>
          <w:color w:val="auto"/>
        </w:rPr>
        <w:t>Simultaneously with the 2025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Commitment Increase Effective Date, the parties hereby agree that:</w:t>
      </w:r>
    </w:p>
    <w:p>
      <w:pPr>
        <w:spacing w:after="0" w:line="241" w:lineRule="exact"/>
        <w:rPr>
          <w:sz w:val="20"/>
          <w:szCs w:val="20"/>
          <w:color w:val="auto"/>
        </w:rPr>
      </w:pPr>
    </w:p>
    <w:p>
      <w:pPr>
        <w:ind w:left="1960" w:right="480" w:hanging="656"/>
        <w:spacing w:after="0" w:line="500" w:lineRule="auto"/>
        <w:tabs>
          <w:tab w:leader="none" w:pos="172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new definitions will be added to Section 1.02 of the Credit Agreement in proper alphabetical order: “</w:t>
      </w:r>
      <w:r>
        <w:rPr>
          <w:rFonts w:ascii="Times New Roman" w:cs="Times New Roman" w:eastAsia="Times New Roman" w:hAnsi="Times New Roman"/>
          <w:sz w:val="20"/>
          <w:szCs w:val="20"/>
          <w:u w:val="single" w:color="auto"/>
          <w:color w:val="auto"/>
        </w:rPr>
        <w:t>2025 Commitment Increase Effective Date</w:t>
      </w:r>
      <w:r>
        <w:rPr>
          <w:rFonts w:ascii="Times New Roman" w:cs="Times New Roman" w:eastAsia="Times New Roman" w:hAnsi="Times New Roman"/>
          <w:sz w:val="20"/>
          <w:szCs w:val="20"/>
          <w:color w:val="auto"/>
        </w:rPr>
        <w:t>” has the meaning set forth in the First Amendment.</w:t>
      </w:r>
    </w:p>
    <w:p>
      <w:pPr>
        <w:jc w:val="both"/>
        <w:ind w:left="130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Amendment</w:t>
      </w:r>
      <w:r>
        <w:rPr>
          <w:rFonts w:ascii="Times New Roman" w:cs="Times New Roman" w:eastAsia="Times New Roman" w:hAnsi="Times New Roman"/>
          <w:sz w:val="20"/>
          <w:szCs w:val="20"/>
          <w:color w:val="auto"/>
        </w:rPr>
        <w:t>” means that certain First Amendment to Fourth Amended and Restated Credit Agreement, dated as of April 9, 2025, by and among the Company, the New Vehicle Borrowers, the Used Vehicle Borrower, the Guarantors party thereto, the Lenders party thereto and the Administrative Agent.</w:t>
      </w:r>
    </w:p>
    <w:p>
      <w:pPr>
        <w:spacing w:after="0" w:line="208" w:lineRule="exact"/>
        <w:rPr>
          <w:sz w:val="20"/>
          <w:szCs w:val="20"/>
          <w:color w:val="auto"/>
        </w:rPr>
      </w:pPr>
    </w:p>
    <w:p>
      <w:pPr>
        <w:jc w:val="both"/>
        <w:ind w:left="1300"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HGC Acquisition</w:t>
      </w:r>
      <w:r>
        <w:rPr>
          <w:rFonts w:ascii="Times New Roman" w:cs="Times New Roman" w:eastAsia="Times New Roman" w:hAnsi="Times New Roman"/>
          <w:sz w:val="20"/>
          <w:szCs w:val="20"/>
          <w:color w:val="auto"/>
        </w:rPr>
        <w:t>” means the acquisition by the Company and/or its Subsidiaries of dealership assets, real estate and real estate related rights and other assets of the HGC Owner, the HGC Dealership Companies, the HGC Real Estate Companies and the HGC Management Company (each as defined in the definition of HGC Purchase Agreement) pursuant to the HGC Purchase Agreement, without giving effect to any modifications, amendments, consents or waivers thereto that are material and adverse to the interests of the Lenders, as reasonably determined by the Administrative Agent, without the prior consent of the Administrative Agent (not to be unreasonably withheld, delayed or conditioned).</w:t>
      </w:r>
    </w:p>
    <w:p>
      <w:pPr>
        <w:spacing w:after="0" w:line="217" w:lineRule="exact"/>
        <w:rPr>
          <w:sz w:val="20"/>
          <w:szCs w:val="20"/>
          <w:color w:val="auto"/>
        </w:rPr>
      </w:pPr>
    </w:p>
    <w:p>
      <w:pPr>
        <w:jc w:val="both"/>
        <w:ind w:left="130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HGC Acquisition Documents</w:t>
      </w:r>
      <w:r>
        <w:rPr>
          <w:rFonts w:ascii="Times New Roman" w:cs="Times New Roman" w:eastAsia="Times New Roman" w:hAnsi="Times New Roman"/>
          <w:sz w:val="20"/>
          <w:szCs w:val="20"/>
          <w:color w:val="auto"/>
        </w:rPr>
        <w:t>” means the HGC Purchase Agreement and all documents, agreements, certificates and instruments executed in connection therewith.</w:t>
      </w:r>
    </w:p>
    <w:p>
      <w:pPr>
        <w:spacing w:after="0" w:line="173"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HGC Acquisition Indebtedness</w:t>
      </w:r>
      <w:r>
        <w:rPr>
          <w:rFonts w:ascii="Times New Roman" w:cs="Times New Roman" w:eastAsia="Times New Roman" w:hAnsi="Times New Roman"/>
          <w:sz w:val="20"/>
          <w:szCs w:val="20"/>
          <w:color w:val="auto"/>
        </w:rPr>
        <w:t>” means Indebtedness incurred by the Company or any of its Subsidiaries (which may include Indebtedness incurred hereunder), the proceeds of which will be used to consummate the transactions contemplated by the HGC Acquisition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9" w:right="339" w:bottom="1440" w:gutter="0" w:footer="0" w:header="0"/>
        </w:sectPr>
      </w:pPr>
    </w:p>
    <w:bookmarkStart w:id="6" w:name="page7"/>
    <w:bookmarkEnd w:id="6"/>
    <w:p>
      <w:pPr>
        <w:jc w:val="both"/>
        <w:ind w:left="180"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HGC Dealership Company</w:t>
      </w:r>
      <w:r>
        <w:rPr>
          <w:rFonts w:ascii="Times New Roman" w:cs="Times New Roman" w:eastAsia="Times New Roman" w:hAnsi="Times New Roman"/>
          <w:sz w:val="20"/>
          <w:szCs w:val="20"/>
          <w:color w:val="auto"/>
        </w:rPr>
        <w:t>” means each of Herb Chambers Route 1, Inc., Silver Star, Inc., Herb Chambers 1172, Inc., Herb Chambers Commonwealth Avenue, Inc., Herb Chambers Cadillac, Inc., Herb Chambers 1186, Inc., Herb Chambers 128, Inc., Herb Chambers 44, Inc., Herb Chambers I-95, Inc., Herb Chambers of Millbury, Inc., Herb Chambers of Auburn, Inc., Herb Chambers 1168, Inc., Dave Dinger Ford, Inc., Herb Chambers 22 Brighton Ave., Inc., Herb Chambers of Westborough, Inc., Herb Chambers Andover Street Inc., Herb Chambers Cambridge Street, Inc., Herb Chambers 62 Cambridge, Inc., Herb Chambers of Natick, Inc., Herb Chambers Boston Post Road, Inc., Herb Chambers of Sudbury, Inc., Herb Chambers of Burlington, Inc., Herb Chambers of Wayland, Inc., Herb Chambers 75 Otis Street, Inc., Herb Chambers of Millbury II, Inc., Herb Chambers 395 Broadway, Inc., Herb Chambers Boston Turnpike, Inc., Herb Chambers of Brookline, Inc., Herb Chambers of Norwood, Inc., and Herb Chambers 1188, Inc., as the case may be, and collectively, they are the “</w:t>
      </w:r>
      <w:r>
        <w:rPr>
          <w:rFonts w:ascii="Times New Roman" w:cs="Times New Roman" w:eastAsia="Times New Roman" w:hAnsi="Times New Roman"/>
          <w:sz w:val="20"/>
          <w:szCs w:val="20"/>
          <w:u w:val="single" w:color="auto"/>
          <w:color w:val="auto"/>
        </w:rPr>
        <w:t>HGC Dealership Companies</w:t>
      </w:r>
      <w:r>
        <w:rPr>
          <w:rFonts w:ascii="Times New Roman" w:cs="Times New Roman" w:eastAsia="Times New Roman" w:hAnsi="Times New Roman"/>
          <w:sz w:val="20"/>
          <w:szCs w:val="20"/>
          <w:color w:val="auto"/>
        </w:rPr>
        <w:t>”.</w:t>
      </w:r>
    </w:p>
    <w:p>
      <w:pPr>
        <w:spacing w:after="0" w:line="223" w:lineRule="exact"/>
        <w:rPr>
          <w:sz w:val="20"/>
          <w:szCs w:val="20"/>
          <w:color w:val="auto"/>
        </w:rPr>
      </w:pPr>
    </w:p>
    <w:p>
      <w:pPr>
        <w:jc w:val="both"/>
        <w:ind w:left="180" w:firstLine="64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HGC Purchase Agreement</w:t>
      </w:r>
      <w:r>
        <w:rPr>
          <w:rFonts w:ascii="Times New Roman" w:cs="Times New Roman" w:eastAsia="Times New Roman" w:hAnsi="Times New Roman"/>
          <w:sz w:val="19"/>
          <w:szCs w:val="19"/>
          <w:color w:val="auto"/>
        </w:rPr>
        <w:t>” means that certain Purchase and Sale Agreement dated as of February 14, 2025, by and among the Company, as Buyer, Herbert G. Chambers, an individual resident of the Commonwealth of Massachusetts (the “</w:t>
      </w:r>
      <w:r>
        <w:rPr>
          <w:rFonts w:ascii="Times New Roman" w:cs="Times New Roman" w:eastAsia="Times New Roman" w:hAnsi="Times New Roman"/>
          <w:sz w:val="19"/>
          <w:szCs w:val="19"/>
          <w:u w:val="single" w:color="auto"/>
          <w:color w:val="auto"/>
        </w:rPr>
        <w:t>HGC Owner</w:t>
      </w:r>
      <w:r>
        <w:rPr>
          <w:rFonts w:ascii="Times New Roman" w:cs="Times New Roman" w:eastAsia="Times New Roman" w:hAnsi="Times New Roman"/>
          <w:sz w:val="19"/>
          <w:szCs w:val="19"/>
          <w:color w:val="auto"/>
        </w:rPr>
        <w:t>”), Jennings Road Management Corp., a Connecticut corporation (the “</w:t>
      </w:r>
      <w:r>
        <w:rPr>
          <w:rFonts w:ascii="Times New Roman" w:cs="Times New Roman" w:eastAsia="Times New Roman" w:hAnsi="Times New Roman"/>
          <w:sz w:val="19"/>
          <w:szCs w:val="19"/>
          <w:u w:val="single" w:color="auto"/>
          <w:color w:val="auto"/>
        </w:rPr>
        <w:t>HGC Management Company</w:t>
      </w:r>
      <w:r>
        <w:rPr>
          <w:rFonts w:ascii="Times New Roman" w:cs="Times New Roman" w:eastAsia="Times New Roman" w:hAnsi="Times New Roman"/>
          <w:sz w:val="19"/>
          <w:szCs w:val="19"/>
          <w:color w:val="auto"/>
        </w:rPr>
        <w:t>”), the HGC Dealership Companies and the HGC Real Estate Companies, as such document was provided to the Administrative Agent on or about February 25, 2025, with such changes, amendments, waivers or other modifications thereto prior to the 2025 Commitment Increase Effective Date which, to the extent material and adverse to the interests of the Lenders, have been consented to by the Administrative Agent (such consent not to be unreasonably withheld, conditioned or delayed).</w:t>
      </w:r>
    </w:p>
    <w:p>
      <w:pPr>
        <w:spacing w:after="0" w:line="189" w:lineRule="exact"/>
        <w:rPr>
          <w:sz w:val="20"/>
          <w:szCs w:val="20"/>
          <w:color w:val="auto"/>
        </w:rPr>
      </w:pPr>
    </w:p>
    <w:p>
      <w:pPr>
        <w:jc w:val="both"/>
        <w:ind w:left="180"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HGC Real Estate Company</w:t>
      </w:r>
      <w:r>
        <w:rPr>
          <w:rFonts w:ascii="Times New Roman" w:cs="Times New Roman" w:eastAsia="Times New Roman" w:hAnsi="Times New Roman"/>
          <w:sz w:val="20"/>
          <w:szCs w:val="20"/>
          <w:color w:val="auto"/>
        </w:rPr>
        <w:t>” means each of the following Herb Chambers of Lynnfield, Inc., Herb Chambers Peabody, LLC, Herb Chambers Holliston, LLC, Herb Chambers MB Sudbury, LLC, Herb Chambers 130 Boston Post Road, LLC, Avonwood Associates Limited Partnership, Herb Chambers Medford, LLC, Herb Chambers 83 Boston Post Road, LLC, Herb Chambers 533 Boston Post Road, LLC, Herb Chambers of Warwick, Inc., Herb Chambers Cambridge Street, LLC, Herb Chambers of Norwood, LLC, Herb Chambers Plank Street, LLC, Herb Chambers of Seekonk, LLC, Geo Missy Limited Partnership, Herb Chambers 529 &amp; 533 Winthrop Street, Inc., Herb Chambers of Danvers, LLC, Herb Chambers Latti Farm Road, LLC, Herb Chambers 93 Cambridge Street, LLC, Herb Chambers Washington Street, Inc., Herb Chambers of Braintree, Inc., Herb Chambers of Braintree II, LLC, Herb Chambers of Chicopee, Inc., Herb Chambers Derby Street, LLC, Herb Chambers Turnpike Road, LLC, Herb Chambers 312 Turnpike Road, LLC, Herb Chambers Otis Street, LLC, Broadway Lynnfield Properties, LLC, Herb Chambers 400 Mystic, LLC, Herb Chambers 720 Morrissey, LLC, Herb Chambers 90 Andover Street Danvers, LLC or Herb Chambers North Main Street, LLC, as the case may be, and collectively, they are the “</w:t>
      </w:r>
      <w:r>
        <w:rPr>
          <w:rFonts w:ascii="Times New Roman" w:cs="Times New Roman" w:eastAsia="Times New Roman" w:hAnsi="Times New Roman"/>
          <w:sz w:val="20"/>
          <w:szCs w:val="20"/>
          <w:u w:val="single" w:color="auto"/>
          <w:color w:val="auto"/>
        </w:rPr>
        <w:t>HGC Real Estate Companies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left="18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HGC Sellers</w:t>
      </w:r>
      <w:r>
        <w:rPr>
          <w:rFonts w:ascii="Times New Roman" w:cs="Times New Roman" w:eastAsia="Times New Roman" w:hAnsi="Times New Roman"/>
          <w:sz w:val="20"/>
          <w:szCs w:val="20"/>
          <w:color w:val="auto"/>
        </w:rPr>
        <w:t>” means the HGC Owner, the HGC Management Company, the HGC Dealership Companies and the HGC Real Estate Companies.</w:t>
      </w:r>
    </w:p>
    <w:p>
      <w:pPr>
        <w:spacing w:after="0" w:line="173" w:lineRule="exact"/>
        <w:rPr>
          <w:sz w:val="20"/>
          <w:szCs w:val="20"/>
          <w:color w:val="auto"/>
        </w:rPr>
      </w:pPr>
    </w:p>
    <w:p>
      <w:pPr>
        <w:jc w:val="both"/>
        <w:ind w:left="18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HGC Acquisition Agreement Representations</w:t>
      </w:r>
      <w:r>
        <w:rPr>
          <w:rFonts w:ascii="Times New Roman" w:cs="Times New Roman" w:eastAsia="Times New Roman" w:hAnsi="Times New Roman"/>
          <w:sz w:val="20"/>
          <w:szCs w:val="20"/>
          <w:color w:val="auto"/>
        </w:rPr>
        <w:t>” means, with respect to the date of any Credit Extension, the representations made by the HGC Sellers or their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20"/>
          </w:cols>
          <w:pgMar w:left="1440" w:top="1413" w:right="339" w:bottom="1440" w:gutter="0" w:footer="0" w:header="0"/>
        </w:sectPr>
      </w:pPr>
    </w:p>
    <w:bookmarkStart w:id="7" w:name="page8"/>
    <w:bookmarkEnd w:id="7"/>
    <w:p>
      <w:pPr>
        <w:jc w:val="both"/>
        <w:ind w:left="180"/>
        <w:spacing w:after="0" w:line="253" w:lineRule="auto"/>
        <w:rPr>
          <w:sz w:val="20"/>
          <w:szCs w:val="20"/>
          <w:color w:val="auto"/>
        </w:rPr>
      </w:pPr>
      <w:r>
        <w:rPr>
          <w:rFonts w:ascii="Times New Roman" w:cs="Times New Roman" w:eastAsia="Times New Roman" w:hAnsi="Times New Roman"/>
          <w:sz w:val="20"/>
          <w:szCs w:val="20"/>
          <w:color w:val="auto"/>
        </w:rPr>
        <w:t>subsidiaries in the HGC Acquisition Documents that are material to the interests of the Administrative Agent or the Lenders, but only to the extent that the Company or any of the Company’s affiliates have the right to terminate the Company’s or such affiliate’s obligations under the HGC Acquisition Documents or to decline to consummate the acquisition of the business to be financed by a Credit Extension on such date as a result of a breach of such representations in the HGC Acquisition Documents without liability to the Company or such affiliate.</w:t>
      </w:r>
    </w:p>
    <w:p>
      <w:pPr>
        <w:spacing w:after="0" w:line="219" w:lineRule="exact"/>
        <w:rPr>
          <w:sz w:val="20"/>
          <w:szCs w:val="20"/>
          <w:color w:val="auto"/>
        </w:rPr>
      </w:pPr>
    </w:p>
    <w:p>
      <w:pPr>
        <w:ind w:left="180"/>
        <w:spacing w:after="0"/>
        <w:tabs>
          <w:tab w:leader="none" w:pos="58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The definition of “Permitted Acquisition” will be amended and restated in its entirety as follows:</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xml:space="preserve">” means (i) any Acquisition permitted by </w:t>
      </w:r>
      <w:r>
        <w:rPr>
          <w:rFonts w:ascii="Times New Roman" w:cs="Times New Roman" w:eastAsia="Times New Roman" w:hAnsi="Times New Roman"/>
          <w:sz w:val="20"/>
          <w:szCs w:val="20"/>
          <w:u w:val="single" w:color="auto"/>
          <w:color w:val="auto"/>
        </w:rPr>
        <w:t>Section 7.19</w:t>
      </w:r>
      <w:r>
        <w:rPr>
          <w:rFonts w:ascii="Times New Roman" w:cs="Times New Roman" w:eastAsia="Times New Roman" w:hAnsi="Times New Roman"/>
          <w:sz w:val="20"/>
          <w:szCs w:val="20"/>
          <w:color w:val="auto"/>
        </w:rPr>
        <w:t xml:space="preserve"> and (ii) the HGC Acquisition.</w:t>
      </w:r>
    </w:p>
    <w:p>
      <w:pPr>
        <w:spacing w:after="0" w:line="216" w:lineRule="exact"/>
        <w:rPr>
          <w:sz w:val="20"/>
          <w:szCs w:val="20"/>
          <w:color w:val="auto"/>
        </w:rPr>
      </w:pPr>
    </w:p>
    <w:p>
      <w:pPr>
        <w:ind w:left="600" w:hanging="416"/>
        <w:spacing w:after="0"/>
        <w:tabs>
          <w:tab w:leader="none" w:pos="6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new Section 4.02(j) will be added to the Credit Agreement in proper numerical order:</w:t>
      </w:r>
    </w:p>
    <w:p>
      <w:pPr>
        <w:spacing w:after="0" w:line="229" w:lineRule="exact"/>
        <w:rPr>
          <w:rFonts w:ascii="Times New Roman" w:cs="Times New Roman" w:eastAsia="Times New Roman" w:hAnsi="Times New Roman"/>
          <w:sz w:val="20"/>
          <w:szCs w:val="20"/>
          <w:color w:val="auto"/>
        </w:rPr>
      </w:pPr>
    </w:p>
    <w:p>
      <w:pPr>
        <w:jc w:val="both"/>
        <w:ind w:left="180" w:right="20" w:firstLine="652"/>
        <w:spacing w:after="0" w:line="261" w:lineRule="auto"/>
        <w:tabs>
          <w:tab w:leader="none" w:pos="1261"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conditions specified in </w:t>
      </w:r>
      <w:r>
        <w:rPr>
          <w:rFonts w:ascii="Times New Roman" w:cs="Times New Roman" w:eastAsia="Times New Roman" w:hAnsi="Times New Roman"/>
          <w:sz w:val="20"/>
          <w:szCs w:val="20"/>
          <w:u w:val="single" w:color="auto"/>
          <w:color w:val="auto"/>
        </w:rPr>
        <w:t>Sections 4.02(a)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with respect to the portion of any Credit Extension that is used solely to finance any part of the HGC Acquisition, </w:t>
      </w:r>
      <w:r>
        <w:rPr>
          <w:rFonts w:ascii="Times New Roman" w:cs="Times New Roman" w:eastAsia="Times New Roman" w:hAnsi="Times New Roman"/>
          <w:sz w:val="20"/>
          <w:szCs w:val="20"/>
          <w:u w:val="single" w:color="auto"/>
          <w:color w:val="auto"/>
        </w:rPr>
        <w:t>Sections 4.02(a)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shall not apply with respect to such Credit Extension, but the following conditions shall apply:</w:t>
      </w:r>
    </w:p>
    <w:p>
      <w:pPr>
        <w:spacing w:after="0" w:line="181" w:lineRule="exact"/>
        <w:rPr>
          <w:rFonts w:ascii="Times New Roman" w:cs="Times New Roman" w:eastAsia="Times New Roman" w:hAnsi="Times New Roman"/>
          <w:sz w:val="20"/>
          <w:szCs w:val="20"/>
          <w:color w:val="auto"/>
        </w:rPr>
      </w:pPr>
    </w:p>
    <w:p>
      <w:pPr>
        <w:jc w:val="both"/>
        <w:ind w:left="840" w:firstLine="640"/>
        <w:spacing w:after="0" w:line="251" w:lineRule="auto"/>
        <w:tabs>
          <w:tab w:leader="none" w:pos="1930" w:val="left"/>
        </w:tabs>
        <w:numPr>
          <w:ilvl w:val="2"/>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all documents, and evidence reasonably satisfactory to the Administrative Agent that all other actions have been taken, in each case required by </w:t>
      </w:r>
      <w:r>
        <w:rPr>
          <w:rFonts w:ascii="Times New Roman" w:cs="Times New Roman" w:eastAsia="Times New Roman" w:hAnsi="Times New Roman"/>
          <w:sz w:val="20"/>
          <w:szCs w:val="20"/>
          <w:u w:val="single" w:color="auto"/>
          <w:color w:val="auto"/>
        </w:rPr>
        <w:t>Sections 2.24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6.14</w:t>
      </w:r>
      <w:r>
        <w:rPr>
          <w:rFonts w:ascii="Times New Roman" w:cs="Times New Roman" w:eastAsia="Times New Roman" w:hAnsi="Times New Roman"/>
          <w:sz w:val="20"/>
          <w:szCs w:val="20"/>
          <w:color w:val="auto"/>
        </w:rPr>
        <w:t xml:space="preserve"> hereof with respect to any Subsidiary that (a) did not execute (or join) this Agreement prior to the 2025 Commitment Increase Effective Date as a New Vehicle Borrower and Used Vehicle Borrower and (b) will acquire assets in connection with the HGC Acquisition or whose Equity Interests will be acquired in connection with the HGC Acquisition (each an “</w:t>
      </w:r>
      <w:r>
        <w:rPr>
          <w:rFonts w:ascii="Times New Roman" w:cs="Times New Roman" w:eastAsia="Times New Roman" w:hAnsi="Times New Roman"/>
          <w:sz w:val="20"/>
          <w:szCs w:val="20"/>
          <w:u w:val="single" w:color="auto"/>
          <w:color w:val="auto"/>
        </w:rPr>
        <w:t>Additional HGC Restricted Subsidiary</w:t>
      </w:r>
      <w:r>
        <w:rPr>
          <w:rFonts w:ascii="Times New Roman" w:cs="Times New Roman" w:eastAsia="Times New Roman" w:hAnsi="Times New Roman"/>
          <w:sz w:val="20"/>
          <w:szCs w:val="20"/>
          <w:color w:val="auto"/>
        </w:rPr>
        <w:t>”; each such Subsidiary, together with any other Subsidiary which will acquire assets in connection with the HGC Acquisition, the “</w:t>
      </w:r>
      <w:r>
        <w:rPr>
          <w:rFonts w:ascii="Times New Roman" w:cs="Times New Roman" w:eastAsia="Times New Roman" w:hAnsi="Times New Roman"/>
          <w:sz w:val="20"/>
          <w:szCs w:val="20"/>
          <w:u w:val="single" w:color="auto"/>
          <w:color w:val="auto"/>
        </w:rPr>
        <w:t>HGC Restricted Subsidiaries</w:t>
      </w:r>
      <w:r>
        <w:rPr>
          <w:rFonts w:ascii="Times New Roman" w:cs="Times New Roman" w:eastAsia="Times New Roman" w:hAnsi="Times New Roman"/>
          <w:sz w:val="20"/>
          <w:szCs w:val="20"/>
          <w:color w:val="auto"/>
        </w:rPr>
        <w:t>”), each in form and substance reasonably satisfactory to the Administrative Agent.</w:t>
      </w:r>
    </w:p>
    <w:p>
      <w:pPr>
        <w:spacing w:after="0" w:line="181" w:lineRule="exact"/>
        <w:rPr>
          <w:rFonts w:ascii="Times New Roman" w:cs="Times New Roman" w:eastAsia="Times New Roman" w:hAnsi="Times New Roman"/>
          <w:sz w:val="20"/>
          <w:szCs w:val="20"/>
          <w:color w:val="auto"/>
        </w:rPr>
      </w:pPr>
    </w:p>
    <w:p>
      <w:pPr>
        <w:jc w:val="both"/>
        <w:ind w:left="840" w:firstLine="640"/>
        <w:spacing w:after="0" w:line="253" w:lineRule="auto"/>
        <w:tabs>
          <w:tab w:leader="none" w:pos="1948" w:val="left"/>
        </w:tabs>
        <w:numPr>
          <w:ilvl w:val="2"/>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the following, each of which (in the case of clauses (D) and (G)) shall be originals or telecopies (followed promptly by originals) unless otherwise specified, each of which (in the case of clauses (B) and (C)) shall be properly executed by a Responsible Officer of the signing Loan Party, each dated the date of such Credit Extension (or, in the case of certificates of governmental officials or the items referred to in clauses (B)(y) and (E) below, a recent date before the date of such Credit Extension) and each in form and substance reasonably satisfactory to the Administrative Agent:</w:t>
      </w:r>
    </w:p>
    <w:p>
      <w:pPr>
        <w:spacing w:after="0" w:line="192" w:lineRule="exact"/>
        <w:rPr>
          <w:rFonts w:ascii="Times New Roman" w:cs="Times New Roman" w:eastAsia="Times New Roman" w:hAnsi="Times New Roman"/>
          <w:sz w:val="20"/>
          <w:szCs w:val="20"/>
          <w:color w:val="auto"/>
        </w:rPr>
      </w:pPr>
    </w:p>
    <w:p>
      <w:pPr>
        <w:jc w:val="both"/>
        <w:ind w:left="1480" w:firstLine="648"/>
        <w:spacing w:after="0" w:line="261" w:lineRule="auto"/>
        <w:tabs>
          <w:tab w:leader="none" w:pos="2693" w:val="left"/>
        </w:tabs>
        <w:numPr>
          <w:ilvl w:val="3"/>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all insurance required to be maintained with respect to each HGC Restricted Subsidiary pursuant to the Loan Documents has been obtained and is in effect, including endorsements naming the Administrative Agent (on behalf of the Secured Parties) as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120"/>
          </w:cols>
          <w:pgMar w:left="1440" w:top="1413" w:right="339" w:bottom="1440" w:gutter="0" w:footer="0" w:header="0"/>
        </w:sectPr>
      </w:pPr>
    </w:p>
    <w:bookmarkStart w:id="8" w:name="page9"/>
    <w:bookmarkEnd w:id="8"/>
    <w:p>
      <w:pPr>
        <w:ind w:left="1480"/>
        <w:spacing w:after="0" w:line="283" w:lineRule="auto"/>
        <w:rPr>
          <w:sz w:val="20"/>
          <w:szCs w:val="20"/>
          <w:color w:val="auto"/>
        </w:rPr>
      </w:pPr>
      <w:r>
        <w:rPr>
          <w:rFonts w:ascii="Times New Roman" w:cs="Times New Roman" w:eastAsia="Times New Roman" w:hAnsi="Times New Roman"/>
          <w:sz w:val="20"/>
          <w:szCs w:val="20"/>
          <w:color w:val="auto"/>
        </w:rPr>
        <w:t>additional insured or lender’s loss payee, as the case may be, on all insurance policies maintained with respect to properties of such HGC Restricted Subsidiary constituting part of the Collateral;</w:t>
      </w:r>
    </w:p>
    <w:p>
      <w:pPr>
        <w:spacing w:after="0" w:line="146" w:lineRule="exact"/>
        <w:rPr>
          <w:sz w:val="20"/>
          <w:szCs w:val="20"/>
          <w:color w:val="auto"/>
        </w:rPr>
      </w:pPr>
    </w:p>
    <w:p>
      <w:pPr>
        <w:jc w:val="both"/>
        <w:ind w:left="1480" w:firstLine="648"/>
        <w:spacing w:after="0" w:line="250" w:lineRule="auto"/>
        <w:tabs>
          <w:tab w:leader="none" w:pos="2701"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there are any Additional HGC Restricted Subsidiaries at such time, (x) such certificates of resolutions and incumbency certificates of Responsible Officers of each Additional HGC Restricted Subsidiary as the Administrative Agent may reasonably require evidencing the identity, authority and capacity of each Responsible Officer thereof authorized to act as a Responsible Officer in connection with the Loan Documents to which such Additional HGC Restricted Subsidiary is a party, (y) the Organization Documents of each such Additional HGC Restricted Subsidiary and customary certifications as the Administrative Agent may reasonably require to evidence that each Additional HGC Restricted Subsidiary is in good standing and qualified to engage in business in the jurisdiction of its organization or formation, and each other jurisdiction where its ownership, lease or operation of properties or the conduct of its business requires such qualification, except to the extent that failure to do so could not reasonably be expected to have a Material Adverse Effect and (z) favorable opinions of Jones Day, counsel to the Loan Parties, and, if requested by the Administrative Agent in its sole discretion, of local counsel to the Loan Parties in each state where an Additional HGC Restricted Subsidiary is organized, in each case addressed to the Administrative Agent and each Lender, in form and substance reasonably satisfactory to the Administrative Agent;</w:t>
      </w:r>
    </w:p>
    <w:p>
      <w:pPr>
        <w:spacing w:after="0" w:line="186" w:lineRule="exact"/>
        <w:rPr>
          <w:rFonts w:ascii="Times New Roman" w:cs="Times New Roman" w:eastAsia="Times New Roman" w:hAnsi="Times New Roman"/>
          <w:sz w:val="20"/>
          <w:szCs w:val="20"/>
          <w:color w:val="auto"/>
        </w:rPr>
      </w:pPr>
    </w:p>
    <w:p>
      <w:pPr>
        <w:ind w:left="1480" w:right="20" w:firstLine="648"/>
        <w:spacing w:after="0" w:line="283" w:lineRule="auto"/>
        <w:tabs>
          <w:tab w:leader="none" w:pos="267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signed by a Responsible Officer of the Company certifying that the conditions specified in </w:t>
      </w:r>
      <w:r>
        <w:rPr>
          <w:rFonts w:ascii="Times New Roman" w:cs="Times New Roman" w:eastAsia="Times New Roman" w:hAnsi="Times New Roman"/>
          <w:sz w:val="20"/>
          <w:szCs w:val="20"/>
          <w:u w:val="single" w:color="auto"/>
          <w:color w:val="auto"/>
        </w:rPr>
        <w:t>Sections 4.02(j)(iii)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have been satisfied;</w:t>
      </w:r>
    </w:p>
    <w:p>
      <w:pPr>
        <w:spacing w:after="0" w:line="146" w:lineRule="exact"/>
        <w:rPr>
          <w:rFonts w:ascii="Times New Roman" w:cs="Times New Roman" w:eastAsia="Times New Roman" w:hAnsi="Times New Roman"/>
          <w:sz w:val="20"/>
          <w:szCs w:val="20"/>
          <w:color w:val="auto"/>
        </w:rPr>
      </w:pPr>
    </w:p>
    <w:p>
      <w:pPr>
        <w:jc w:val="both"/>
        <w:ind w:left="1480" w:firstLine="648"/>
        <w:spacing w:after="0" w:line="258" w:lineRule="auto"/>
        <w:tabs>
          <w:tab w:leader="none" w:pos="268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documents required to be delivered pursuant to </w:t>
      </w:r>
      <w:r>
        <w:rPr>
          <w:rFonts w:ascii="Times New Roman" w:cs="Times New Roman" w:eastAsia="Times New Roman" w:hAnsi="Times New Roman"/>
          <w:sz w:val="20"/>
          <w:szCs w:val="20"/>
          <w:u w:val="single" w:color="auto"/>
          <w:color w:val="auto"/>
        </w:rPr>
        <w:t>Section 7.19</w:t>
      </w:r>
      <w:r>
        <w:rPr>
          <w:rFonts w:ascii="Times New Roman" w:cs="Times New Roman" w:eastAsia="Times New Roman" w:hAnsi="Times New Roman"/>
          <w:sz w:val="20"/>
          <w:szCs w:val="20"/>
          <w:color w:val="auto"/>
        </w:rPr>
        <w:t>, (including a duly completed Pro Forma Compliance Certificate, Pro Forma Revolving Borrowing Base Certificate and Pro Forma Used Vehicle Floorplan Borrowing Base Certificate and the financial statements required to be delivered thereby);</w:t>
      </w:r>
    </w:p>
    <w:p>
      <w:pPr>
        <w:spacing w:after="0" w:line="185" w:lineRule="exact"/>
        <w:rPr>
          <w:rFonts w:ascii="Times New Roman" w:cs="Times New Roman" w:eastAsia="Times New Roman" w:hAnsi="Times New Roman"/>
          <w:sz w:val="20"/>
          <w:szCs w:val="20"/>
          <w:color w:val="auto"/>
        </w:rPr>
      </w:pPr>
    </w:p>
    <w:p>
      <w:pPr>
        <w:jc w:val="both"/>
        <w:ind w:left="1480" w:firstLine="648"/>
        <w:spacing w:after="0" w:line="254" w:lineRule="auto"/>
        <w:tabs>
          <w:tab w:leader="none" w:pos="262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UCC search results with respect to all sellers under the HGC Acquisition Documents and all Additional HGC Restricted Subsidiaries showing only Liens permitted hereunder (or pursuant to which arrangements reasonably satisfactory to the Administrative Agent shall have been made to remove any Liens not permitted hereunder on or prior to the date of such Credit Extension);</w:t>
      </w:r>
    </w:p>
    <w:p>
      <w:pPr>
        <w:spacing w:after="0" w:line="187" w:lineRule="exact"/>
        <w:rPr>
          <w:rFonts w:ascii="Times New Roman" w:cs="Times New Roman" w:eastAsia="Times New Roman" w:hAnsi="Times New Roman"/>
          <w:sz w:val="20"/>
          <w:szCs w:val="20"/>
          <w:color w:val="auto"/>
        </w:rPr>
      </w:pPr>
    </w:p>
    <w:p>
      <w:pPr>
        <w:jc w:val="both"/>
        <w:ind w:left="1480" w:firstLine="648"/>
        <w:spacing w:after="0" w:line="258" w:lineRule="auto"/>
        <w:tabs>
          <w:tab w:leader="none" w:pos="2667"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Eligible Borrowing Base Real Estate that is reflected in the Revolving Borrowing Base Certificate delivered pursuant to clause (D) above, each of the following, in form and substance reasonably acceptable to the Administrative Agent: (A) a FIRREA-conforming appraisal (or, in the event that a FIRREA-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120"/>
          </w:cols>
          <w:pgMar w:left="1440" w:top="1413" w:right="339" w:bottom="1440" w:gutter="0" w:footer="0" w:header="0"/>
        </w:sectPr>
      </w:pPr>
    </w:p>
    <w:bookmarkStart w:id="9" w:name="page10"/>
    <w:bookmarkEnd w:id="9"/>
    <w:p>
      <w:pPr>
        <w:jc w:val="both"/>
        <w:ind w:left="2600"/>
        <w:spacing w:after="0" w:line="258" w:lineRule="auto"/>
        <w:rPr>
          <w:sz w:val="20"/>
          <w:szCs w:val="20"/>
          <w:color w:val="auto"/>
        </w:rPr>
      </w:pPr>
      <w:r>
        <w:rPr>
          <w:rFonts w:ascii="Times New Roman" w:cs="Times New Roman" w:eastAsia="Times New Roman" w:hAnsi="Times New Roman"/>
          <w:sz w:val="20"/>
          <w:szCs w:val="20"/>
          <w:color w:val="auto"/>
        </w:rPr>
        <w:t>conforming appraisal cannot be obtained prior to the date of such certificate after commercially reasonable efforts, a report as to the tax assessed value for such property), and (B) such other reports or certifications related to such Eligible Borrowing Base Real Estate as the Administrative Agent may reasonably request; and</w:t>
      </w:r>
    </w:p>
    <w:p>
      <w:pPr>
        <w:spacing w:after="0" w:line="172" w:lineRule="exact"/>
        <w:rPr>
          <w:sz w:val="20"/>
          <w:szCs w:val="20"/>
          <w:color w:val="auto"/>
        </w:rPr>
      </w:pPr>
    </w:p>
    <w:p>
      <w:pPr>
        <w:jc w:val="both"/>
        <w:ind w:left="2600" w:firstLine="648"/>
        <w:spacing w:after="0" w:line="310" w:lineRule="auto"/>
        <w:tabs>
          <w:tab w:leader="none" w:pos="3825" w:val="left"/>
        </w:tabs>
        <w:numPr>
          <w:ilvl w:val="2"/>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HGC Restricted Subsidiary has a service loaner program with any Manufacturer or financial affiliate of a Manufacturer, a Service Loaner Intercreditor Agreement with respect to such program.</w:t>
      </w:r>
    </w:p>
    <w:p>
      <w:pPr>
        <w:spacing w:after="0" w:line="137" w:lineRule="exact"/>
        <w:rPr>
          <w:rFonts w:ascii="Times New Roman" w:cs="Times New Roman" w:eastAsia="Times New Roman" w:hAnsi="Times New Roman"/>
          <w:sz w:val="19"/>
          <w:szCs w:val="19"/>
          <w:color w:val="auto"/>
        </w:rPr>
      </w:pPr>
    </w:p>
    <w:p>
      <w:pPr>
        <w:jc w:val="both"/>
        <w:ind w:left="1960" w:firstLine="640"/>
        <w:spacing w:after="0" w:line="261" w:lineRule="auto"/>
        <w:tabs>
          <w:tab w:leader="none" w:pos="3159"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Specified HGC Acquisition Agreement Representations shall be true and correct on the date of such Credit Extension, both immediately before and after giving effect to the HGC Acquisition and the HGC Acquisition Indebtedness.</w:t>
      </w:r>
    </w:p>
    <w:p>
      <w:pPr>
        <w:spacing w:after="0" w:line="167" w:lineRule="exact"/>
        <w:rPr>
          <w:rFonts w:ascii="Times New Roman" w:cs="Times New Roman" w:eastAsia="Times New Roman" w:hAnsi="Times New Roman"/>
          <w:sz w:val="20"/>
          <w:szCs w:val="20"/>
          <w:color w:val="auto"/>
        </w:rPr>
      </w:pPr>
    </w:p>
    <w:p>
      <w:pPr>
        <w:jc w:val="both"/>
        <w:ind w:left="1960" w:firstLine="640"/>
        <w:spacing w:after="0" w:line="268" w:lineRule="auto"/>
        <w:tabs>
          <w:tab w:leader="none" w:pos="3169"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Specified Representations shall be true and correct on the date of such Credit Extension in all material respects, both immediately before and after giving effect to the HGC Acquisition and the HGC Acquisition Indebtedness.</w:t>
      </w:r>
    </w:p>
    <w:p>
      <w:pPr>
        <w:spacing w:after="0" w:line="161" w:lineRule="exact"/>
        <w:rPr>
          <w:rFonts w:ascii="Times New Roman" w:cs="Times New Roman" w:eastAsia="Times New Roman" w:hAnsi="Times New Roman"/>
          <w:sz w:val="20"/>
          <w:szCs w:val="20"/>
          <w:color w:val="auto"/>
        </w:rPr>
      </w:pPr>
    </w:p>
    <w:p>
      <w:pPr>
        <w:jc w:val="both"/>
        <w:ind w:left="1960" w:firstLine="640"/>
        <w:spacing w:after="0" w:line="261" w:lineRule="auto"/>
        <w:tabs>
          <w:tab w:leader="none" w:pos="3127"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Specified Event of Default shall have occurred and be continuing as of the date of such Credit Extension, both immediately before and after giving effect to the HGC Acquisition and the HGC Acquisition Indebtedness.</w:t>
      </w:r>
    </w:p>
    <w:p>
      <w:pPr>
        <w:spacing w:after="0" w:line="181" w:lineRule="exact"/>
        <w:rPr>
          <w:rFonts w:ascii="Times New Roman" w:cs="Times New Roman" w:eastAsia="Times New Roman" w:hAnsi="Times New Roman"/>
          <w:sz w:val="20"/>
          <w:szCs w:val="20"/>
          <w:color w:val="auto"/>
        </w:rPr>
      </w:pPr>
    </w:p>
    <w:p>
      <w:pPr>
        <w:jc w:val="both"/>
        <w:ind w:left="1960" w:firstLine="640"/>
        <w:spacing w:after="0" w:line="261" w:lineRule="auto"/>
        <w:tabs>
          <w:tab w:leader="none" w:pos="3261"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been no event or circumstance since the date of execution of the HGC Acquisition Documents that has had or could be reasonably expected to have, either individually or in the aggregate, a Material Adverse Effect (as defined in the HGC Acquisition Agreement).</w:t>
      </w:r>
    </w:p>
    <w:p>
      <w:pPr>
        <w:spacing w:after="0" w:line="181" w:lineRule="exact"/>
        <w:rPr>
          <w:rFonts w:ascii="Times New Roman" w:cs="Times New Roman" w:eastAsia="Times New Roman" w:hAnsi="Times New Roman"/>
          <w:sz w:val="20"/>
          <w:szCs w:val="20"/>
          <w:color w:val="auto"/>
        </w:rPr>
      </w:pPr>
    </w:p>
    <w:p>
      <w:pPr>
        <w:jc w:val="both"/>
        <w:ind w:left="1960" w:firstLine="640"/>
        <w:spacing w:after="0" w:line="251" w:lineRule="auto"/>
        <w:tabs>
          <w:tab w:leader="none" w:pos="3164"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Upon the reasonable request of any Lender made at least ten (10) Business Days prior to the date of such Credit Extension, each Borrower shall have provided to such Lender, and such Lender shall be reasonably satisfied with, the documentation and other information so requested in connection with applicable “know your customer” and anti-money-laundering rules and regulations, including, without limitation, the Act, in each case at least three (3) Business Days prior to the date of such Credit Extension and (B) at least three (3) Business Days prior to the date of such Credit Extension, any Loan Party that qualifies as a “legal entity customer” under the Beneficial Ownership Regulation shall have delivered, to each Lender that so requests, a Beneficial Ownership Certification in relation to such Loan Party.</w:t>
      </w:r>
    </w:p>
    <w:p>
      <w:pPr>
        <w:spacing w:after="0" w:line="181" w:lineRule="exact"/>
        <w:rPr>
          <w:rFonts w:ascii="Times New Roman" w:cs="Times New Roman" w:eastAsia="Times New Roman" w:hAnsi="Times New Roman"/>
          <w:sz w:val="20"/>
          <w:szCs w:val="20"/>
          <w:color w:val="auto"/>
        </w:rPr>
      </w:pPr>
    </w:p>
    <w:p>
      <w:pPr>
        <w:ind w:right="280" w:firstLine="1304"/>
        <w:spacing w:after="0" w:line="283" w:lineRule="auto"/>
        <w:tabs>
          <w:tab w:leader="none" w:pos="1721"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Commitments of each of the Lenders under the Credit Agreement shall be increased by the respective amount specified on the schedule attached as Annex A hereto; and</w:t>
      </w:r>
    </w:p>
    <w:p>
      <w:pPr>
        <w:spacing w:after="0" w:line="159" w:lineRule="exact"/>
        <w:rPr>
          <w:rFonts w:ascii="Times New Roman" w:cs="Times New Roman" w:eastAsia="Times New Roman" w:hAnsi="Times New Roman"/>
          <w:sz w:val="20"/>
          <w:szCs w:val="20"/>
          <w:color w:val="auto"/>
        </w:rPr>
      </w:pPr>
    </w:p>
    <w:p>
      <w:pPr>
        <w:ind w:right="120" w:firstLine="1304"/>
        <w:spacing w:after="0" w:line="269" w:lineRule="auto"/>
        <w:tabs>
          <w:tab w:leader="none" w:pos="1713"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effect the 2025 Commitment Increase, Schedule 2.01 to the Credit Agreement shall be deleted and replaced in its entirety by the corresponding Schedule 2.01 attached as Annex B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3" w:right="339" w:bottom="1440" w:gutter="0" w:footer="0" w:header="0"/>
        </w:sectPr>
      </w:pPr>
    </w:p>
    <w:bookmarkStart w:id="10" w:name="page11"/>
    <w:bookmarkEnd w:id="10"/>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Assignments; Allocations and Conversions.</w:t>
      </w:r>
    </w:p>
    <w:p>
      <w:pPr>
        <w:spacing w:after="0" w:line="260" w:lineRule="exact"/>
        <w:rPr>
          <w:sz w:val="20"/>
          <w:szCs w:val="20"/>
          <w:color w:val="auto"/>
        </w:rPr>
      </w:pPr>
    </w:p>
    <w:p>
      <w:pPr>
        <w:jc w:val="both"/>
        <w:ind w:firstLine="1304"/>
        <w:spacing w:after="0" w:line="249" w:lineRule="auto"/>
        <w:tabs>
          <w:tab w:leader="none" w:pos="180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Simultaneously with the 2025 Commitment Increase Effective Date, the parties hereby agree that (i) the Revolving Commitment of each of the Revolving Lenders under the Credit Agreement shall be as set forth in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(as amended hereby), the outstanding amount of the Revolving Loans (as defined in and under the Credit Agreement, without giving effect to any Revolving Borrowings of Revolving Loans under the Credit Agreement on the 2025 Commitment Increase Effective Date, but after giving effect to any repayment or reduction thereof with the proceeds of any applicable sources) shall be reallocated in accordance with such Revolving Commitments and the requisite assignments shall be deemed to be made in such amounts by and between the Revolving Lenders and from each Revolving Lender to each other Revolving Lender (including to Revolving Lenders who increase their Revolving Commitments in connection with this Amendment), with the same force and effect as if such assignments were evidenced by applicable Assignments and Assumptions (as defined in the Credit Agreement) under the Credit Agreement but without the payment of any related assignment fee, and no other documents or instruments shall be, or shall be required to be, executed in connection with such assignments (all of which requirements are hereby waived), (ii) the New Vehicle Floorplan Commitment of each of the New Vehicle Floorplan Lenders under the Credit Agreement shall be as set forth in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(as amended hereby), the outstanding amount of the New Vehicle Floorplan Loans (as defined in and under the Credit Agreement, without giving effect to any New Vehicle Floorplan Borrowings of New Vehicle Floorplan Loans under the Credit Agreement on the 2025 Commitment Increase Effective Date, but after giving effect to any repayment or reduction thereof with the proceeds of any applicable sources) shall be reallocated in accordance with such New Vehicle Floorplan Commitments and the requisite assignments shall be deemed to be made in such amounts by and between the New Vehicle Floorplan Lenders and from each New Vehicle Floorplan Lender to each other New Vehicle Floorplan Lender (including to New Vehicle Floorplan Lenders who increase their New Vehicle Floorplan Commitments in connection with this Amendment), with the same force and effect as if such assignments were evidenced by applicable Assignments and Assumptions (as defined in the Credit Agreement) under the Credit Agreement but without the payment of any related assignment fee, and no other documents or instruments shall be, or shall be required to be, executed in connection with such assignments (all of which requirements are hereby waived), (iii) the Used Vehicle Floorplan Commitment of each of the Used Vehicle Floorplan Lenders under the Credit Agreement shall be as set forth in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(as amended hereby), the outstanding amount of the Used Vehicle Floorplan Loans (as defined in and under the Credit Agreement, without giving effect to any Used Vehicle Floorplan Borrowings of Used Vehicle Floorplan Loans under the Credit Agreement on the 2025 Commitment Increase Effective Date, but after giving effect to any repayment or reduction thereof with the proceeds of any applicable sources) shall be reallocated in accordance with such Used Vehicle Floorplan Commitments and the requisite assignments shall be deemed to be made in such amounts by and between the Used Vehicle Floorplan Lenders and from each Used Vehicle Floorplan Lender to each other Used Vehicle Floorplan Lender (including to Used Vehicle Floorplan Lenders who increase their Used Vehicle Floorplan Commitments in connection with this Amendment), with the same force and effect as if such assignments were evidenced by applicable Assignments and Assumptions (as defined in the Credit Agreement) under the Credit Agreement but without the payment of any related assignment fee, and no other documents or instruments, shall be, or shall be required to be, executed in connection with such assignments (all of which requirements are hereby waived) and (iv) the Commitments as set forth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(as amended hereby) give effect to a conversion of Commitments pursuant to Section 2.14 of the Credit Agreement occurring immediately after giving effect to the 2025 Commitment Increase and the parties hereto waive any requirement that the Company deliver prior notice of such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09" w:right="339" w:bottom="1440" w:gutter="0" w:footer="0" w:header="0"/>
        </w:sectPr>
      </w:pPr>
    </w:p>
    <w:bookmarkStart w:id="11" w:name="page12"/>
    <w:bookmarkEnd w:id="11"/>
    <w:p>
      <w:pPr>
        <w:jc w:val="both"/>
        <w:ind w:firstLine="1304"/>
        <w:spacing w:after="0" w:line="253" w:lineRule="auto"/>
        <w:tabs>
          <w:tab w:leader="none" w:pos="180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2025 Commitment Increase Effective Date, the applicable Lenders shall make full cash settlement with one another, in each case through the Administrative Agent, as the Administrative Agent may direct or approve, with respect to all assignments, reallocations, conversions and other changes in Commitments, such that after giving effect to such settlements, each Lender’s Applicable Percentage of the Aggregate Commitments equals (with customary rounding) its Applicable Percentage of the Outstanding Amount of all Loans.</w:t>
      </w:r>
    </w:p>
    <w:p>
      <w:pPr>
        <w:spacing w:after="0" w:line="19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5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agree that the increase in Commitments pursuant to this Amendment is not an exercise of Section 2.22 of the Credit Agreement; and therefore the Facility allocation requirements under Section 2.22 of the Credit Agreement do not apply to the increase in Commitments pursuant to this Amendment. However, nothing contained herein shall modify or alter such requirement of Section 2.22 of the Credit Agreement in the event the Company requests a separate increase in Commitments pursuant to Section 2.22 of the Credit Agreement at any time after the date hereof. For the avoidance of doubt, the increase in Commitments pursuant to this Amendment shall not occur unless the 2025 Commitment Increase Effective Date has occurred.</w:t>
      </w:r>
    </w:p>
    <w:p>
      <w:pPr>
        <w:spacing w:after="0" w:line="192" w:lineRule="exact"/>
        <w:rPr>
          <w:rFonts w:ascii="Times New Roman" w:cs="Times New Roman" w:eastAsia="Times New Roman" w:hAnsi="Times New Roman"/>
          <w:sz w:val="20"/>
          <w:szCs w:val="20"/>
          <w:color w:val="auto"/>
        </w:rPr>
      </w:pPr>
    </w:p>
    <w:p>
      <w:pPr>
        <w:jc w:val="both"/>
        <w:ind w:firstLine="1304"/>
        <w:spacing w:after="0" w:line="250" w:lineRule="auto"/>
        <w:tabs>
          <w:tab w:leader="none" w:pos="1725"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assignment of a Commitment by a Lender, any increase in Commitments pursuant to Section 2.22 of the Credit Agreement, any reduction in Commitments pursuant to Section 2.14 of the Credit Agreement, any conversion of Aggregate Revolving Commitments to Aggregate New Vehicle Floorplan Commitments or Aggregate Used Vehicle Floorplan Commitments pursuant to Section 2.14 of the Credit Agreement or any conversion of Aggregate New Vehicle Floorplan Commitments or Aggregate Used Vehicle Floorplan Commitments to Aggregate Revolving Commitments pursuant to Section 2.14 of the Credit Agreement between the 2025 Amendment Effective Date and the 2025 Commitment Increase Effective Date, the Company, each other Loan Party and each Consenting Lender agrees that the Administrative Agent shall modify Schedule 2.01 as appropriate to reflect any such assignments, increases, reductions or conversions, as applicable, and the Company, each other Loan Party and each Consenting Lender authorizes the Administrative Agent to so modify Schedule 2.01 and attach Schedule 2.01 (as so modified) to this Amendment.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2 - CONDITIONS PRECEDENT TO EFFECTIVENESS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2.1 </w:t>
      </w:r>
      <w:r>
        <w:rPr>
          <w:rFonts w:ascii="Times New Roman" w:cs="Times New Roman" w:eastAsia="Times New Roman" w:hAnsi="Times New Roman"/>
          <w:sz w:val="20"/>
          <w:szCs w:val="20"/>
          <w:color w:val="auto"/>
        </w:rPr>
        <w:t>This Amendment (other than the amendments contained in Sections 1.2 and 1.3 of this Amendment) shall become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the satisfaction or waiver by the Administrative Agent and Consenting Lenders of the following condition precedent (the date of such satisfaction or waiver, the “</w:t>
      </w:r>
      <w:r>
        <w:rPr>
          <w:rFonts w:ascii="Times New Roman" w:cs="Times New Roman" w:eastAsia="Times New Roman" w:hAnsi="Times New Roman"/>
          <w:sz w:val="20"/>
          <w:szCs w:val="20"/>
          <w:u w:val="single" w:color="auto"/>
          <w:color w:val="auto"/>
        </w:rPr>
        <w:t>2025 Amendment Effective Date</w:t>
      </w:r>
      <w:r>
        <w:rPr>
          <w:rFonts w:ascii="Times New Roman" w:cs="Times New Roman" w:eastAsia="Times New Roman" w:hAnsi="Times New Roman"/>
          <w:sz w:val="20"/>
          <w:szCs w:val="20"/>
          <w:color w:val="auto"/>
        </w:rPr>
        <w:t>”): the Administrative Agent’s receipt of executed counterparts of this Amendment from the Administrative Agent, the Borrowers, the Guarantors, Lenders constituting Required Lenders and each Lender increasing any of its Commitments or joining the Credit Agreement pursuant to this Amendment.</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2.2 </w:t>
      </w:r>
      <w:r>
        <w:rPr>
          <w:rFonts w:ascii="Times New Roman" w:cs="Times New Roman" w:eastAsia="Times New Roman" w:hAnsi="Times New Roman"/>
          <w:sz w:val="20"/>
          <w:szCs w:val="20"/>
          <w:color w:val="auto"/>
        </w:rPr>
        <w:t>The amendments contained in Sections 1.2 and 1.3 of this Amendment shall be conditioned upon the consummation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HGC Acquisition and shall only be effective upon the later of (1) the date that the Company specifies in the notice described in clause (e) below and (2) the date of the satisfaction or waiver by the Administrative Agent and each Lender (including, without limitation each Lender increasing any of its Commitments or joining the Credit Agreement pursuant to this Amendment) of each of the following conditions precedent (such later date, the “</w:t>
      </w:r>
      <w:r>
        <w:rPr>
          <w:rFonts w:ascii="Times New Roman" w:cs="Times New Roman" w:eastAsia="Times New Roman" w:hAnsi="Times New Roman"/>
          <w:sz w:val="20"/>
          <w:szCs w:val="20"/>
          <w:u w:val="single" w:color="auto"/>
          <w:color w:val="auto"/>
        </w:rPr>
        <w:t>2025 Commitment Increase Effective Date</w:t>
      </w:r>
      <w:r>
        <w:rPr>
          <w:rFonts w:ascii="Times New Roman" w:cs="Times New Roman" w:eastAsia="Times New Roman" w:hAnsi="Times New Roman"/>
          <w:sz w:val="20"/>
          <w:szCs w:val="20"/>
          <w:color w:val="auto"/>
        </w:rPr>
        <w:t>”) (provided that such specified date and such satisfaction or waiver must occur on or before August 1, 2025) (in addition to the condition set forth in Section 2.1 of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3" w:right="339" w:bottom="1440" w:gutter="0" w:footer="0" w:header="0"/>
        </w:sectPr>
      </w:pPr>
    </w:p>
    <w:bookmarkStart w:id="12" w:name="page13"/>
    <w:bookmarkEnd w:id="12"/>
    <w:p>
      <w:pPr>
        <w:jc w:val="both"/>
        <w:ind w:left="-20" w:firstLine="1304"/>
        <w:spacing w:after="0" w:line="253" w:lineRule="auto"/>
        <w:tabs>
          <w:tab w:leader="none" w:pos="1779"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Agent’s receipt of the following, each of which (in the case of clause (i)), shall be originals or telecopies (followed promptly by originals) unless otherwise specified, each of which (in the case of clauses (i), (ii), and (iii)), shall be properly executed by a Responsible Officer of the signing Loan Party, each dated the 2025 Commitment Increase Effective Date (or, in the case of certificates of governmental officials or the items referred to in clause (v) below, a recent date before the 2025 Commitment Increase Effective Date) and each in form and substance reasonably satisfactory to the Administrative Agent and each of the Lenders:</w:t>
      </w:r>
    </w:p>
    <w:p>
      <w:pPr>
        <w:spacing w:after="0" w:line="191" w:lineRule="exact"/>
        <w:rPr>
          <w:rFonts w:ascii="Times New Roman" w:cs="Times New Roman" w:eastAsia="Times New Roman" w:hAnsi="Times New Roman"/>
          <w:sz w:val="20"/>
          <w:szCs w:val="20"/>
          <w:color w:val="auto"/>
        </w:rPr>
      </w:pPr>
    </w:p>
    <w:p>
      <w:pPr>
        <w:ind w:left="2320" w:hanging="388"/>
        <w:spacing w:after="0"/>
        <w:tabs>
          <w:tab w:leader="none" w:pos="232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Note(s) executed by the Company in favor of each Lender requesting a Note(s);</w:t>
      </w:r>
    </w:p>
    <w:p>
      <w:pPr>
        <w:spacing w:after="0" w:line="229" w:lineRule="exact"/>
        <w:rPr>
          <w:rFonts w:ascii="Times New Roman" w:cs="Times New Roman" w:eastAsia="Times New Roman" w:hAnsi="Times New Roman"/>
          <w:sz w:val="20"/>
          <w:szCs w:val="20"/>
          <w:color w:val="auto"/>
        </w:rPr>
      </w:pPr>
    </w:p>
    <w:p>
      <w:pPr>
        <w:jc w:val="both"/>
        <w:ind w:left="640" w:firstLine="1292"/>
        <w:spacing w:after="0" w:line="254" w:lineRule="auto"/>
        <w:tabs>
          <w:tab w:leader="none" w:pos="2395"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Amendment and the other Loan Documents to which such Loan Party is a party;</w:t>
      </w:r>
    </w:p>
    <w:p>
      <w:pPr>
        <w:spacing w:after="0" w:line="187" w:lineRule="exact"/>
        <w:rPr>
          <w:rFonts w:ascii="Times New Roman" w:cs="Times New Roman" w:eastAsia="Times New Roman" w:hAnsi="Times New Roman"/>
          <w:sz w:val="20"/>
          <w:szCs w:val="20"/>
          <w:color w:val="auto"/>
        </w:rPr>
      </w:pPr>
    </w:p>
    <w:p>
      <w:pPr>
        <w:jc w:val="both"/>
        <w:ind w:left="640" w:firstLine="1292"/>
        <w:spacing w:after="0" w:line="253" w:lineRule="auto"/>
        <w:tabs>
          <w:tab w:leader="none" w:pos="2476"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documents and certifications as the Administrative Agent may reasonably require to evidence that each Loan Party is duly organized or formed, and that such Loan Party is validly existing, in good standing and qualified to engage in business in the jurisdiction of its organization or formation, and each other jurisdiction where its ownership, lease or operation of properties or the conduct of its business requires such qualification, except to the extent that failure to do so could not reasonably be expected to have a Material Adverse Effect;</w:t>
      </w:r>
    </w:p>
    <w:p>
      <w:pPr>
        <w:spacing w:after="0" w:line="191" w:lineRule="exact"/>
        <w:rPr>
          <w:rFonts w:ascii="Times New Roman" w:cs="Times New Roman" w:eastAsia="Times New Roman" w:hAnsi="Times New Roman"/>
          <w:sz w:val="20"/>
          <w:szCs w:val="20"/>
          <w:color w:val="auto"/>
        </w:rPr>
      </w:pPr>
    </w:p>
    <w:p>
      <w:pPr>
        <w:jc w:val="both"/>
        <w:ind w:left="640" w:firstLine="1292"/>
        <w:spacing w:after="0" w:line="261" w:lineRule="auto"/>
        <w:tabs>
          <w:tab w:leader="none" w:pos="2435"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favorable opinions of Jones Day, counsel to the Loan Parties, and, if requested by the Administrative Agent in its sole discretion, of local counsel to the Loan Parties in each state where a Loan Party is organized, in each case addressed to the Administrative Agent and each Lender, in form and substance reasonably satisfactory to the Administrative Agent; and</w:t>
      </w:r>
    </w:p>
    <w:p>
      <w:pPr>
        <w:spacing w:after="0" w:line="181" w:lineRule="exact"/>
        <w:rPr>
          <w:rFonts w:ascii="Times New Roman" w:cs="Times New Roman" w:eastAsia="Times New Roman" w:hAnsi="Times New Roman"/>
          <w:sz w:val="20"/>
          <w:szCs w:val="20"/>
          <w:color w:val="auto"/>
        </w:rPr>
      </w:pPr>
    </w:p>
    <w:p>
      <w:pPr>
        <w:ind w:left="640" w:firstLine="1292"/>
        <w:spacing w:after="0" w:line="269" w:lineRule="auto"/>
        <w:tabs>
          <w:tab w:leader="none" w:pos="2452"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reasonably requested by the Administrative Agent, a form FR U-1 executed by the Company and a duly authorized representative of the Administrative Agent.</w:t>
      </w:r>
    </w:p>
    <w:p>
      <w:pPr>
        <w:spacing w:after="0" w:line="172" w:lineRule="exact"/>
        <w:rPr>
          <w:rFonts w:ascii="Times New Roman" w:cs="Times New Roman" w:eastAsia="Times New Roman" w:hAnsi="Times New Roman"/>
          <w:sz w:val="20"/>
          <w:szCs w:val="20"/>
          <w:color w:val="auto"/>
        </w:rPr>
      </w:pPr>
    </w:p>
    <w:p>
      <w:pPr>
        <w:jc w:val="both"/>
        <w:ind w:left="-20" w:firstLine="1304"/>
        <w:spacing w:after="0" w:line="251" w:lineRule="auto"/>
        <w:tabs>
          <w:tab w:leader="none" w:pos="17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Upon the reasonable request of any Lender made at least ten (10) Business Days prior to the 2025 Commitment Increase Effective Date, each Borrower shall have provided to such Lender, and such Lender shall be reasonably satisfied with, the documentation and other information so requested in connection with applicable “know your customer” and anti-money-laundering rules and regulations, including, without limitation, the Act, in each case at least three (3) Business Days prior to the 2025 Commitment Increase Effective Date and (ii) at least three (3) Business Days prior to the 2025 Commitment Increase Effective Date, any Loan Party that qualifies as a “legal entity customer” under the Beneficial Ownership Regulation shall have delivered, to each Lender that so requests, a Beneficial Ownership Certification in relation to such Loan Party.</w:t>
      </w:r>
    </w:p>
    <w:p>
      <w:pPr>
        <w:spacing w:after="0" w:line="192" w:lineRule="exact"/>
        <w:rPr>
          <w:rFonts w:ascii="Times New Roman" w:cs="Times New Roman" w:eastAsia="Times New Roman" w:hAnsi="Times New Roman"/>
          <w:sz w:val="20"/>
          <w:szCs w:val="20"/>
          <w:color w:val="auto"/>
        </w:rPr>
      </w:pPr>
    </w:p>
    <w:p>
      <w:pPr>
        <w:ind w:left="-20" w:right="20" w:firstLine="1304"/>
        <w:spacing w:after="0" w:line="310" w:lineRule="auto"/>
        <w:tabs>
          <w:tab w:leader="none" w:pos="1692"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fees set forth in that certain letter agreement, dated March 11, 2025, among the Company, the Administrative Agent and the Arranger, and any other fees required to be paid on or before the 2025 Commitment Increase Effective Date, shall have been paid.</w:t>
      </w:r>
    </w:p>
    <w:p>
      <w:pPr>
        <w:spacing w:after="0" w:line="124" w:lineRule="exact"/>
        <w:rPr>
          <w:rFonts w:ascii="Times New Roman" w:cs="Times New Roman" w:eastAsia="Times New Roman" w:hAnsi="Times New Roman"/>
          <w:sz w:val="19"/>
          <w:szCs w:val="19"/>
          <w:color w:val="auto"/>
        </w:rPr>
      </w:pPr>
    </w:p>
    <w:p>
      <w:pPr>
        <w:jc w:val="both"/>
        <w:ind w:left="-20" w:firstLine="1304"/>
        <w:spacing w:after="0" w:line="261" w:lineRule="auto"/>
        <w:tabs>
          <w:tab w:leader="none" w:pos="1731"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paid all reasonable accrued fees, charges and disbursements of counsel to the Administrative Agent (directly to such counsel if requested by the Administrative Agent) to the extent invoiced prior to or on the 2025 Commitment Increase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40" w:top="1413"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additional amounts of such fees, charges and disbursements as shall constitute its reasonable estimate of such fees, charges and disbursements incurred or to be incurred by it through the closing proceedings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estimate shall not thereafter preclude a final settling of accounts between the Company and the Administrative Agent).</w:t>
      </w:r>
    </w:p>
    <w:p>
      <w:pPr>
        <w:spacing w:after="0" w:line="181" w:lineRule="exact"/>
        <w:rPr>
          <w:sz w:val="20"/>
          <w:szCs w:val="20"/>
          <w:color w:val="auto"/>
        </w:rPr>
      </w:pPr>
    </w:p>
    <w:p>
      <w:pPr>
        <w:jc w:val="both"/>
        <w:ind w:firstLine="1304"/>
        <w:spacing w:after="0" w:line="261" w:lineRule="auto"/>
        <w:tabs>
          <w:tab w:leader="none" w:pos="176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Borrowers shall have delivered to the Administrative Agent not less than five (5) Business Days’ prior written notice specifying the date (which must be before August 1, 2025) that they elect for the amendments set forth in Sections 1.2 and 1.3 of this Amendment to become effective, which notice must be received on or before July 25, 2025.</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3 - MISCELLANEOUS</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3.1 </w:t>
      </w:r>
      <w:r>
        <w:rPr>
          <w:rFonts w:ascii="Times New Roman" w:cs="Times New Roman" w:eastAsia="Times New Roman" w:hAnsi="Times New Roman"/>
          <w:sz w:val="20"/>
          <w:szCs w:val="20"/>
          <w:b w:val="1"/>
          <w:bCs w:val="1"/>
          <w:u w:val="single" w:color="auto"/>
          <w:color w:val="auto"/>
        </w:rPr>
        <w:t>Binding Effect</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Amendment shall be binding upon the parties hereto and their respective successors and assigns and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inure to the benefit of the parties hereto and the successors and assigns of Lender.</w:t>
      </w:r>
    </w:p>
    <w:p>
      <w:pPr>
        <w:spacing w:after="0" w:line="16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3.2 </w:t>
      </w:r>
      <w:r>
        <w:rPr>
          <w:rFonts w:ascii="Times New Roman" w:cs="Times New Roman" w:eastAsia="Times New Roman" w:hAnsi="Times New Roman"/>
          <w:sz w:val="20"/>
          <w:szCs w:val="20"/>
          <w:b w:val="1"/>
          <w:bCs w:val="1"/>
          <w:u w:val="single" w:color="auto"/>
          <w:color w:val="auto"/>
        </w:rPr>
        <w:t>Affirmation of Borrowers and Guarantors</w:t>
      </w:r>
      <w:r>
        <w:rPr>
          <w:rFonts w:ascii="Times New Roman" w:cs="Times New Roman" w:eastAsia="Times New Roman" w:hAnsi="Times New Roman"/>
          <w:sz w:val="20"/>
          <w:szCs w:val="20"/>
          <w:color w:val="auto"/>
        </w:rPr>
        <w:t>. Each Borrower and each Guarantor hereby (a) consents to the amendments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modifications to the Credit Agreement effected hereby, and (b) confirms and agrees that, notwithstanding the effectiveness of this Amendment, each Loan Document to which such Borrower or such Guarantor, as applicable, is a party is, and the obligations of such Borrower or such Guarantor, as applicable, contained in the Credit Agreement, as amended and modified hereby, or in any other Loan Documents to which it is a party are, and shall continue to be, in full force and effect and are hereby ratified and confirmed in all respects, in each case as amended and modified by this Amendment. Without limiting the generality of the foregoing, the execution of this Amendment shall not constitute a novation or discharge of, any obligation of any Loan Party under the Credit Agreement or any other Loan Document, and each Loan Party agrees that the Security Instruments and any other documents or instruments executed, filed or recorded in connection therewith, shall remain outstanding and in full force and effect, and all of the Collateral described therein and Liens granted in favor of the Administrative Agent created thereunder do and shall continue to secure the Obligations and the “Obligations”, “Guarantied Obligations” or “Secured Obligations” (as those terms are defined in the Company Guaranty and the Subsidiary Guaranty) and any other obligations to the extent provided in the Security Instruments and that all such Liens continue to be perfected as security for the Obligations and the “Obligations”, “Guarantied Obligations” or “Secured Obligations” (as those terms are defined in the Company Guaranty and the Subsidiary Guaranty) and any other obligations secured thereby.</w:t>
      </w:r>
    </w:p>
    <w:p>
      <w:pPr>
        <w:spacing w:after="0" w:line="224"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3.3 </w:t>
      </w:r>
      <w:r>
        <w:rPr>
          <w:rFonts w:ascii="Times New Roman" w:cs="Times New Roman" w:eastAsia="Times New Roman" w:hAnsi="Times New Roman"/>
          <w:sz w:val="20"/>
          <w:szCs w:val="20"/>
          <w:b w:val="1"/>
          <w:bCs w:val="1"/>
          <w:u w:val="single" w:color="auto"/>
          <w:color w:val="auto"/>
        </w:rPr>
        <w:t>Representations and Warranties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Borrower and each Guarantor hereby represents and warrants to Administrative 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Lenders that:</w:t>
      </w:r>
    </w:p>
    <w:p>
      <w:pPr>
        <w:spacing w:after="0" w:line="169" w:lineRule="exact"/>
        <w:rPr>
          <w:sz w:val="20"/>
          <w:szCs w:val="20"/>
          <w:color w:val="auto"/>
        </w:rPr>
      </w:pPr>
    </w:p>
    <w:p>
      <w:pPr>
        <w:jc w:val="both"/>
        <w:ind w:firstLine="1304"/>
        <w:spacing w:after="0" w:line="261" w:lineRule="auto"/>
        <w:tabs>
          <w:tab w:leader="none" w:pos="174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has been duly authorized, executed and delivered by each of the other Loan Parties party hereto and constitutes a legal, valid and binding obligation of each such party, except as may be limited by general principles of equity or by the effect of any applicable bankruptcy, insolvency, reorganization, moratorium or similar law affecting creditors’ rights generally.</w:t>
      </w:r>
    </w:p>
    <w:p>
      <w:pPr>
        <w:spacing w:after="0" w:line="289"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6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made by each Loan Party in Article V of the Credit Agreement and in each of the other Loan Documents to which such Loan Party is a party are true and correct in all material respects (or if qualified by materiality or Material Adverse Effect, in all respects) on and as of the 2025 Amendment Effective Date, except to the extent that such representations and warranties expressly relate to an earlier date in which case they are true and correct in all material respects (or if qualified by materiality or Material Adverse Effect, in all respects) as of such earlier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13" w:right="339" w:bottom="1440" w:gutter="0" w:footer="0" w:header="0"/>
        </w:sectPr>
      </w:pPr>
    </w:p>
    <w:bookmarkStart w:id="14" w:name="page15"/>
    <w:bookmarkEnd w:id="14"/>
    <w:p>
      <w:pPr>
        <w:ind w:left="1780" w:hanging="476"/>
        <w:spacing w:after="0"/>
        <w:tabs>
          <w:tab w:leader="none" w:pos="17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continuing as of the 2025 Amendment Effective Date.</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3.4 </w:t>
      </w: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In case any provision in or obligation hereunder shall be invalid, illegal or unenforceable in any jurisdiction,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validity, legality and enforceability of the remaining provisions or obligations, or of such provision or obligation in any other jurisdiction, shall not in any way be affected or impaired thereby.</w:t>
      </w:r>
    </w:p>
    <w:p>
      <w:pPr>
        <w:spacing w:after="0" w:line="18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3.5</w:t>
      </w:r>
      <w:r>
        <w:rPr>
          <w:sz w:val="20"/>
          <w:szCs w:val="20"/>
          <w:color w:val="auto"/>
        </w:rPr>
        <w:tab/>
      </w:r>
      <w:r>
        <w:rPr>
          <w:rFonts w:ascii="Times New Roman" w:cs="Times New Roman" w:eastAsia="Times New Roman" w:hAnsi="Times New Roman"/>
          <w:sz w:val="19"/>
          <w:szCs w:val="19"/>
          <w:b w:val="1"/>
          <w:bCs w:val="1"/>
          <w:u w:val="single" w:color="auto"/>
          <w:color w:val="auto"/>
        </w:rPr>
        <w:t>Reference to and Effect on Credit Agreement and the Loan Documents</w:t>
      </w:r>
      <w:r>
        <w:rPr>
          <w:rFonts w:ascii="Times New Roman" w:cs="Times New Roman" w:eastAsia="Times New Roman" w:hAnsi="Times New Roman"/>
          <w:sz w:val="19"/>
          <w:szCs w:val="19"/>
          <w:b w:val="1"/>
          <w:bCs w:val="1"/>
          <w:color w:val="auto"/>
        </w:rPr>
        <w:t>.</w:t>
      </w:r>
    </w:p>
    <w:p>
      <w:pPr>
        <w:spacing w:after="0" w:line="233" w:lineRule="exact"/>
        <w:rPr>
          <w:sz w:val="20"/>
          <w:szCs w:val="20"/>
          <w:color w:val="auto"/>
        </w:rPr>
      </w:pPr>
    </w:p>
    <w:p>
      <w:pPr>
        <w:jc w:val="both"/>
        <w:ind w:firstLine="1304"/>
        <w:spacing w:after="0" w:line="253" w:lineRule="auto"/>
        <w:tabs>
          <w:tab w:leader="none" w:pos="18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and after the effectiveness of this Amendment, each reference in the Credit Agreement to “this Agreement”, “hereunder”, “hereof” or words of like import referring to the Credit Agreement, and each reference in the Notes and each of the other Loan Documents to “the Credit Agreement”, “thereunder”, “thereof” or words of like import referring to the Credit Agreement, shall mean and be a reference to the Credit Agreement, as amended and modified by this Amendment and as further amended, restated or modified from time to time in accordance with the terms thereof.</w:t>
      </w:r>
    </w:p>
    <w:p>
      <w:pPr>
        <w:spacing w:after="0" w:line="191" w:lineRule="exact"/>
        <w:rPr>
          <w:rFonts w:ascii="Times New Roman" w:cs="Times New Roman" w:eastAsia="Times New Roman" w:hAnsi="Times New Roman"/>
          <w:sz w:val="20"/>
          <w:szCs w:val="20"/>
          <w:color w:val="auto"/>
        </w:rPr>
      </w:pPr>
    </w:p>
    <w:p>
      <w:pPr>
        <w:ind w:firstLine="1304"/>
        <w:spacing w:after="0" w:line="283" w:lineRule="auto"/>
        <w:tabs>
          <w:tab w:leader="none" w:pos="191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Agreement and each of the other Loan Documents, as specifically amended and modified by this Amendment, are and shall continue to be in full force and effect and are hereby in all respects ratified and confirmed.</w:t>
      </w:r>
    </w:p>
    <w:p>
      <w:pPr>
        <w:spacing w:after="0" w:line="146" w:lineRule="exact"/>
        <w:rPr>
          <w:rFonts w:ascii="Times New Roman" w:cs="Times New Roman" w:eastAsia="Times New Roman" w:hAnsi="Times New Roman"/>
          <w:sz w:val="20"/>
          <w:szCs w:val="20"/>
          <w:color w:val="auto"/>
        </w:rPr>
      </w:pPr>
    </w:p>
    <w:p>
      <w:pPr>
        <w:ind w:firstLine="1304"/>
        <w:spacing w:after="0" w:line="283" w:lineRule="auto"/>
        <w:tabs>
          <w:tab w:leader="none" w:pos="173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the Lenders and the Loan Parties agree that this Amendment shall be a Loan Document for all purposes of the Credit Agreement (as specifically amended by this Amendment) and the other Loan Documents.</w:t>
      </w:r>
    </w:p>
    <w:p>
      <w:pPr>
        <w:spacing w:after="0" w:line="14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3.6 </w:t>
      </w:r>
      <w:r>
        <w:rPr>
          <w:rFonts w:ascii="Times New Roman" w:cs="Times New Roman" w:eastAsia="Times New Roman" w:hAnsi="Times New Roman"/>
          <w:sz w:val="20"/>
          <w:szCs w:val="20"/>
          <w:b w:val="1"/>
          <w:bCs w:val="1"/>
          <w:u w:val="single" w:color="auto"/>
          <w:color w:val="auto"/>
        </w:rPr>
        <w:t>No Waiver.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execution, delivery and effectiveness of this Amendment shall not, except as expressly provided herein,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constitute a waiver or novation of any right, power or remedy of any Lender, L/C Issuer, Revolving Swing Line Lender, New Vehicle Floorplan Swing Line Lender, Used Vehicle Floorplan Swing Line Lender or the Administrative Agent under any of the Loan Documents, nor constitute a waiver or novation of any provision of any of the Loan Documents. This Amendment is limited to the matters expressly referred to herein and shall not constitute an amendment or waiver of, or an indication of the Lender's willingness to amend or waive, any other provisions of the Credit Agreement or the same provisions for any other date or purpose.</w:t>
      </w:r>
    </w:p>
    <w:p>
      <w:pPr>
        <w:spacing w:after="0" w:line="21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3.7 </w:t>
      </w:r>
      <w:r>
        <w:rPr>
          <w:rFonts w:ascii="Times New Roman" w:cs="Times New Roman" w:eastAsia="Times New Roman" w:hAnsi="Times New Roman"/>
          <w:sz w:val="20"/>
          <w:szCs w:val="20"/>
          <w:b w:val="1"/>
          <w:bCs w:val="1"/>
          <w:u w:val="single" w:color="auto"/>
          <w:color w:val="auto"/>
        </w:rPr>
        <w:t>Waiver, Modification, Etc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provision or term of this Amendment may be modified, altered, waived, discharged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terminated orally, but only by an instrument in writing executed by the party against whom such modification, alteration, waiver, discharge or termination is sought to be enforced.</w:t>
      </w:r>
    </w:p>
    <w:p>
      <w:pPr>
        <w:spacing w:after="0" w:line="206"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During the period from the date of this Amendment through the earlier of August 1, 2025 and the 2025 Commitment Increase Effective Date, no amendment or waiver of any provision of any Loan Document:</w:t>
      </w:r>
    </w:p>
    <w:p>
      <w:pPr>
        <w:spacing w:after="0" w:line="1" w:lineRule="exact"/>
        <w:rPr>
          <w:sz w:val="20"/>
          <w:szCs w:val="20"/>
          <w:color w:val="auto"/>
        </w:rPr>
      </w:pPr>
    </w:p>
    <w:p>
      <w:pPr>
        <w:ind w:firstLine="1304"/>
        <w:spacing w:after="0" w:line="253" w:lineRule="auto"/>
        <w:tabs>
          <w:tab w:leader="none" w:pos="1767"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requires the written consent of each Lender pursuant to Section 10.01 of the Credit Agreement shall be effective unless such amendment or waiver shall also have received the written consent of each Joining Lender;</w:t>
      </w:r>
    </w:p>
    <w:p>
      <w:pPr>
        <w:spacing w:after="0" w:line="215" w:lineRule="exact"/>
        <w:rPr>
          <w:rFonts w:ascii="Times New Roman" w:cs="Times New Roman" w:eastAsia="Times New Roman" w:hAnsi="Times New Roman"/>
          <w:sz w:val="20"/>
          <w:szCs w:val="20"/>
          <w:color w:val="auto"/>
        </w:rPr>
      </w:pPr>
    </w:p>
    <w:p>
      <w:pPr>
        <w:ind w:firstLine="1304"/>
        <w:spacing w:after="0" w:line="283" w:lineRule="auto"/>
        <w:tabs>
          <w:tab w:leader="none" w:pos="185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would extend or increase the Revolving Commitment, the New Vehicle Floorplan Commitment or the Used Vehicle Floorplan Commitment of any Joining Lender (beyond any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3" w:right="339" w:bottom="1440" w:gutter="0" w:footer="0" w:header="0"/>
        </w:sectPr>
      </w:pPr>
    </w:p>
    <w:bookmarkStart w:id="15" w:name="page16"/>
    <w:bookmarkEnd w:id="15"/>
    <w:p>
      <w:pPr>
        <w:spacing w:after="0" w:line="283" w:lineRule="auto"/>
        <w:rPr>
          <w:sz w:val="20"/>
          <w:szCs w:val="20"/>
          <w:color w:val="auto"/>
        </w:rPr>
      </w:pPr>
      <w:r>
        <w:rPr>
          <w:rFonts w:ascii="Times New Roman" w:cs="Times New Roman" w:eastAsia="Times New Roman" w:hAnsi="Times New Roman"/>
          <w:sz w:val="20"/>
          <w:szCs w:val="20"/>
          <w:color w:val="auto"/>
        </w:rPr>
        <w:t>such Commitment made pursuant to the express terms of this Amendment) shall be effective without the written consent of such Joining Lender; or</w:t>
      </w:r>
    </w:p>
    <w:p>
      <w:pPr>
        <w:spacing w:after="0" w:line="173" w:lineRule="exact"/>
        <w:rPr>
          <w:sz w:val="20"/>
          <w:szCs w:val="20"/>
          <w:color w:val="auto"/>
        </w:rPr>
      </w:pPr>
    </w:p>
    <w:p>
      <w:pPr>
        <w:jc w:val="both"/>
        <w:ind w:firstLine="1304"/>
        <w:spacing w:after="0" w:line="261" w:lineRule="auto"/>
        <w:tabs>
          <w:tab w:leader="none" w:pos="183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requires the written consent of each Lender directly affected thereby pursuant to Section 10.01 of the Credit Agreement and that would directly affect any Joining Lender shall be effective unless such amendment or waiver shall also have received the written consent of such Joining Lender.</w:t>
      </w:r>
    </w:p>
    <w:p>
      <w:pPr>
        <w:spacing w:after="0" w:line="204"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3.8 </w:t>
      </w:r>
      <w:r>
        <w:rPr>
          <w:rFonts w:ascii="Times New Roman" w:cs="Times New Roman" w:eastAsia="Times New Roman" w:hAnsi="Times New Roman"/>
          <w:sz w:val="20"/>
          <w:szCs w:val="20"/>
          <w:b w:val="1"/>
          <w:bCs w:val="1"/>
          <w:u w:val="single" w:color="auto"/>
          <w:color w:val="auto"/>
        </w:rPr>
        <w:t>Headings</w:t>
      </w:r>
      <w:r>
        <w:rPr>
          <w:rFonts w:ascii="Times New Roman" w:cs="Times New Roman" w:eastAsia="Times New Roman" w:hAnsi="Times New Roman"/>
          <w:sz w:val="20"/>
          <w:szCs w:val="20"/>
          <w:color w:val="auto"/>
        </w:rPr>
        <w:t>. Section headings herein are included herein for convenience of reference only and shall not constitute a part hereof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any other purpose or be given any substantive effect.</w:t>
      </w:r>
    </w:p>
    <w:p>
      <w:pPr>
        <w:spacing w:after="0" w:line="16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3.9 </w:t>
      </w: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AMENDMENT SHALL BE GOVERNED BY, AND CONSTRUED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LAW OF THE STATE OF NEW YORK.</w:t>
      </w:r>
    </w:p>
    <w:p>
      <w:pPr>
        <w:spacing w:after="0" w:line="1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3.10 </w:t>
      </w: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Amendment may be executed in any number of counterparts, each of which when so executed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delivered shall he deemed an original, but all such counterparts together shall constitute but one and the same instrument. Signature pages may be detached from multiple separate counterparts and attached to a single counterpart so that all signature pages are attached to the same document. Delivery of an executed signature page of this Amendment by facsimile transmission or electronic mail shall be as effective as delivery of a manually executed counterpart hereof.</w:t>
      </w:r>
    </w:p>
    <w:p>
      <w:pPr>
        <w:spacing w:after="0" w:line="19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3.11 </w:t>
      </w:r>
      <w:r>
        <w:rPr>
          <w:rFonts w:ascii="Times New Roman" w:cs="Times New Roman" w:eastAsia="Times New Roman" w:hAnsi="Times New Roman"/>
          <w:sz w:val="20"/>
          <w:szCs w:val="20"/>
          <w:b w:val="1"/>
          <w:bCs w:val="1"/>
          <w:u w:val="single" w:color="auto"/>
          <w:color w:val="auto"/>
        </w:rPr>
        <w:t>Lender Joinder</w:t>
      </w:r>
      <w:r>
        <w:rPr>
          <w:rFonts w:ascii="Times New Roman" w:cs="Times New Roman" w:eastAsia="Times New Roman" w:hAnsi="Times New Roman"/>
          <w:sz w:val="20"/>
          <w:szCs w:val="20"/>
          <w:color w:val="auto"/>
        </w:rPr>
        <w:t>. As of the 2025 Commitment Increase Effective Date, each of the Persons identified on the signature pages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hereto as a Joining Lender (each a “</w:t>
      </w:r>
      <w:r>
        <w:rPr>
          <w:rFonts w:ascii="Times New Roman" w:cs="Times New Roman" w:eastAsia="Times New Roman" w:hAnsi="Times New Roman"/>
          <w:sz w:val="20"/>
          <w:szCs w:val="20"/>
          <w:u w:val="single" w:color="auto"/>
          <w:color w:val="auto"/>
        </w:rPr>
        <w:t>Joining Lender</w:t>
      </w:r>
      <w:r>
        <w:rPr>
          <w:rFonts w:ascii="Times New Roman" w:cs="Times New Roman" w:eastAsia="Times New Roman" w:hAnsi="Times New Roman"/>
          <w:sz w:val="20"/>
          <w:szCs w:val="20"/>
          <w:color w:val="auto"/>
        </w:rPr>
        <w:t xml:space="preserve">”) acknowledges, agrees and confirms, by its execution of this Amendment, (a) it will be deemed to be a party to the Credit Agreement and a “Lender” for all purposes of the Credit Agreement and the other Loan Documents, and shall have all of the obligations of a Lender under the Credit Agreement as if it had executed the Credit Agreement; (b) to be bound by, all of the terms, provisions and conditions contained in the Credit Agreement; (c) its Commitment and Applicable Percentage shall be as set forth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attached as </w:t>
      </w:r>
      <w:r>
        <w:rPr>
          <w:rFonts w:ascii="Times New Roman" w:cs="Times New Roman" w:eastAsia="Times New Roman" w:hAnsi="Times New Roman"/>
          <w:sz w:val="20"/>
          <w:szCs w:val="20"/>
          <w:u w:val="single" w:color="auto"/>
          <w:color w:val="auto"/>
        </w:rPr>
        <w:t>Annex B</w:t>
      </w:r>
      <w:r>
        <w:rPr>
          <w:rFonts w:ascii="Times New Roman" w:cs="Times New Roman" w:eastAsia="Times New Roman" w:hAnsi="Times New Roman"/>
          <w:sz w:val="20"/>
          <w:szCs w:val="20"/>
          <w:color w:val="auto"/>
        </w:rPr>
        <w:t xml:space="preserve"> hereto; (d) it is sophisticated with respect to decisions to acquire assets of the type represented by its Commitment and either it, or the Person exercising discretion in making its decision to acquire such Commitment, is experienced in acquiring assets of such type; (e) it has received a copy of the Credit Agreement, and has received or has been accorded the opportunity to receive copies of the most recent financial statements delivered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thereof, as applicable, and such other documents and information as it deems appropriate to make its own credit analysis and decision to enter into this Amendment and to acquire its Commitment; (f) it will, independently and without reliance upon the Administrative Agent, any other Lender or any of their Related Parties and based on such documents and information as it shall from time to time deem appropriate, continue to make its own decisions in taking or not taking action under or based upon the Credit Agreement, any other Loan Document or any related agreement or any document furnished hereunder or thereunder; (g) it is not primarily engaged in the business of owning or operating automobile dealerships, (h) it is not a Competitor; (i) it has full power and authority, and has taken all action necessary, to execute and deliver this Amendment and to consummate the transactions contemplated hereby and to become a Lender under the Credit Agreement; (j) it has provided the Administrative Agent with its administrative details, together with any documentation required to be delivered pursuant to the terms of the Credit Agreement if such Joining Lender is a Foreign Lender; and (k) it will perform in accordance with their terms all of the obligations which by the terms of the Loan Documents are required to be performed by it as a Lender.</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1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Amendment to be duly executed as of the date first above written.</w:t>
      </w:r>
    </w:p>
    <w:p>
      <w:pPr>
        <w:sectPr>
          <w:pgSz w:w="11900" w:h="16838" w:orient="portrait"/>
          <w:cols w:equalWidth="0" w:num="1">
            <w:col w:w="10320"/>
          </w:cols>
          <w:pgMar w:left="980" w:top="1409" w:right="599" w:bottom="1440" w:gutter="0" w:footer="0" w:header="0"/>
        </w:sectPr>
      </w:pPr>
    </w:p>
    <w:p>
      <w:pPr>
        <w:spacing w:after="0" w:line="24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ASBURY AUTOMOTIVE GROUP, INC.</w:t>
      </w:r>
    </w:p>
    <w:p>
      <w:pPr>
        <w:spacing w:after="0" w:line="328" w:lineRule="exact"/>
        <w:rPr>
          <w:sz w:val="20"/>
          <w:szCs w:val="20"/>
          <w:color w:val="auto"/>
        </w:rPr>
      </w:pPr>
    </w:p>
    <w:p>
      <w:pPr>
        <w:ind w:left="3240"/>
        <w:spacing w:after="0"/>
        <w:tabs>
          <w:tab w:leader="none" w:pos="39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David W.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2236470</wp:posOffset>
            </wp:positionH>
            <wp:positionV relativeFrom="paragraph">
              <wp:posOffset>-10795</wp:posOffset>
            </wp:positionV>
            <wp:extent cx="15100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0030" cy="8890"/>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480" w:val="left"/>
        </w:tabs>
        <w:rPr>
          <w:sz w:val="20"/>
          <w:szCs w:val="20"/>
          <w:color w:val="auto"/>
        </w:rPr>
      </w:pPr>
      <w:r>
        <w:rPr>
          <w:rFonts w:ascii="Times New Roman" w:cs="Times New Roman" w:eastAsia="Times New Roman" w:hAnsi="Times New Roman"/>
          <w:sz w:val="20"/>
          <w:szCs w:val="20"/>
          <w:color w:val="auto"/>
        </w:rPr>
        <w:t>Typed Name:</w:t>
      </w:r>
      <w:r>
        <w:rPr>
          <w:sz w:val="20"/>
          <w:szCs w:val="20"/>
          <w:color w:val="auto"/>
        </w:rPr>
        <w:tab/>
      </w:r>
      <w:r>
        <w:rPr>
          <w:rFonts w:ascii="Times New Roman" w:cs="Times New Roman" w:eastAsia="Times New Roman" w:hAnsi="Times New Roman"/>
          <w:sz w:val="19"/>
          <w:szCs w:val="19"/>
          <w:color w:val="auto"/>
        </w:rPr>
        <w:t>David W. Hult</w:t>
      </w:r>
    </w:p>
    <w:p>
      <w:pPr>
        <w:spacing w:after="0" w:line="6" w:lineRule="exact"/>
        <w:rPr>
          <w:sz w:val="20"/>
          <w:szCs w:val="20"/>
          <w:color w:val="auto"/>
        </w:rPr>
      </w:pPr>
    </w:p>
    <w:p>
      <w:pPr>
        <w:ind w:left="3240"/>
        <w:spacing w:after="0"/>
        <w:tabs>
          <w:tab w:leader="none" w:pos="4380" w:val="left"/>
        </w:tabs>
        <w:rPr>
          <w:sz w:val="20"/>
          <w:szCs w:val="20"/>
          <w:color w:val="auto"/>
        </w:rPr>
      </w:pPr>
      <w:r>
        <w:rPr>
          <w:rFonts w:ascii="Times New Roman" w:cs="Times New Roman" w:eastAsia="Times New Roman" w:hAnsi="Times New Roman"/>
          <w:sz w:val="20"/>
          <w:szCs w:val="20"/>
          <w:color w:val="auto"/>
        </w:rPr>
        <w:t>Typed Title:</w:t>
      </w:r>
      <w:r>
        <w:rPr>
          <w:sz w:val="20"/>
          <w:szCs w:val="20"/>
          <w:color w:val="auto"/>
        </w:rPr>
        <w:tab/>
      </w:r>
      <w:r>
        <w:rPr>
          <w:rFonts w:ascii="Times New Roman" w:cs="Times New Roman" w:eastAsia="Times New Roman" w:hAnsi="Times New Roman"/>
          <w:sz w:val="19"/>
          <w:szCs w:val="19"/>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320"/>
          </w:cols>
          <w:pgMar w:left="980" w:top="1409" w:right="599" w:bottom="1440" w:gutter="0" w:footer="0" w:header="0"/>
          <w:type w:val="continuous"/>
        </w:sectPr>
      </w:pPr>
    </w:p>
    <w:bookmarkStart w:id="17" w:name="page18"/>
    <w:bookmarkEnd w:id="17"/>
    <w:p>
      <w:pPr>
        <w:ind w:left="2780"/>
        <w:spacing w:after="0"/>
        <w:rPr>
          <w:sz w:val="20"/>
          <w:szCs w:val="20"/>
          <w:color w:val="auto"/>
        </w:rPr>
      </w:pPr>
      <w:r>
        <w:rPr>
          <w:rFonts w:ascii="Times New Roman" w:cs="Times New Roman" w:eastAsia="Times New Roman" w:hAnsi="Times New Roman"/>
          <w:sz w:val="20"/>
          <w:szCs w:val="20"/>
          <w:b w:val="1"/>
          <w:bCs w:val="1"/>
          <w:u w:val="single" w:color="auto"/>
          <w:color w:val="auto"/>
        </w:rPr>
        <w:t>NEW VEHICLE BORROWERS:</w:t>
      </w:r>
    </w:p>
    <w:p>
      <w:pPr>
        <w:spacing w:after="0" w:line="1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ANT, LLC</w:t>
      </w:r>
    </w:p>
    <w:p>
      <w:pPr>
        <w:spacing w:after="0" w:line="2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AR NISS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ARLINGTON MB,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ART,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AC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AU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BM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CHEV,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HON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HUND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INF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INFINITI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K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LEX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NIS II,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NIS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TOY 2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TOY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VB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AURORA TOY,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BRANDON, L.P.</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ST. LOUIS,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WEST,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CATONSVILLE M,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CH MOTORS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CLARKSVILLE CBG,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CO CDJR,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CO GEN,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CO HG,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CO LEX,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CO SUB,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DALLAS MB,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DALLAS POR,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DALLAS VOL,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DELAND HUND,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ASBURY-DELAND IMPORTS,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DFW JLR,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EASTON 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FORT WORTH MB,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GEORGIA TOY,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GREELEY SUB,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IN CBG,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IN CDJ, LLC</w:t>
      </w:r>
    </w:p>
    <w:p>
      <w:pPr>
        <w:spacing w:after="0" w:line="128"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w w:val="89"/>
              </w:rPr>
              <w:t>By:</w:t>
            </w:r>
          </w:p>
        </w:tc>
        <w:tc>
          <w:tcPr>
            <w:tcW w:w="23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20"/>
                <w:szCs w:val="20"/>
                <w:color w:val="auto"/>
              </w:rPr>
              <w:t>/s/ David W. Hult</w:t>
            </w:r>
          </w:p>
        </w:tc>
        <w:tc>
          <w:tcPr>
            <w:tcW w:w="1560" w:type="dxa"/>
            <w:vAlign w:val="bottom"/>
          </w:tcPr>
          <w:p>
            <w:pPr>
              <w:spacing w:after="0"/>
              <w:rPr>
                <w:sz w:val="19"/>
                <w:szCs w:val="19"/>
                <w:color w:val="auto"/>
              </w:rPr>
            </w:pPr>
          </w:p>
        </w:tc>
      </w:tr>
      <w:tr>
        <w:trPr>
          <w:trHeight w:val="241"/>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Typed Name:</w:t>
            </w:r>
          </w:p>
        </w:tc>
        <w:tc>
          <w:tcPr>
            <w:tcW w:w="30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David W. Hult</w:t>
            </w:r>
          </w:p>
        </w:tc>
      </w:tr>
      <w:tr>
        <w:trPr>
          <w:trHeight w:val="258"/>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Typed Title:</w:t>
            </w:r>
          </w:p>
        </w:tc>
        <w:tc>
          <w:tcPr>
            <w:tcW w:w="30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8"/>
              </w:rPr>
              <w:t>President and Chief Executive Officer</w:t>
            </w:r>
          </w:p>
        </w:tc>
      </w:tr>
    </w:tbl>
    <w:p>
      <w:pPr>
        <w:spacing w:after="0" w:line="200" w:lineRule="exact"/>
        <w:rPr>
          <w:sz w:val="20"/>
          <w:szCs w:val="20"/>
          <w:color w:val="auto"/>
        </w:rPr>
      </w:pPr>
    </w:p>
    <w:p>
      <w:pPr>
        <w:sectPr>
          <w:pgSz w:w="11900" w:h="16838" w:orient="portrait"/>
          <w:cols w:equalWidth="0" w:num="1">
            <w:col w:w="9019"/>
          </w:cols>
          <w:pgMar w:left="1440" w:top="1409"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type w:val="continuous"/>
        </w:sectPr>
      </w:pPr>
    </w:p>
    <w:bookmarkStart w:id="18" w:name="page19"/>
    <w:bookmarkEnd w:id="18"/>
    <w:p>
      <w:pPr>
        <w:ind w:left="2780"/>
        <w:spacing w:after="0"/>
        <w:rPr>
          <w:sz w:val="20"/>
          <w:szCs w:val="20"/>
          <w:color w:val="auto"/>
        </w:rPr>
      </w:pPr>
      <w:r>
        <w:rPr>
          <w:rFonts w:ascii="Times New Roman" w:cs="Times New Roman" w:eastAsia="Times New Roman" w:hAnsi="Times New Roman"/>
          <w:sz w:val="20"/>
          <w:szCs w:val="20"/>
          <w:b w:val="1"/>
          <w:bCs w:val="1"/>
          <w:u w:val="single" w:color="auto"/>
          <w:color w:val="auto"/>
        </w:rPr>
        <w:t xml:space="preserve">NEW VEHICLE BORROWERS, </w:t>
      </w:r>
      <w:r>
        <w:rPr>
          <w:rFonts w:ascii="Times New Roman" w:cs="Times New Roman" w:eastAsia="Times New Roman" w:hAnsi="Times New Roman"/>
          <w:sz w:val="20"/>
          <w:szCs w:val="20"/>
          <w:b w:val="1"/>
          <w:bCs w:val="1"/>
          <w:i w:val="1"/>
          <w:iCs w:val="1"/>
          <w:u w:val="single" w:color="auto"/>
          <w:color w:val="auto"/>
        </w:rPr>
        <w:t>continued</w:t>
      </w:r>
      <w:r>
        <w:rPr>
          <w:rFonts w:ascii="Times New Roman" w:cs="Times New Roman" w:eastAsia="Times New Roman" w:hAnsi="Times New Roman"/>
          <w:sz w:val="20"/>
          <w:szCs w:val="20"/>
          <w:b w:val="1"/>
          <w:bCs w:val="1"/>
          <w:u w:val="single" w:color="auto"/>
          <w:color w:val="auto"/>
        </w:rPr>
        <w:t>:</w:t>
      </w:r>
    </w:p>
    <w:p>
      <w:pPr>
        <w:spacing w:after="0" w:line="1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IN CHEV, LLC</w:t>
      </w:r>
    </w:p>
    <w:p>
      <w:pPr>
        <w:spacing w:after="0" w:line="2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IN FORD,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IN HON,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IN TOY,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INDY CHEV,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JAX AC,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JAX HON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LAKEWOOD CHEV,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LAKEWOOD TOY,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LITTLETON JLR,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LITTLETON POR,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LONGMONT HUND,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MS CHEV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NOBLESVILLE CDJR,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OMK,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PLANO LEX,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SC JPV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SC LEX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SC TOY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ST. LOUIS LEX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ST. LOUIS LR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ST. LOUIS M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TX AUCTION,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TYSONS CBG,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TYSONS CDJR,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TYSONS 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WESTMINSTER T,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WILMINGTON L,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WMC,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WMV,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CH MOTORS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CHO PARTNERSHIP, LTD.</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CN MOTORS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COGGIN CARS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COGGIN CHEVROLET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CHH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FDO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GAC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GBM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GDO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GHO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GNI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GVO L.L.C.</w:t>
      </w:r>
    </w:p>
    <w:p>
      <w:pPr>
        <w:spacing w:after="0" w:line="146"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David W.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5100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0030" cy="8890"/>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4020" w:val="left"/>
        </w:tabs>
        <w:rPr>
          <w:sz w:val="20"/>
          <w:szCs w:val="20"/>
          <w:color w:val="auto"/>
        </w:rPr>
      </w:pPr>
      <w:r>
        <w:rPr>
          <w:rFonts w:ascii="Times New Roman" w:cs="Times New Roman" w:eastAsia="Times New Roman" w:hAnsi="Times New Roman"/>
          <w:sz w:val="20"/>
          <w:szCs w:val="20"/>
          <w:color w:val="auto"/>
        </w:rPr>
        <w:t>Typed Name:</w:t>
      </w:r>
      <w:r>
        <w:rPr>
          <w:sz w:val="20"/>
          <w:szCs w:val="20"/>
          <w:color w:val="auto"/>
        </w:rPr>
        <w:tab/>
      </w:r>
      <w:r>
        <w:rPr>
          <w:rFonts w:ascii="Times New Roman" w:cs="Times New Roman" w:eastAsia="Times New Roman" w:hAnsi="Times New Roman"/>
          <w:sz w:val="19"/>
          <w:szCs w:val="19"/>
          <w:color w:val="auto"/>
        </w:rPr>
        <w:t>David W. Hult</w:t>
      </w:r>
    </w:p>
    <w:p>
      <w:pPr>
        <w:spacing w:after="0" w:line="6" w:lineRule="exact"/>
        <w:rPr>
          <w:sz w:val="20"/>
          <w:szCs w:val="20"/>
          <w:color w:val="auto"/>
        </w:rPr>
      </w:pPr>
    </w:p>
    <w:p>
      <w:pPr>
        <w:ind w:left="2780"/>
        <w:spacing w:after="0"/>
        <w:tabs>
          <w:tab w:leader="none" w:pos="3920" w:val="left"/>
        </w:tabs>
        <w:rPr>
          <w:sz w:val="20"/>
          <w:szCs w:val="20"/>
          <w:color w:val="auto"/>
        </w:rPr>
      </w:pPr>
      <w:r>
        <w:rPr>
          <w:rFonts w:ascii="Times New Roman" w:cs="Times New Roman" w:eastAsia="Times New Roman" w:hAnsi="Times New Roman"/>
          <w:sz w:val="20"/>
          <w:szCs w:val="20"/>
          <w:color w:val="auto"/>
        </w:rPr>
        <w:t>Typed Title:</w:t>
      </w:r>
      <w:r>
        <w:rPr>
          <w:sz w:val="20"/>
          <w:szCs w:val="20"/>
          <w:color w:val="auto"/>
        </w:rPr>
        <w:tab/>
      </w:r>
      <w:r>
        <w:rPr>
          <w:rFonts w:ascii="Times New Roman" w:cs="Times New Roman" w:eastAsia="Times New Roman" w:hAnsi="Times New Roman"/>
          <w:sz w:val="19"/>
          <w:szCs w:val="19"/>
          <w:color w:val="auto"/>
        </w:rPr>
        <w:t>President and Chief Executive Officer</w:t>
      </w:r>
    </w:p>
    <w:p>
      <w:pPr>
        <w:sectPr>
          <w:pgSz w:w="11900" w:h="16838" w:orient="portrait"/>
          <w:cols w:equalWidth="0" w:num="1">
            <w:col w:w="9019"/>
          </w:cols>
          <w:pgMar w:left="144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type w:val="continuous"/>
        </w:sectPr>
      </w:pPr>
    </w:p>
    <w:bookmarkStart w:id="19" w:name="page20"/>
    <w:bookmarkEnd w:id="19"/>
    <w:p>
      <w:pPr>
        <w:ind w:left="2780"/>
        <w:spacing w:after="0"/>
        <w:rPr>
          <w:sz w:val="20"/>
          <w:szCs w:val="20"/>
          <w:color w:val="auto"/>
        </w:rPr>
      </w:pPr>
      <w:r>
        <w:rPr>
          <w:rFonts w:ascii="Times New Roman" w:cs="Times New Roman" w:eastAsia="Times New Roman" w:hAnsi="Times New Roman"/>
          <w:sz w:val="20"/>
          <w:szCs w:val="20"/>
          <w:b w:val="1"/>
          <w:bCs w:val="1"/>
          <w:u w:val="single" w:color="auto"/>
          <w:color w:val="auto"/>
        </w:rPr>
        <w:t xml:space="preserve">NEW VEHICLE BORROWERS, </w:t>
      </w:r>
      <w:r>
        <w:rPr>
          <w:rFonts w:ascii="Times New Roman" w:cs="Times New Roman" w:eastAsia="Times New Roman" w:hAnsi="Times New Roman"/>
          <w:sz w:val="20"/>
          <w:szCs w:val="20"/>
          <w:b w:val="1"/>
          <w:bCs w:val="1"/>
          <w:i w:val="1"/>
          <w:iCs w:val="1"/>
          <w:u w:val="single" w:color="auto"/>
          <w:color w:val="auto"/>
        </w:rPr>
        <w:t>continued</w:t>
      </w:r>
      <w:r>
        <w:rPr>
          <w:rFonts w:ascii="Times New Roman" w:cs="Times New Roman" w:eastAsia="Times New Roman" w:hAnsi="Times New Roman"/>
          <w:sz w:val="20"/>
          <w:szCs w:val="20"/>
          <w:b w:val="1"/>
          <w:bCs w:val="1"/>
          <w:u w:val="single" w:color="auto"/>
          <w:color w:val="auto"/>
        </w:rPr>
        <w:t>:</w:t>
      </w:r>
    </w:p>
    <w:p>
      <w:pPr>
        <w:spacing w:after="0" w:line="1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MOTORCAR COMPANY L.L.C.</w:t>
      </w:r>
    </w:p>
    <w:p>
      <w:pPr>
        <w:spacing w:after="0" w:line="2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WOODBRIDGE BG,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WOODBRIDGE H,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WOODBRIDGE K,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AVENUES MOTORS, LTD.</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BFP MOTORS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CFP MOTORS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PBM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RIA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RIB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SNI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CSA IMPORTS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ESCUDE-NN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ESCUDE-NS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ESCUDE-T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HFP MOTORS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KP MOTORS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LARRY H. MILLER COMPANY – BOUNTIFUL, L.L.C.</w:t>
      </w:r>
    </w:p>
    <w:p>
      <w:pPr>
        <w:spacing w:after="0" w:line="1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ACD,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ACJ,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ADR,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ALH,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AMT,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ANI,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AVW,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BCD,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BSU,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BUC,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CHV,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CTO,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DCJ,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DDR,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DNI,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FLT,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HOB,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HON,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HYN,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LCJ,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LEX,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LFO,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LMD,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MBL,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MNI,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MUR, LLC</w:t>
      </w:r>
    </w:p>
    <w:p>
      <w:pPr>
        <w:spacing w:after="0" w:line="153"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David W.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5100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0030" cy="8255"/>
                    </a:xfrm>
                    <a:prstGeom prst="rect">
                      <a:avLst/>
                    </a:prstGeom>
                    <a:noFill/>
                  </pic:spPr>
                </pic:pic>
              </a:graphicData>
            </a:graphic>
          </wp:anchor>
        </w:drawing>
      </w:r>
    </w:p>
    <w:p>
      <w:pPr>
        <w:spacing w:after="0" w:line="2" w:lineRule="exact"/>
        <w:rPr>
          <w:sz w:val="20"/>
          <w:szCs w:val="20"/>
          <w:color w:val="auto"/>
        </w:rPr>
      </w:pPr>
    </w:p>
    <w:p>
      <w:pPr>
        <w:ind w:left="2780"/>
        <w:spacing w:after="0"/>
        <w:tabs>
          <w:tab w:leader="none" w:pos="4020" w:val="left"/>
        </w:tabs>
        <w:rPr>
          <w:sz w:val="20"/>
          <w:szCs w:val="20"/>
          <w:color w:val="auto"/>
        </w:rPr>
      </w:pPr>
      <w:r>
        <w:rPr>
          <w:rFonts w:ascii="Times New Roman" w:cs="Times New Roman" w:eastAsia="Times New Roman" w:hAnsi="Times New Roman"/>
          <w:sz w:val="20"/>
          <w:szCs w:val="20"/>
          <w:color w:val="auto"/>
        </w:rPr>
        <w:t>Typed Name:</w:t>
      </w:r>
      <w:r>
        <w:rPr>
          <w:sz w:val="20"/>
          <w:szCs w:val="20"/>
          <w:color w:val="auto"/>
        </w:rPr>
        <w:tab/>
      </w:r>
      <w:r>
        <w:rPr>
          <w:rFonts w:ascii="Times New Roman" w:cs="Times New Roman" w:eastAsia="Times New Roman" w:hAnsi="Times New Roman"/>
          <w:sz w:val="19"/>
          <w:szCs w:val="19"/>
          <w:color w:val="auto"/>
        </w:rPr>
        <w:t>David W. Hult</w:t>
      </w:r>
    </w:p>
    <w:p>
      <w:pPr>
        <w:spacing w:after="0" w:line="6" w:lineRule="exact"/>
        <w:rPr>
          <w:sz w:val="20"/>
          <w:szCs w:val="20"/>
          <w:color w:val="auto"/>
        </w:rPr>
      </w:pPr>
    </w:p>
    <w:p>
      <w:pPr>
        <w:ind w:left="2780"/>
        <w:spacing w:after="0"/>
        <w:tabs>
          <w:tab w:leader="none" w:pos="3920" w:val="left"/>
        </w:tabs>
        <w:rPr>
          <w:sz w:val="20"/>
          <w:szCs w:val="20"/>
          <w:color w:val="auto"/>
        </w:rPr>
      </w:pPr>
      <w:r>
        <w:rPr>
          <w:rFonts w:ascii="Times New Roman" w:cs="Times New Roman" w:eastAsia="Times New Roman" w:hAnsi="Times New Roman"/>
          <w:sz w:val="20"/>
          <w:szCs w:val="20"/>
          <w:color w:val="auto"/>
        </w:rPr>
        <w:t>Typed Title:</w:t>
      </w:r>
      <w:r>
        <w:rPr>
          <w:sz w:val="20"/>
          <w:szCs w:val="20"/>
          <w:color w:val="auto"/>
        </w:rPr>
        <w:tab/>
      </w:r>
      <w:r>
        <w:rPr>
          <w:rFonts w:ascii="Times New Roman" w:cs="Times New Roman" w:eastAsia="Times New Roman" w:hAnsi="Times New Roman"/>
          <w:sz w:val="19"/>
          <w:szCs w:val="19"/>
          <w:color w:val="auto"/>
        </w:rPr>
        <w:t>President and Chief Executive Officer</w:t>
      </w:r>
    </w:p>
    <w:p>
      <w:pPr>
        <w:sectPr>
          <w:pgSz w:w="11900" w:h="16838" w:orient="portrait"/>
          <w:cols w:equalWidth="0" w:num="1">
            <w:col w:w="9019"/>
          </w:cols>
          <w:pgMar w:left="144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type w:val="continuous"/>
        </w:sectPr>
      </w:pPr>
    </w:p>
    <w:bookmarkStart w:id="20" w:name="page21"/>
    <w:bookmarkEnd w:id="20"/>
    <w:p>
      <w:pPr>
        <w:ind w:left="2780"/>
        <w:spacing w:after="0"/>
        <w:rPr>
          <w:sz w:val="20"/>
          <w:szCs w:val="20"/>
          <w:color w:val="auto"/>
        </w:rPr>
      </w:pPr>
      <w:r>
        <w:rPr>
          <w:rFonts w:ascii="Times New Roman" w:cs="Times New Roman" w:eastAsia="Times New Roman" w:hAnsi="Times New Roman"/>
          <w:sz w:val="20"/>
          <w:szCs w:val="20"/>
          <w:b w:val="1"/>
          <w:bCs w:val="1"/>
          <w:u w:val="single" w:color="auto"/>
          <w:color w:val="auto"/>
        </w:rPr>
        <w:t xml:space="preserve">NEW VEHICLE BORROWERS, </w:t>
      </w:r>
      <w:r>
        <w:rPr>
          <w:rFonts w:ascii="Times New Roman" w:cs="Times New Roman" w:eastAsia="Times New Roman" w:hAnsi="Times New Roman"/>
          <w:sz w:val="20"/>
          <w:szCs w:val="20"/>
          <w:b w:val="1"/>
          <w:bCs w:val="1"/>
          <w:i w:val="1"/>
          <w:iCs w:val="1"/>
          <w:u w:val="single" w:color="auto"/>
          <w:color w:val="auto"/>
        </w:rPr>
        <w:t>continued</w:t>
      </w:r>
      <w:r>
        <w:rPr>
          <w:rFonts w:ascii="Times New Roman" w:cs="Times New Roman" w:eastAsia="Times New Roman" w:hAnsi="Times New Roman"/>
          <w:sz w:val="20"/>
          <w:szCs w:val="20"/>
          <w:b w:val="1"/>
          <w:bCs w:val="1"/>
          <w:u w:val="single" w:color="auto"/>
          <w:color w:val="auto"/>
        </w:rPr>
        <w:t>:</w:t>
      </w:r>
    </w:p>
    <w:p>
      <w:pPr>
        <w:spacing w:after="0" w:line="1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NHR, LLC</w:t>
      </w:r>
    </w:p>
    <w:p>
      <w:pPr>
        <w:spacing w:after="0" w:line="2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PCD,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PCH,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PEORIA GEN,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PFL,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PNX,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QCH,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QCJ,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RCD,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SCD,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SFL,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SFO,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SHO,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SWH,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TCD,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TCJ,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TDR,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TSD,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TVW,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UCN,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UCO,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UCS,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MCDAVID AUSTIN-ACRA,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MCDAVID FRISCO-HON,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MCDAVID HOUSTON-NISS,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MCDAVID IRVING-HON,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MCDAVID PLANO-ACRA,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NP MZD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NP VKW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OSBORN/MILLER AUTOMOTIVE,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PRECISION INFINITI, INC.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PRECISION MOTORCARS, INC.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PRECISION NISSAN, INC.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PREMIER NSN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PREMIER PON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PRESTIGE BAY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PRESTIGE TOY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 AUTOMOTIVE BRANDON FL,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 AUTOMOTIVE CUMMING GA,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 AUTOMOTIVE FT. MYERS FL,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 AUTOMOTIVE HOLIDAY FL,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 AUTOMOTIVE JACKSONVILLE FL,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 AUTOMOTIVE KENNESAW GA, LLC</w:t>
      </w:r>
    </w:p>
    <w:p>
      <w:pPr>
        <w:spacing w:after="0" w:line="146"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David W.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5100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0030" cy="8890"/>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4020" w:val="left"/>
        </w:tabs>
        <w:rPr>
          <w:sz w:val="20"/>
          <w:szCs w:val="20"/>
          <w:color w:val="auto"/>
        </w:rPr>
      </w:pPr>
      <w:r>
        <w:rPr>
          <w:rFonts w:ascii="Times New Roman" w:cs="Times New Roman" w:eastAsia="Times New Roman" w:hAnsi="Times New Roman"/>
          <w:sz w:val="20"/>
          <w:szCs w:val="20"/>
          <w:color w:val="auto"/>
        </w:rPr>
        <w:t>Typed Name:</w:t>
      </w:r>
      <w:r>
        <w:rPr>
          <w:sz w:val="20"/>
          <w:szCs w:val="20"/>
          <w:color w:val="auto"/>
        </w:rPr>
        <w:tab/>
      </w:r>
      <w:r>
        <w:rPr>
          <w:rFonts w:ascii="Times New Roman" w:cs="Times New Roman" w:eastAsia="Times New Roman" w:hAnsi="Times New Roman"/>
          <w:sz w:val="19"/>
          <w:szCs w:val="19"/>
          <w:color w:val="auto"/>
        </w:rPr>
        <w:t>David W. Hult</w:t>
      </w:r>
    </w:p>
    <w:p>
      <w:pPr>
        <w:spacing w:after="0" w:line="6" w:lineRule="exact"/>
        <w:rPr>
          <w:sz w:val="20"/>
          <w:szCs w:val="20"/>
          <w:color w:val="auto"/>
        </w:rPr>
      </w:pPr>
    </w:p>
    <w:p>
      <w:pPr>
        <w:ind w:left="2780"/>
        <w:spacing w:after="0"/>
        <w:tabs>
          <w:tab w:leader="none" w:pos="3920" w:val="left"/>
        </w:tabs>
        <w:rPr>
          <w:sz w:val="20"/>
          <w:szCs w:val="20"/>
          <w:color w:val="auto"/>
        </w:rPr>
      </w:pPr>
      <w:r>
        <w:rPr>
          <w:rFonts w:ascii="Times New Roman" w:cs="Times New Roman" w:eastAsia="Times New Roman" w:hAnsi="Times New Roman"/>
          <w:sz w:val="20"/>
          <w:szCs w:val="20"/>
          <w:color w:val="auto"/>
        </w:rPr>
        <w:t>Typed Title:</w:t>
      </w:r>
      <w:r>
        <w:rPr>
          <w:sz w:val="20"/>
          <w:szCs w:val="20"/>
          <w:color w:val="auto"/>
        </w:rPr>
        <w:tab/>
      </w:r>
      <w:r>
        <w:rPr>
          <w:rFonts w:ascii="Times New Roman" w:cs="Times New Roman" w:eastAsia="Times New Roman" w:hAnsi="Times New Roman"/>
          <w:sz w:val="19"/>
          <w:szCs w:val="19"/>
          <w:color w:val="auto"/>
        </w:rPr>
        <w:t>President and Chief Executive Officer</w:t>
      </w:r>
    </w:p>
    <w:p>
      <w:pPr>
        <w:sectPr>
          <w:pgSz w:w="11900" w:h="16838" w:orient="portrait"/>
          <w:cols w:equalWidth="0" w:num="1">
            <w:col w:w="9019"/>
          </w:cols>
          <w:pgMar w:left="144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type w:val="continuous"/>
        </w:sectPr>
      </w:pPr>
    </w:p>
    <w:bookmarkStart w:id="21" w:name="page22"/>
    <w:bookmarkEnd w:id="21"/>
    <w:p>
      <w:pPr>
        <w:ind w:left="2780"/>
        <w:spacing w:after="0"/>
        <w:rPr>
          <w:sz w:val="20"/>
          <w:szCs w:val="20"/>
          <w:color w:val="auto"/>
        </w:rPr>
      </w:pPr>
      <w:r>
        <w:rPr>
          <w:rFonts w:ascii="Times New Roman" w:cs="Times New Roman" w:eastAsia="Times New Roman" w:hAnsi="Times New Roman"/>
          <w:sz w:val="20"/>
          <w:szCs w:val="20"/>
          <w:b w:val="1"/>
          <w:bCs w:val="1"/>
          <w:u w:val="single" w:color="auto"/>
          <w:color w:val="auto"/>
        </w:rPr>
        <w:t xml:space="preserve">NEW VEHICLE BORROWERS, </w:t>
      </w:r>
      <w:r>
        <w:rPr>
          <w:rFonts w:ascii="Times New Roman" w:cs="Times New Roman" w:eastAsia="Times New Roman" w:hAnsi="Times New Roman"/>
          <w:sz w:val="20"/>
          <w:szCs w:val="20"/>
          <w:b w:val="1"/>
          <w:bCs w:val="1"/>
          <w:i w:val="1"/>
          <w:iCs w:val="1"/>
          <w:u w:val="single" w:color="auto"/>
          <w:color w:val="auto"/>
        </w:rPr>
        <w:t>continued</w:t>
      </w:r>
      <w:r>
        <w:rPr>
          <w:rFonts w:ascii="Times New Roman" w:cs="Times New Roman" w:eastAsia="Times New Roman" w:hAnsi="Times New Roman"/>
          <w:sz w:val="20"/>
          <w:szCs w:val="20"/>
          <w:b w:val="1"/>
          <w:bCs w:val="1"/>
          <w:u w:val="single" w:color="auto"/>
          <w:color w:val="auto"/>
        </w:rPr>
        <w:t>:</w:t>
      </w:r>
    </w:p>
    <w:p>
      <w:pPr>
        <w:spacing w:after="0" w:line="1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 AUTOMOTIVE ORLANDO FL, LLC</w:t>
      </w:r>
    </w:p>
    <w:p>
      <w:pPr>
        <w:spacing w:after="0" w:line="2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 AUTOMOTIVE TAMPA FL,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TAMPA HUND, L.P.</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TAMPA KIA, L.P.</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WTY MOTORS, L.P.</w:t>
      </w:r>
    </w:p>
    <w:p>
      <w:pPr>
        <w:spacing w:after="0" w:line="322"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David W.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5100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0030" cy="8255"/>
                    </a:xfrm>
                    <a:prstGeom prst="rect">
                      <a:avLst/>
                    </a:prstGeom>
                    <a:noFill/>
                  </pic:spPr>
                </pic:pic>
              </a:graphicData>
            </a:graphic>
          </wp:anchor>
        </w:drawing>
      </w:r>
    </w:p>
    <w:p>
      <w:pPr>
        <w:spacing w:after="0" w:line="2" w:lineRule="exact"/>
        <w:rPr>
          <w:sz w:val="20"/>
          <w:szCs w:val="20"/>
          <w:color w:val="auto"/>
        </w:rPr>
      </w:pPr>
    </w:p>
    <w:p>
      <w:pPr>
        <w:ind w:left="2780"/>
        <w:spacing w:after="0"/>
        <w:tabs>
          <w:tab w:leader="none" w:pos="4020" w:val="left"/>
        </w:tabs>
        <w:rPr>
          <w:sz w:val="20"/>
          <w:szCs w:val="20"/>
          <w:color w:val="auto"/>
        </w:rPr>
      </w:pPr>
      <w:r>
        <w:rPr>
          <w:rFonts w:ascii="Times New Roman" w:cs="Times New Roman" w:eastAsia="Times New Roman" w:hAnsi="Times New Roman"/>
          <w:sz w:val="20"/>
          <w:szCs w:val="20"/>
          <w:color w:val="auto"/>
        </w:rPr>
        <w:t>Typed Name:</w:t>
      </w:r>
      <w:r>
        <w:rPr>
          <w:sz w:val="20"/>
          <w:szCs w:val="20"/>
          <w:color w:val="auto"/>
        </w:rPr>
        <w:tab/>
      </w:r>
      <w:r>
        <w:rPr>
          <w:rFonts w:ascii="Times New Roman" w:cs="Times New Roman" w:eastAsia="Times New Roman" w:hAnsi="Times New Roman"/>
          <w:sz w:val="19"/>
          <w:szCs w:val="19"/>
          <w:color w:val="auto"/>
        </w:rPr>
        <w:t>David W. Hult</w:t>
      </w:r>
    </w:p>
    <w:p>
      <w:pPr>
        <w:spacing w:after="0" w:line="6" w:lineRule="exact"/>
        <w:rPr>
          <w:sz w:val="20"/>
          <w:szCs w:val="20"/>
          <w:color w:val="auto"/>
        </w:rPr>
      </w:pPr>
    </w:p>
    <w:p>
      <w:pPr>
        <w:ind w:left="2780"/>
        <w:spacing w:after="0"/>
        <w:tabs>
          <w:tab w:leader="none" w:pos="3920" w:val="left"/>
        </w:tabs>
        <w:rPr>
          <w:sz w:val="20"/>
          <w:szCs w:val="20"/>
          <w:color w:val="auto"/>
        </w:rPr>
      </w:pPr>
      <w:r>
        <w:rPr>
          <w:rFonts w:ascii="Times New Roman" w:cs="Times New Roman" w:eastAsia="Times New Roman" w:hAnsi="Times New Roman"/>
          <w:sz w:val="20"/>
          <w:szCs w:val="20"/>
          <w:color w:val="auto"/>
        </w:rPr>
        <w:t>Typed Title:</w:t>
      </w:r>
      <w:r>
        <w:rPr>
          <w:sz w:val="20"/>
          <w:szCs w:val="20"/>
          <w:color w:val="auto"/>
        </w:rPr>
        <w:tab/>
      </w:r>
      <w:r>
        <w:rPr>
          <w:rFonts w:ascii="Times New Roman" w:cs="Times New Roman" w:eastAsia="Times New Roman" w:hAnsi="Times New Roman"/>
          <w:sz w:val="19"/>
          <w:szCs w:val="19"/>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22" w:name="page23"/>
    <w:bookmarkEnd w:id="22"/>
    <w:p>
      <w:pPr>
        <w:ind w:left="2780"/>
        <w:spacing w:after="0"/>
        <w:rPr>
          <w:sz w:val="20"/>
          <w:szCs w:val="20"/>
          <w:color w:val="auto"/>
        </w:rPr>
      </w:pPr>
      <w:r>
        <w:rPr>
          <w:rFonts w:ascii="Times New Roman" w:cs="Times New Roman" w:eastAsia="Times New Roman" w:hAnsi="Times New Roman"/>
          <w:sz w:val="20"/>
          <w:szCs w:val="20"/>
          <w:b w:val="1"/>
          <w:bCs w:val="1"/>
          <w:u w:val="single" w:color="auto"/>
          <w:color w:val="auto"/>
        </w:rPr>
        <w:t>USED VEHICLE BORROWERS:</w:t>
      </w:r>
    </w:p>
    <w:p>
      <w:pPr>
        <w:spacing w:after="0" w:line="1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GROUP, INC.</w:t>
      </w:r>
    </w:p>
    <w:p>
      <w:pPr>
        <w:spacing w:after="0" w:line="2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AF MOTORS,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ANT,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AR NISS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ARLINGTON MB,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ART,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AC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AU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BM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CHEV,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FORD,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HON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HUND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INF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INFINITI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K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LEX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NIS II,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NIS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TOY 2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TOY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VB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AURORA TOY,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BRANDON, L.P.</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ST. LOUIS,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WEST,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BALTIMORE F,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CATONSVILLE M,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CH MOTORS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CLARKSVILLE CBG,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CO CDJR,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CO GEN,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CO HG,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CO LEX,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CO SUB,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DALLAS MB,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DALLAS POR,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DALLAS VOL,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DELAND HUND,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ASBURY-DELAND IMPORTS,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DFW JLR,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EASTON T,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FCF,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FORT WORTH MB, LLC</w:t>
      </w:r>
    </w:p>
    <w:p>
      <w:pPr>
        <w:spacing w:after="0" w:line="153"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David W.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5100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0030" cy="8890"/>
                    </a:xfrm>
                    <a:prstGeom prst="rect">
                      <a:avLst/>
                    </a:prstGeom>
                    <a:noFill/>
                  </pic:spPr>
                </pic:pic>
              </a:graphicData>
            </a:graphic>
          </wp:anchor>
        </w:drawing>
      </w:r>
    </w:p>
    <w:p>
      <w:pPr>
        <w:spacing w:after="0" w:line="2" w:lineRule="exact"/>
        <w:rPr>
          <w:sz w:val="20"/>
          <w:szCs w:val="20"/>
          <w:color w:val="auto"/>
        </w:rPr>
      </w:pPr>
    </w:p>
    <w:p>
      <w:pPr>
        <w:ind w:left="2780"/>
        <w:spacing w:after="0"/>
        <w:tabs>
          <w:tab w:leader="none" w:pos="4020" w:val="left"/>
        </w:tabs>
        <w:rPr>
          <w:sz w:val="20"/>
          <w:szCs w:val="20"/>
          <w:color w:val="auto"/>
        </w:rPr>
      </w:pPr>
      <w:r>
        <w:rPr>
          <w:rFonts w:ascii="Times New Roman" w:cs="Times New Roman" w:eastAsia="Times New Roman" w:hAnsi="Times New Roman"/>
          <w:sz w:val="20"/>
          <w:szCs w:val="20"/>
          <w:color w:val="auto"/>
        </w:rPr>
        <w:t>Typed Name:</w:t>
      </w:r>
      <w:r>
        <w:rPr>
          <w:sz w:val="20"/>
          <w:szCs w:val="20"/>
          <w:color w:val="auto"/>
        </w:rPr>
        <w:tab/>
      </w:r>
      <w:r>
        <w:rPr>
          <w:rFonts w:ascii="Times New Roman" w:cs="Times New Roman" w:eastAsia="Times New Roman" w:hAnsi="Times New Roman"/>
          <w:sz w:val="19"/>
          <w:szCs w:val="19"/>
          <w:color w:val="auto"/>
        </w:rPr>
        <w:t>David W. Hult</w:t>
      </w:r>
    </w:p>
    <w:p>
      <w:pPr>
        <w:spacing w:after="0" w:line="6" w:lineRule="exact"/>
        <w:rPr>
          <w:sz w:val="20"/>
          <w:szCs w:val="20"/>
          <w:color w:val="auto"/>
        </w:rPr>
      </w:pPr>
    </w:p>
    <w:p>
      <w:pPr>
        <w:ind w:left="2780"/>
        <w:spacing w:after="0"/>
        <w:tabs>
          <w:tab w:leader="none" w:pos="3920" w:val="left"/>
        </w:tabs>
        <w:rPr>
          <w:sz w:val="20"/>
          <w:szCs w:val="20"/>
          <w:color w:val="auto"/>
        </w:rPr>
      </w:pPr>
      <w:r>
        <w:rPr>
          <w:rFonts w:ascii="Times New Roman" w:cs="Times New Roman" w:eastAsia="Times New Roman" w:hAnsi="Times New Roman"/>
          <w:sz w:val="20"/>
          <w:szCs w:val="20"/>
          <w:color w:val="auto"/>
        </w:rPr>
        <w:t>Typed Title:</w:t>
      </w:r>
      <w:r>
        <w:rPr>
          <w:sz w:val="20"/>
          <w:szCs w:val="20"/>
          <w:color w:val="auto"/>
        </w:rPr>
        <w:tab/>
      </w:r>
      <w:r>
        <w:rPr>
          <w:rFonts w:ascii="Times New Roman" w:cs="Times New Roman" w:eastAsia="Times New Roman" w:hAnsi="Times New Roman"/>
          <w:sz w:val="19"/>
          <w:szCs w:val="19"/>
          <w:color w:val="auto"/>
        </w:rPr>
        <w:t>President and Chief Executive Officer</w:t>
      </w:r>
    </w:p>
    <w:p>
      <w:pPr>
        <w:sectPr>
          <w:pgSz w:w="11900" w:h="16838" w:orient="portrait"/>
          <w:cols w:equalWidth="0" w:num="1">
            <w:col w:w="9019"/>
          </w:cols>
          <w:pgMar w:left="144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type w:val="continuous"/>
        </w:sectPr>
      </w:pPr>
    </w:p>
    <w:bookmarkStart w:id="23" w:name="page24"/>
    <w:bookmarkEnd w:id="23"/>
    <w:p>
      <w:pPr>
        <w:ind w:left="2780"/>
        <w:spacing w:after="0"/>
        <w:rPr>
          <w:sz w:val="20"/>
          <w:szCs w:val="20"/>
          <w:color w:val="auto"/>
        </w:rPr>
      </w:pPr>
      <w:r>
        <w:rPr>
          <w:rFonts w:ascii="Times New Roman" w:cs="Times New Roman" w:eastAsia="Times New Roman" w:hAnsi="Times New Roman"/>
          <w:sz w:val="21"/>
          <w:szCs w:val="21"/>
          <w:b w:val="1"/>
          <w:bCs w:val="1"/>
          <w:u w:val="single" w:color="auto"/>
          <w:color w:val="auto"/>
        </w:rPr>
        <w:t xml:space="preserve">USED VEHICLE BORROWERS, </w:t>
      </w:r>
      <w:r>
        <w:rPr>
          <w:rFonts w:ascii="Times New Roman" w:cs="Times New Roman" w:eastAsia="Times New Roman" w:hAnsi="Times New Roman"/>
          <w:sz w:val="21"/>
          <w:szCs w:val="21"/>
          <w:b w:val="1"/>
          <w:bCs w:val="1"/>
          <w:i w:val="1"/>
          <w:iCs w:val="1"/>
          <w:u w:val="single" w:color="auto"/>
          <w:color w:val="auto"/>
        </w:rPr>
        <w:t>continued</w:t>
      </w:r>
      <w:r>
        <w:rPr>
          <w:rFonts w:ascii="Times New Roman" w:cs="Times New Roman" w:eastAsia="Times New Roman" w:hAnsi="Times New Roman"/>
          <w:sz w:val="21"/>
          <w:szCs w:val="21"/>
          <w:b w:val="1"/>
          <w:bCs w:val="1"/>
          <w:u w:val="single" w:color="auto"/>
          <w:color w:val="auto"/>
        </w:rPr>
        <w:t>:</w:t>
      </w:r>
    </w:p>
    <w:p>
      <w:pPr>
        <w:spacing w:after="0" w:line="1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FT. WORTH FORD, LLC</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GEORGIA TOY,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GREELEY SUB,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IN CBG,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IN CDJ,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IN CHEV,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IN FORD,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IN HON,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IN TOY,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INDY CHEV,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JAX AC,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JAX FORD,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JAX HON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LAKEWOOD CHEV,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LAKEWOOD TOY,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LITTLETON JLR,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LITTLETON POR,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LONGMONT HUND,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MS CHEV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MS GRAY-DANIELS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NOBLESVILLE CDJR,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OMK,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PLANO LEX,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SC JPV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SC LEX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SC TOY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ST. LOUIS LEX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ST. LOUIS LR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ST. LOUIS M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STERLING F,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TX AUCTION,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TYSONS CBG,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TYSONS CDJR,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TYSONS 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WESTMINSTER 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WILMINGTON L,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WMC,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WMV,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WOODBRIDGE BG,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WOODBRIDGE F,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WOODBRIDGE H,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WOODBRIDGE K,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AVENUES MOTORS, LTD.</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BFP MOTORS L.L.C.</w:t>
      </w:r>
    </w:p>
    <w:p>
      <w:pPr>
        <w:spacing w:after="0" w:line="146"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David W.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5100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0030" cy="8890"/>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4020" w:val="left"/>
        </w:tabs>
        <w:rPr>
          <w:sz w:val="20"/>
          <w:szCs w:val="20"/>
          <w:color w:val="auto"/>
        </w:rPr>
      </w:pPr>
      <w:r>
        <w:rPr>
          <w:rFonts w:ascii="Times New Roman" w:cs="Times New Roman" w:eastAsia="Times New Roman" w:hAnsi="Times New Roman"/>
          <w:sz w:val="20"/>
          <w:szCs w:val="20"/>
          <w:color w:val="auto"/>
        </w:rPr>
        <w:t>Typed Name:</w:t>
      </w:r>
      <w:r>
        <w:rPr>
          <w:sz w:val="20"/>
          <w:szCs w:val="20"/>
          <w:color w:val="auto"/>
        </w:rPr>
        <w:tab/>
      </w:r>
      <w:r>
        <w:rPr>
          <w:rFonts w:ascii="Times New Roman" w:cs="Times New Roman" w:eastAsia="Times New Roman" w:hAnsi="Times New Roman"/>
          <w:sz w:val="19"/>
          <w:szCs w:val="19"/>
          <w:color w:val="auto"/>
        </w:rPr>
        <w:t>David W. Hult</w:t>
      </w:r>
    </w:p>
    <w:p>
      <w:pPr>
        <w:spacing w:after="0" w:line="13" w:lineRule="exact"/>
        <w:rPr>
          <w:sz w:val="20"/>
          <w:szCs w:val="20"/>
          <w:color w:val="auto"/>
        </w:rPr>
      </w:pPr>
    </w:p>
    <w:p>
      <w:pPr>
        <w:ind w:left="2780"/>
        <w:spacing w:after="0"/>
        <w:tabs>
          <w:tab w:leader="none" w:pos="3920" w:val="left"/>
        </w:tabs>
        <w:rPr>
          <w:sz w:val="20"/>
          <w:szCs w:val="20"/>
          <w:color w:val="auto"/>
        </w:rPr>
      </w:pPr>
      <w:r>
        <w:rPr>
          <w:rFonts w:ascii="Times New Roman" w:cs="Times New Roman" w:eastAsia="Times New Roman" w:hAnsi="Times New Roman"/>
          <w:sz w:val="20"/>
          <w:szCs w:val="20"/>
          <w:color w:val="auto"/>
        </w:rPr>
        <w:t>Typed Title:</w:t>
      </w:r>
      <w:r>
        <w:rPr>
          <w:sz w:val="20"/>
          <w:szCs w:val="20"/>
          <w:color w:val="auto"/>
        </w:rPr>
        <w:tab/>
      </w:r>
      <w:r>
        <w:rPr>
          <w:rFonts w:ascii="Times New Roman" w:cs="Times New Roman" w:eastAsia="Times New Roman" w:hAnsi="Times New Roman"/>
          <w:sz w:val="19"/>
          <w:szCs w:val="19"/>
          <w:color w:val="auto"/>
        </w:rPr>
        <w:t>President and Chief Executive Officer</w:t>
      </w:r>
    </w:p>
    <w:p>
      <w:pPr>
        <w:sectPr>
          <w:pgSz w:w="11900" w:h="16838" w:orient="portrait"/>
          <w:cols w:equalWidth="0" w:num="1">
            <w:col w:w="9019"/>
          </w:cols>
          <w:pgMar w:left="1440" w:top="14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16" w:right="1440" w:bottom="1440" w:gutter="0" w:footer="0" w:header="0"/>
          <w:type w:val="continuous"/>
        </w:sectPr>
      </w:pPr>
    </w:p>
    <w:bookmarkStart w:id="24" w:name="page25"/>
    <w:bookmarkEnd w:id="24"/>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 xml:space="preserve">USED VEHICLE BORROWERS, </w:t>
      </w:r>
      <w:r>
        <w:rPr>
          <w:rFonts w:ascii="Times New Roman" w:cs="Times New Roman" w:eastAsia="Times New Roman" w:hAnsi="Times New Roman"/>
          <w:sz w:val="22"/>
          <w:szCs w:val="22"/>
          <w:b w:val="1"/>
          <w:bCs w:val="1"/>
          <w:i w:val="1"/>
          <w:iCs w:val="1"/>
          <w:u w:val="single" w:color="auto"/>
          <w:color w:val="auto"/>
        </w:rPr>
        <w:t>continued</w:t>
      </w:r>
      <w:r>
        <w:rPr>
          <w:rFonts w:ascii="Times New Roman" w:cs="Times New Roman" w:eastAsia="Times New Roman" w:hAnsi="Times New Roman"/>
          <w:sz w:val="22"/>
          <w:szCs w:val="22"/>
          <w:b w:val="1"/>
          <w:bCs w:val="1"/>
          <w:u w:val="single" w:color="auto"/>
          <w:color w:val="auto"/>
        </w:rPr>
        <w:t>:</w:t>
      </w:r>
    </w:p>
    <w:p>
      <w:pPr>
        <w:spacing w:after="0" w:line="10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CFP MOTORS L.L.C.</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CH MOTORS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CHO PARTNERSHIP, LTD.</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CN MOTORS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COGGIN CARS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COGGIN CHEVROLET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CHH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FDO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FFO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GAC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GBM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GDO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GHO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GNI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GVO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MOTORCAR COMPANY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PBM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RIA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RIB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SNI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CSA IMPORTS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ESCUDE-NN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ESCUDE-NS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ESCUDE-T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HFP MOTORS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KP MOTORS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LARRY H. MILLER COMPANY – BOUNTIFUL, L.L.C.</w:t>
      </w:r>
    </w:p>
    <w:p>
      <w:pPr>
        <w:spacing w:after="0" w:line="1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ACD,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ACJ,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ADR,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ALH,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AMT,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ANI,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AVW,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BCD,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BSU,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BUC,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CHV,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CTO,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DCJ,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DDR,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DNI,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FLT,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HOB, LLC</w:t>
      </w:r>
    </w:p>
    <w:p>
      <w:pPr>
        <w:spacing w:after="0" w:line="146"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David W.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5100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0030" cy="8890"/>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4020" w:val="left"/>
        </w:tabs>
        <w:rPr>
          <w:sz w:val="20"/>
          <w:szCs w:val="20"/>
          <w:color w:val="auto"/>
        </w:rPr>
      </w:pPr>
      <w:r>
        <w:rPr>
          <w:rFonts w:ascii="Times New Roman" w:cs="Times New Roman" w:eastAsia="Times New Roman" w:hAnsi="Times New Roman"/>
          <w:sz w:val="20"/>
          <w:szCs w:val="20"/>
          <w:color w:val="auto"/>
        </w:rPr>
        <w:t>Typed Name:</w:t>
      </w:r>
      <w:r>
        <w:rPr>
          <w:sz w:val="20"/>
          <w:szCs w:val="20"/>
          <w:color w:val="auto"/>
        </w:rPr>
        <w:tab/>
      </w:r>
      <w:r>
        <w:rPr>
          <w:rFonts w:ascii="Times New Roman" w:cs="Times New Roman" w:eastAsia="Times New Roman" w:hAnsi="Times New Roman"/>
          <w:sz w:val="19"/>
          <w:szCs w:val="19"/>
          <w:color w:val="auto"/>
        </w:rPr>
        <w:t>David W. Hult</w:t>
      </w:r>
    </w:p>
    <w:p>
      <w:pPr>
        <w:spacing w:after="0" w:line="13" w:lineRule="exact"/>
        <w:rPr>
          <w:sz w:val="20"/>
          <w:szCs w:val="20"/>
          <w:color w:val="auto"/>
        </w:rPr>
      </w:pPr>
    </w:p>
    <w:p>
      <w:pPr>
        <w:ind w:left="2780"/>
        <w:spacing w:after="0"/>
        <w:tabs>
          <w:tab w:leader="none" w:pos="3920" w:val="left"/>
        </w:tabs>
        <w:rPr>
          <w:sz w:val="20"/>
          <w:szCs w:val="20"/>
          <w:color w:val="auto"/>
        </w:rPr>
      </w:pPr>
      <w:r>
        <w:rPr>
          <w:rFonts w:ascii="Times New Roman" w:cs="Times New Roman" w:eastAsia="Times New Roman" w:hAnsi="Times New Roman"/>
          <w:sz w:val="20"/>
          <w:szCs w:val="20"/>
          <w:color w:val="auto"/>
        </w:rPr>
        <w:t>Typed Title:</w:t>
      </w:r>
      <w:r>
        <w:rPr>
          <w:sz w:val="20"/>
          <w:szCs w:val="20"/>
          <w:color w:val="auto"/>
        </w:rPr>
        <w:tab/>
      </w:r>
      <w:r>
        <w:rPr>
          <w:rFonts w:ascii="Times New Roman" w:cs="Times New Roman" w:eastAsia="Times New Roman" w:hAnsi="Times New Roman"/>
          <w:sz w:val="19"/>
          <w:szCs w:val="19"/>
          <w:color w:val="auto"/>
        </w:rPr>
        <w:t>President and Chief Executive Officer</w:t>
      </w:r>
    </w:p>
    <w:p>
      <w:pPr>
        <w:sectPr>
          <w:pgSz w:w="11900" w:h="16838" w:orient="portrait"/>
          <w:cols w:equalWidth="0" w:num="1">
            <w:col w:w="9019"/>
          </w:cols>
          <w:pgMar w:left="1440" w:top="14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16" w:right="1440" w:bottom="1440" w:gutter="0" w:footer="0" w:header="0"/>
          <w:type w:val="continuous"/>
        </w:sectPr>
      </w:pPr>
    </w:p>
    <w:bookmarkStart w:id="25" w:name="page26"/>
    <w:bookmarkEnd w:id="25"/>
    <w:p>
      <w:pPr>
        <w:ind w:left="2780"/>
        <w:spacing w:after="0"/>
        <w:rPr>
          <w:sz w:val="20"/>
          <w:szCs w:val="20"/>
          <w:color w:val="auto"/>
        </w:rPr>
      </w:pPr>
      <w:r>
        <w:rPr>
          <w:rFonts w:ascii="Times New Roman" w:cs="Times New Roman" w:eastAsia="Times New Roman" w:hAnsi="Times New Roman"/>
          <w:sz w:val="21"/>
          <w:szCs w:val="21"/>
          <w:b w:val="1"/>
          <w:bCs w:val="1"/>
          <w:u w:val="single" w:color="auto"/>
          <w:color w:val="auto"/>
        </w:rPr>
        <w:t xml:space="preserve">USED VEHICLE BORROWERS, </w:t>
      </w:r>
      <w:r>
        <w:rPr>
          <w:rFonts w:ascii="Times New Roman" w:cs="Times New Roman" w:eastAsia="Times New Roman" w:hAnsi="Times New Roman"/>
          <w:sz w:val="21"/>
          <w:szCs w:val="21"/>
          <w:b w:val="1"/>
          <w:bCs w:val="1"/>
          <w:i w:val="1"/>
          <w:iCs w:val="1"/>
          <w:u w:val="single" w:color="auto"/>
          <w:color w:val="auto"/>
        </w:rPr>
        <w:t>continued</w:t>
      </w:r>
      <w:r>
        <w:rPr>
          <w:rFonts w:ascii="Times New Roman" w:cs="Times New Roman" w:eastAsia="Times New Roman" w:hAnsi="Times New Roman"/>
          <w:sz w:val="21"/>
          <w:szCs w:val="21"/>
          <w:b w:val="1"/>
          <w:bCs w:val="1"/>
          <w:u w:val="single" w:color="auto"/>
          <w:color w:val="auto"/>
        </w:rPr>
        <w:t>:</w:t>
      </w:r>
    </w:p>
    <w:p>
      <w:pPr>
        <w:spacing w:after="0" w:line="1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HON, LLC</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HYN,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LCJ,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LEX,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LFO,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LMD,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MBL,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MFD,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MNI,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MUR,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NHR,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PCD,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PCH,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PEORIA GEN,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PFL,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PNX,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QCH,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QCJ,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RCD,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SCD,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SFL,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SFO,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SHO,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SWH,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TCD,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TCJ,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TDR,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TSD,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TVW,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UCN,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UCO,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UCS,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MCDAVID AUSTIN-ACRA,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MCDAVID FRISCO-HON,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MCDAVID HOUSTON-NISS,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MCDAVID IRVING-HON,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MCDAVID PLANO-ACRA,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NP FLM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NP MZD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NP VKW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OSBORN/MILLER AUTOMOTIVE,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PLANO LINCOLN-MERCURY, INC.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PRECISION INFINITI, INC.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PRECISION MOTORCARS, INC.</w:t>
      </w:r>
    </w:p>
    <w:p>
      <w:pPr>
        <w:spacing w:after="0" w:line="146"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David W.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5100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0030" cy="8890"/>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4020" w:val="left"/>
        </w:tabs>
        <w:rPr>
          <w:sz w:val="20"/>
          <w:szCs w:val="20"/>
          <w:color w:val="auto"/>
        </w:rPr>
      </w:pPr>
      <w:r>
        <w:rPr>
          <w:rFonts w:ascii="Times New Roman" w:cs="Times New Roman" w:eastAsia="Times New Roman" w:hAnsi="Times New Roman"/>
          <w:sz w:val="20"/>
          <w:szCs w:val="20"/>
          <w:color w:val="auto"/>
        </w:rPr>
        <w:t>Typed Name:</w:t>
      </w:r>
      <w:r>
        <w:rPr>
          <w:sz w:val="20"/>
          <w:szCs w:val="20"/>
          <w:color w:val="auto"/>
        </w:rPr>
        <w:tab/>
      </w:r>
      <w:r>
        <w:rPr>
          <w:rFonts w:ascii="Times New Roman" w:cs="Times New Roman" w:eastAsia="Times New Roman" w:hAnsi="Times New Roman"/>
          <w:sz w:val="19"/>
          <w:szCs w:val="19"/>
          <w:color w:val="auto"/>
        </w:rPr>
        <w:t>David W. Hult</w:t>
      </w:r>
    </w:p>
    <w:p>
      <w:pPr>
        <w:spacing w:after="0" w:line="13" w:lineRule="exact"/>
        <w:rPr>
          <w:sz w:val="20"/>
          <w:szCs w:val="20"/>
          <w:color w:val="auto"/>
        </w:rPr>
      </w:pPr>
    </w:p>
    <w:p>
      <w:pPr>
        <w:ind w:left="2780"/>
        <w:spacing w:after="0"/>
        <w:tabs>
          <w:tab w:leader="none" w:pos="3920" w:val="left"/>
        </w:tabs>
        <w:rPr>
          <w:sz w:val="20"/>
          <w:szCs w:val="20"/>
          <w:color w:val="auto"/>
        </w:rPr>
      </w:pPr>
      <w:r>
        <w:rPr>
          <w:rFonts w:ascii="Times New Roman" w:cs="Times New Roman" w:eastAsia="Times New Roman" w:hAnsi="Times New Roman"/>
          <w:sz w:val="20"/>
          <w:szCs w:val="20"/>
          <w:color w:val="auto"/>
        </w:rPr>
        <w:t>Typed Title:</w:t>
      </w:r>
      <w:r>
        <w:rPr>
          <w:sz w:val="20"/>
          <w:szCs w:val="20"/>
          <w:color w:val="auto"/>
        </w:rPr>
        <w:tab/>
      </w:r>
      <w:r>
        <w:rPr>
          <w:rFonts w:ascii="Times New Roman" w:cs="Times New Roman" w:eastAsia="Times New Roman" w:hAnsi="Times New Roman"/>
          <w:sz w:val="19"/>
          <w:szCs w:val="19"/>
          <w:color w:val="auto"/>
        </w:rPr>
        <w:t>President and Chief Executive Officer</w:t>
      </w:r>
    </w:p>
    <w:p>
      <w:pPr>
        <w:sectPr>
          <w:pgSz w:w="11900" w:h="16838" w:orient="portrait"/>
          <w:cols w:equalWidth="0" w:num="1">
            <w:col w:w="9019"/>
          </w:cols>
          <w:pgMar w:left="1440" w:top="14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16" w:right="1440" w:bottom="1440" w:gutter="0" w:footer="0" w:header="0"/>
          <w:type w:val="continuous"/>
        </w:sectPr>
      </w:pPr>
    </w:p>
    <w:bookmarkStart w:id="26" w:name="page27"/>
    <w:bookmarkEnd w:id="26"/>
    <w:p>
      <w:pPr>
        <w:ind w:left="2780"/>
        <w:spacing w:after="0"/>
        <w:rPr>
          <w:sz w:val="20"/>
          <w:szCs w:val="20"/>
          <w:color w:val="auto"/>
        </w:rPr>
      </w:pPr>
      <w:r>
        <w:rPr>
          <w:rFonts w:ascii="Times New Roman" w:cs="Times New Roman" w:eastAsia="Times New Roman" w:hAnsi="Times New Roman"/>
          <w:sz w:val="20"/>
          <w:szCs w:val="20"/>
          <w:b w:val="1"/>
          <w:bCs w:val="1"/>
          <w:u w:val="single" w:color="auto"/>
          <w:color w:val="auto"/>
        </w:rPr>
        <w:t xml:space="preserve">USED VEHICLE BORROWERS, </w:t>
      </w:r>
      <w:r>
        <w:rPr>
          <w:rFonts w:ascii="Times New Roman" w:cs="Times New Roman" w:eastAsia="Times New Roman" w:hAnsi="Times New Roman"/>
          <w:sz w:val="20"/>
          <w:szCs w:val="20"/>
          <w:b w:val="1"/>
          <w:bCs w:val="1"/>
          <w:i w:val="1"/>
          <w:iCs w:val="1"/>
          <w:u w:val="single" w:color="auto"/>
          <w:color w:val="auto"/>
        </w:rPr>
        <w:t>continued</w:t>
      </w:r>
      <w:r>
        <w:rPr>
          <w:rFonts w:ascii="Times New Roman" w:cs="Times New Roman" w:eastAsia="Times New Roman" w:hAnsi="Times New Roman"/>
          <w:sz w:val="20"/>
          <w:szCs w:val="20"/>
          <w:b w:val="1"/>
          <w:bCs w:val="1"/>
          <w:u w:val="single" w:color="auto"/>
          <w:color w:val="auto"/>
        </w:rPr>
        <w:t>:</w:t>
      </w:r>
    </w:p>
    <w:p>
      <w:pPr>
        <w:spacing w:after="0" w:line="1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PRECISION NISSAN, INC.</w:t>
      </w:r>
    </w:p>
    <w:p>
      <w:pPr>
        <w:spacing w:after="0" w:line="2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PREMIER NSN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PREMIER PON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PRESTIGE BAY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PRESTIGE TOY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 AUTOMOTIVE BRANDON FL,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 AUTOMOTIVE CUMMING GA,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 AUTOMOTIVE FT. MYERS FL,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 AUTOMOTIVE HOLIDAY FL,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 AUTOMOTIVE JACKSONVILLE FL,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 AUTOMOTIVE KENNESAW GA,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 AUTOMOTIVE ORLANDO FL,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 AUTOMOTIVE TAMPA FL,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TAMPA HUND, L.P.</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TAMPA KIA, L.P.</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WTY MOTORS, L.P.</w:t>
      </w:r>
    </w:p>
    <w:p>
      <w:pPr>
        <w:spacing w:after="0" w:line="308"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David W.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5100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0030" cy="8255"/>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4020" w:val="left"/>
        </w:tabs>
        <w:rPr>
          <w:sz w:val="20"/>
          <w:szCs w:val="20"/>
          <w:color w:val="auto"/>
        </w:rPr>
      </w:pPr>
      <w:r>
        <w:rPr>
          <w:rFonts w:ascii="Times New Roman" w:cs="Times New Roman" w:eastAsia="Times New Roman" w:hAnsi="Times New Roman"/>
          <w:sz w:val="20"/>
          <w:szCs w:val="20"/>
          <w:color w:val="auto"/>
        </w:rPr>
        <w:t>Typed Name:</w:t>
      </w:r>
      <w:r>
        <w:rPr>
          <w:sz w:val="20"/>
          <w:szCs w:val="20"/>
          <w:color w:val="auto"/>
        </w:rPr>
        <w:tab/>
      </w:r>
      <w:r>
        <w:rPr>
          <w:rFonts w:ascii="Times New Roman" w:cs="Times New Roman" w:eastAsia="Times New Roman" w:hAnsi="Times New Roman"/>
          <w:sz w:val="19"/>
          <w:szCs w:val="19"/>
          <w:color w:val="auto"/>
        </w:rPr>
        <w:t>David W. Hult</w:t>
      </w:r>
    </w:p>
    <w:p>
      <w:pPr>
        <w:spacing w:after="0" w:line="6" w:lineRule="exact"/>
        <w:rPr>
          <w:sz w:val="20"/>
          <w:szCs w:val="20"/>
          <w:color w:val="auto"/>
        </w:rPr>
      </w:pPr>
    </w:p>
    <w:p>
      <w:pPr>
        <w:ind w:left="2780"/>
        <w:spacing w:after="0"/>
        <w:tabs>
          <w:tab w:leader="none" w:pos="3920" w:val="left"/>
        </w:tabs>
        <w:rPr>
          <w:sz w:val="20"/>
          <w:szCs w:val="20"/>
          <w:color w:val="auto"/>
        </w:rPr>
      </w:pPr>
      <w:r>
        <w:rPr>
          <w:rFonts w:ascii="Times New Roman" w:cs="Times New Roman" w:eastAsia="Times New Roman" w:hAnsi="Times New Roman"/>
          <w:sz w:val="20"/>
          <w:szCs w:val="20"/>
          <w:color w:val="auto"/>
        </w:rPr>
        <w:t>Typed Title:</w:t>
      </w:r>
      <w:r>
        <w:rPr>
          <w:sz w:val="20"/>
          <w:szCs w:val="20"/>
          <w:color w:val="auto"/>
        </w:rPr>
        <w:tab/>
      </w:r>
      <w:r>
        <w:rPr>
          <w:rFonts w:ascii="Times New Roman" w:cs="Times New Roman" w:eastAsia="Times New Roman" w:hAnsi="Times New Roman"/>
          <w:sz w:val="19"/>
          <w:szCs w:val="19"/>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27" w:name="page28"/>
    <w:bookmarkEnd w:id="27"/>
    <w:p>
      <w:pPr>
        <w:ind w:left="2780"/>
        <w:spacing w:after="0"/>
        <w:rPr>
          <w:sz w:val="20"/>
          <w:szCs w:val="20"/>
          <w:color w:val="auto"/>
        </w:rPr>
      </w:pPr>
      <w:r>
        <w:rPr>
          <w:rFonts w:ascii="Times New Roman" w:cs="Times New Roman" w:eastAsia="Times New Roman" w:hAnsi="Times New Roman"/>
          <w:sz w:val="20"/>
          <w:szCs w:val="20"/>
          <w:b w:val="1"/>
          <w:bCs w:val="1"/>
          <w:u w:val="single" w:color="auto"/>
          <w:color w:val="auto"/>
        </w:rPr>
        <w:t>GUARANTORS:</w:t>
      </w:r>
    </w:p>
    <w:p>
      <w:pPr>
        <w:spacing w:after="0" w:line="22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b w:val="1"/>
          <w:bCs w:val="1"/>
          <w:color w:val="auto"/>
        </w:rPr>
        <w:t>ASBURY AUTOMOTIVE GROUP, INC.</w:t>
      </w:r>
    </w:p>
    <w:p>
      <w:pPr>
        <w:spacing w:after="0" w:line="339"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David W.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5100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10030" cy="8255"/>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4020" w:val="left"/>
        </w:tabs>
        <w:rPr>
          <w:sz w:val="20"/>
          <w:szCs w:val="20"/>
          <w:color w:val="auto"/>
        </w:rPr>
      </w:pPr>
      <w:r>
        <w:rPr>
          <w:rFonts w:ascii="Times New Roman" w:cs="Times New Roman" w:eastAsia="Times New Roman" w:hAnsi="Times New Roman"/>
          <w:sz w:val="20"/>
          <w:szCs w:val="20"/>
          <w:color w:val="auto"/>
        </w:rPr>
        <w:t>Typed Name:</w:t>
      </w:r>
      <w:r>
        <w:rPr>
          <w:sz w:val="20"/>
          <w:szCs w:val="20"/>
          <w:color w:val="auto"/>
        </w:rPr>
        <w:tab/>
      </w:r>
      <w:r>
        <w:rPr>
          <w:rFonts w:ascii="Times New Roman" w:cs="Times New Roman" w:eastAsia="Times New Roman" w:hAnsi="Times New Roman"/>
          <w:sz w:val="19"/>
          <w:szCs w:val="19"/>
          <w:color w:val="auto"/>
        </w:rPr>
        <w:t>David W. Hult</w:t>
      </w:r>
    </w:p>
    <w:p>
      <w:pPr>
        <w:spacing w:after="0" w:line="6" w:lineRule="exact"/>
        <w:rPr>
          <w:sz w:val="20"/>
          <w:szCs w:val="20"/>
          <w:color w:val="auto"/>
        </w:rPr>
      </w:pPr>
    </w:p>
    <w:p>
      <w:pPr>
        <w:ind w:left="2780"/>
        <w:spacing w:after="0"/>
        <w:tabs>
          <w:tab w:leader="none" w:pos="3920" w:val="left"/>
        </w:tabs>
        <w:rPr>
          <w:sz w:val="20"/>
          <w:szCs w:val="20"/>
          <w:color w:val="auto"/>
        </w:rPr>
      </w:pPr>
      <w:r>
        <w:rPr>
          <w:rFonts w:ascii="Times New Roman" w:cs="Times New Roman" w:eastAsia="Times New Roman" w:hAnsi="Times New Roman"/>
          <w:sz w:val="20"/>
          <w:szCs w:val="20"/>
          <w:color w:val="auto"/>
        </w:rPr>
        <w:t>Typed Title:</w:t>
      </w:r>
      <w:r>
        <w:rPr>
          <w:sz w:val="20"/>
          <w:szCs w:val="20"/>
          <w:color w:val="auto"/>
        </w:rPr>
        <w:tab/>
      </w:r>
      <w:r>
        <w:rPr>
          <w:rFonts w:ascii="Times New Roman" w:cs="Times New Roman" w:eastAsia="Times New Roman" w:hAnsi="Times New Roman"/>
          <w:sz w:val="19"/>
          <w:szCs w:val="19"/>
          <w:color w:val="auto"/>
        </w:rPr>
        <w:t>President and Chief Executive Officer</w:t>
      </w:r>
    </w:p>
    <w:p>
      <w:pPr>
        <w:spacing w:after="0" w:line="200" w:lineRule="exact"/>
        <w:rPr>
          <w:sz w:val="20"/>
          <w:szCs w:val="20"/>
          <w:color w:val="auto"/>
        </w:rPr>
      </w:pPr>
    </w:p>
    <w:p>
      <w:pPr>
        <w:spacing w:after="0" w:line="38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u w:val="single" w:color="auto"/>
          <w:color w:val="auto"/>
        </w:rPr>
        <w:t>SUBISIDIARY GUARANTORS:</w:t>
      </w:r>
    </w:p>
    <w:p>
      <w:pPr>
        <w:spacing w:after="0" w:line="2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AF MOTORS, L.L.C.</w:t>
      </w:r>
    </w:p>
    <w:p>
      <w:pPr>
        <w:spacing w:after="0" w:line="2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ANL, L.P.</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ARKANSAS AUTOMOTIVE SERVICES,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ANT,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AR NISS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ARLINGTON MB,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ART,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AC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AU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BM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CHEV,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CHEVROLET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FORD,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HON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HUND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INF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INFINITI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JAGUAR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K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LEX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NIS II,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NIS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TOY 2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TOY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VB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ATLANTA VL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AURORA TOY,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ASBURY AUTOMOTIVE ARKANSAS DEALERSHIP HOLDINGS L.L.C.</w:t>
      </w:r>
    </w:p>
    <w:p>
      <w:pPr>
        <w:spacing w:after="0" w:line="1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ARKANSAS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ATLANTA II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ATLANTA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BRANDON, L.P.</w:t>
      </w:r>
    </w:p>
    <w:p>
      <w:pPr>
        <w:spacing w:after="0" w:line="1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David W.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0388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38860" cy="8890"/>
                    </a:xfrm>
                    <a:prstGeom prst="rect">
                      <a:avLst/>
                    </a:prstGeom>
                    <a:noFill/>
                  </pic:spPr>
                </pic:pic>
              </a:graphicData>
            </a:graphic>
          </wp:anchor>
        </w:drawing>
      </w:r>
    </w:p>
    <w:p>
      <w:pPr>
        <w:spacing w:after="0" w:line="2" w:lineRule="exact"/>
        <w:rPr>
          <w:sz w:val="20"/>
          <w:szCs w:val="20"/>
          <w:color w:val="auto"/>
        </w:rPr>
      </w:pPr>
    </w:p>
    <w:p>
      <w:pPr>
        <w:ind w:left="2780"/>
        <w:spacing w:after="0"/>
        <w:tabs>
          <w:tab w:leader="none" w:pos="4020" w:val="left"/>
        </w:tabs>
        <w:rPr>
          <w:sz w:val="20"/>
          <w:szCs w:val="20"/>
          <w:color w:val="auto"/>
        </w:rPr>
      </w:pPr>
      <w:r>
        <w:rPr>
          <w:rFonts w:ascii="Times New Roman" w:cs="Times New Roman" w:eastAsia="Times New Roman" w:hAnsi="Times New Roman"/>
          <w:sz w:val="20"/>
          <w:szCs w:val="20"/>
          <w:color w:val="auto"/>
        </w:rPr>
        <w:t>Typed Name:</w:t>
      </w:r>
      <w:r>
        <w:rPr>
          <w:sz w:val="20"/>
          <w:szCs w:val="20"/>
          <w:color w:val="auto"/>
        </w:rPr>
        <w:tab/>
      </w:r>
      <w:r>
        <w:rPr>
          <w:rFonts w:ascii="Times New Roman" w:cs="Times New Roman" w:eastAsia="Times New Roman" w:hAnsi="Times New Roman"/>
          <w:sz w:val="19"/>
          <w:szCs w:val="19"/>
          <w:color w:val="auto"/>
        </w:rPr>
        <w:t>David W. Hult</w:t>
      </w:r>
    </w:p>
    <w:p>
      <w:pPr>
        <w:spacing w:after="0" w:line="6" w:lineRule="exact"/>
        <w:rPr>
          <w:sz w:val="20"/>
          <w:szCs w:val="20"/>
          <w:color w:val="auto"/>
        </w:rPr>
      </w:pPr>
    </w:p>
    <w:p>
      <w:pPr>
        <w:ind w:left="2780"/>
        <w:spacing w:after="0"/>
        <w:tabs>
          <w:tab w:leader="none" w:pos="3920" w:val="left"/>
        </w:tabs>
        <w:rPr>
          <w:sz w:val="20"/>
          <w:szCs w:val="20"/>
          <w:color w:val="auto"/>
        </w:rPr>
      </w:pPr>
      <w:r>
        <w:rPr>
          <w:rFonts w:ascii="Times New Roman" w:cs="Times New Roman" w:eastAsia="Times New Roman" w:hAnsi="Times New Roman"/>
          <w:sz w:val="20"/>
          <w:szCs w:val="20"/>
          <w:color w:val="auto"/>
        </w:rPr>
        <w:t>Typed Title:</w:t>
      </w:r>
      <w:r>
        <w:rPr>
          <w:sz w:val="20"/>
          <w:szCs w:val="20"/>
          <w:color w:val="auto"/>
        </w:rPr>
        <w:tab/>
      </w:r>
      <w:r>
        <w:rPr>
          <w:rFonts w:ascii="Times New Roman" w:cs="Times New Roman" w:eastAsia="Times New Roman" w:hAnsi="Times New Roman"/>
          <w:sz w:val="19"/>
          <w:szCs w:val="19"/>
          <w:color w:val="auto"/>
        </w:rPr>
        <w:t>President and Chief Executive Officer</w:t>
      </w:r>
    </w:p>
    <w:p>
      <w:pPr>
        <w:sectPr>
          <w:pgSz w:w="11900" w:h="16838" w:orient="portrait"/>
          <w:cols w:equalWidth="0" w:num="1">
            <w:col w:w="9220"/>
          </w:cols>
          <w:pgMar w:left="1440" w:top="1409"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220"/>
          </w:cols>
          <w:pgMar w:left="1440" w:top="1409" w:right="1239" w:bottom="1440" w:gutter="0" w:footer="0" w:header="0"/>
          <w:type w:val="continuous"/>
        </w:sectPr>
      </w:pPr>
    </w:p>
    <w:bookmarkStart w:id="28" w:name="page29"/>
    <w:bookmarkEnd w:id="28"/>
    <w:p>
      <w:pPr>
        <w:ind w:left="2780"/>
        <w:spacing w:after="0"/>
        <w:rPr>
          <w:sz w:val="20"/>
          <w:szCs w:val="20"/>
          <w:color w:val="auto"/>
        </w:rPr>
      </w:pPr>
      <w:r>
        <w:rPr>
          <w:rFonts w:ascii="Times New Roman" w:cs="Times New Roman" w:eastAsia="Times New Roman" w:hAnsi="Times New Roman"/>
          <w:sz w:val="20"/>
          <w:szCs w:val="20"/>
          <w:b w:val="1"/>
          <w:bCs w:val="1"/>
          <w:u w:val="single" w:color="auto"/>
          <w:color w:val="auto"/>
        </w:rPr>
        <w:t>SUBSIDIARY GUARANTORS</w:t>
      </w:r>
      <w:r>
        <w:rPr>
          <w:rFonts w:ascii="Times New Roman" w:cs="Times New Roman" w:eastAsia="Times New Roman" w:hAnsi="Times New Roman"/>
          <w:sz w:val="20"/>
          <w:szCs w:val="20"/>
          <w:b w:val="1"/>
          <w:bCs w:val="1"/>
          <w:i w:val="1"/>
          <w:iCs w:val="1"/>
          <w:u w:val="single" w:color="auto"/>
          <w:color w:val="auto"/>
        </w:rPr>
        <w:t>, continued</w:t>
      </w:r>
      <w:r>
        <w:rPr>
          <w:rFonts w:ascii="Times New Roman" w:cs="Times New Roman" w:eastAsia="Times New Roman" w:hAnsi="Times New Roman"/>
          <w:sz w:val="20"/>
          <w:szCs w:val="20"/>
          <w:b w:val="1"/>
          <w:bCs w:val="1"/>
          <w:u w:val="single" w:color="auto"/>
          <w:color w:val="auto"/>
        </w:rPr>
        <w:t>:</w:t>
      </w:r>
    </w:p>
    <w:p>
      <w:pPr>
        <w:spacing w:after="0" w:line="1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CENTRAL FLORIDA, L.L.C.</w:t>
      </w:r>
    </w:p>
    <w:p>
      <w:pPr>
        <w:spacing w:after="0" w:line="2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DELAND,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FRESNO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GROUP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JACKSONVILLE GP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JACKSONVILLE, L.P.</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MANAGEMENT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MISSISSIPPI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ASBURY AUTOMOTIVE NORTH CAROLINA DEALERSHIP HOLDINGS L.L.C.</w:t>
      </w:r>
    </w:p>
    <w:p>
      <w:pPr>
        <w:spacing w:after="0" w:line="1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NORTH CAROLINA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NORTH CAROLINA MANAGEMENT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ASBURY AUTOMOTIVE NORTH CAROLINA REAL ESTATE HOLDINGS L.L.C.</w:t>
      </w:r>
    </w:p>
    <w:p>
      <w:pPr>
        <w:spacing w:after="0" w:line="1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OREGON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SOUTHERN CALIFORNIA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ST. LOUIS II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ST. LOUIS,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TAMPA GP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TAMPA, L.P.</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TEXAS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TEXAS REAL ESTATE HOLDINGS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AUTOMOTIVE WEST,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BALTIMORE F,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CATONSVILLE M,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CH MOTORS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CLARKSVILLE CBG,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CO CDJR,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CO GEN,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CO HG,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CO LEX,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CO SUB,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DALLAS MB,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DALLAS POR,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DALLAS VOL,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DELAND HUND,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ASBURY-DELAND IMPORTS, L.L.C.</w:t>
      </w:r>
    </w:p>
    <w:p>
      <w:pPr>
        <w:spacing w:after="0" w:line="14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David W.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0388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38860" cy="8890"/>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4020" w:val="left"/>
        </w:tabs>
        <w:rPr>
          <w:sz w:val="20"/>
          <w:szCs w:val="20"/>
          <w:color w:val="auto"/>
        </w:rPr>
      </w:pPr>
      <w:r>
        <w:rPr>
          <w:rFonts w:ascii="Times New Roman" w:cs="Times New Roman" w:eastAsia="Times New Roman" w:hAnsi="Times New Roman"/>
          <w:sz w:val="20"/>
          <w:szCs w:val="20"/>
          <w:color w:val="auto"/>
        </w:rPr>
        <w:t>Typed Name:</w:t>
      </w:r>
      <w:r>
        <w:rPr>
          <w:sz w:val="20"/>
          <w:szCs w:val="20"/>
          <w:color w:val="auto"/>
        </w:rPr>
        <w:tab/>
      </w:r>
      <w:r>
        <w:rPr>
          <w:rFonts w:ascii="Times New Roman" w:cs="Times New Roman" w:eastAsia="Times New Roman" w:hAnsi="Times New Roman"/>
          <w:sz w:val="19"/>
          <w:szCs w:val="19"/>
          <w:color w:val="auto"/>
        </w:rPr>
        <w:t>David W. Hult</w:t>
      </w:r>
    </w:p>
    <w:p>
      <w:pPr>
        <w:spacing w:after="0" w:line="13" w:lineRule="exact"/>
        <w:rPr>
          <w:sz w:val="20"/>
          <w:szCs w:val="20"/>
          <w:color w:val="auto"/>
        </w:rPr>
      </w:pPr>
    </w:p>
    <w:p>
      <w:pPr>
        <w:ind w:left="2780"/>
        <w:spacing w:after="0"/>
        <w:tabs>
          <w:tab w:leader="none" w:pos="3920" w:val="left"/>
        </w:tabs>
        <w:rPr>
          <w:sz w:val="20"/>
          <w:szCs w:val="20"/>
          <w:color w:val="auto"/>
        </w:rPr>
      </w:pPr>
      <w:r>
        <w:rPr>
          <w:rFonts w:ascii="Times New Roman" w:cs="Times New Roman" w:eastAsia="Times New Roman" w:hAnsi="Times New Roman"/>
          <w:sz w:val="20"/>
          <w:szCs w:val="20"/>
          <w:color w:val="auto"/>
        </w:rPr>
        <w:t>Typed Title:</w:t>
      </w:r>
      <w:r>
        <w:rPr>
          <w:sz w:val="20"/>
          <w:szCs w:val="20"/>
          <w:color w:val="auto"/>
        </w:rPr>
        <w:tab/>
      </w:r>
      <w:r>
        <w:rPr>
          <w:rFonts w:ascii="Times New Roman" w:cs="Times New Roman" w:eastAsia="Times New Roman" w:hAnsi="Times New Roman"/>
          <w:sz w:val="19"/>
          <w:szCs w:val="19"/>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040"/>
          </w:cols>
          <w:pgMar w:left="1440" w:top="1409" w:right="419" w:bottom="1440" w:gutter="0" w:footer="0" w:header="0"/>
        </w:sectPr>
      </w:pPr>
    </w:p>
    <w:bookmarkStart w:id="29" w:name="page30"/>
    <w:bookmarkEnd w:id="29"/>
    <w:p>
      <w:pPr>
        <w:ind w:left="2780"/>
        <w:spacing w:after="0"/>
        <w:rPr>
          <w:sz w:val="20"/>
          <w:szCs w:val="20"/>
          <w:color w:val="auto"/>
        </w:rPr>
      </w:pPr>
      <w:r>
        <w:rPr>
          <w:rFonts w:ascii="Times New Roman" w:cs="Times New Roman" w:eastAsia="Times New Roman" w:hAnsi="Times New Roman"/>
          <w:sz w:val="20"/>
          <w:szCs w:val="20"/>
          <w:b w:val="1"/>
          <w:bCs w:val="1"/>
          <w:u w:val="single" w:color="auto"/>
          <w:color w:val="auto"/>
        </w:rPr>
        <w:t>SUBSIDIARY GUARANTORS</w:t>
      </w:r>
      <w:r>
        <w:rPr>
          <w:rFonts w:ascii="Times New Roman" w:cs="Times New Roman" w:eastAsia="Times New Roman" w:hAnsi="Times New Roman"/>
          <w:sz w:val="20"/>
          <w:szCs w:val="20"/>
          <w:b w:val="1"/>
          <w:bCs w:val="1"/>
          <w:i w:val="1"/>
          <w:iCs w:val="1"/>
          <w:u w:val="single" w:color="auto"/>
          <w:color w:val="auto"/>
        </w:rPr>
        <w:t>, continued</w:t>
      </w:r>
      <w:r>
        <w:rPr>
          <w:rFonts w:ascii="Times New Roman" w:cs="Times New Roman" w:eastAsia="Times New Roman" w:hAnsi="Times New Roman"/>
          <w:sz w:val="20"/>
          <w:szCs w:val="20"/>
          <w:b w:val="1"/>
          <w:bCs w:val="1"/>
          <w:u w:val="single" w:color="auto"/>
          <w:color w:val="auto"/>
        </w:rPr>
        <w:t>:</w:t>
      </w:r>
    </w:p>
    <w:p>
      <w:pPr>
        <w:spacing w:after="0" w:line="17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DELAND IMPORTS 2, L.L.C.</w:t>
      </w:r>
    </w:p>
    <w:p>
      <w:pPr>
        <w:spacing w:after="0" w:line="2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DFW JLR,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EASTON 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FCF,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FRESNO IMPORTS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FT. WORTH FORD,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FORT WORTH MB,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GEORGIA TOY,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GREELEY SUB,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IN CBG,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IN CDJ,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IN CHEV,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IN FORD,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IN HON,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IN TOY,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INDY CHEV,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JAX AC,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JAX FORD,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JAX HOLDINGS, L.P.</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JAX HON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JAX K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JAX MANAGEMENT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JAX VW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LAKEWOOD CHEV,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LAKEWOOD TOY,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LITTLETON JLR,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LITTLETON POR,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LONGMONT HUND,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MID-ATLANTIC,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MS CHEV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MS GRAY-DANIELS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NO CAL NISS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NOBLESVILLE CDJR,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OMK,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PLANO LEX,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RISK SERVICES,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SACRAMENTO IMPORTS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SC JPV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SC LEX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SC TOY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SO CAL DC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SO CAL HON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SO CAL NISS L.L.C.</w:t>
      </w:r>
    </w:p>
    <w:p>
      <w:pPr>
        <w:spacing w:after="0" w:line="14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David W.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1639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63955" cy="8890"/>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4020" w:val="left"/>
        </w:tabs>
        <w:rPr>
          <w:sz w:val="20"/>
          <w:szCs w:val="20"/>
          <w:color w:val="auto"/>
        </w:rPr>
      </w:pPr>
      <w:r>
        <w:rPr>
          <w:rFonts w:ascii="Times New Roman" w:cs="Times New Roman" w:eastAsia="Times New Roman" w:hAnsi="Times New Roman"/>
          <w:sz w:val="20"/>
          <w:szCs w:val="20"/>
          <w:color w:val="auto"/>
        </w:rPr>
        <w:t>Typed Name:</w:t>
      </w:r>
      <w:r>
        <w:rPr>
          <w:sz w:val="20"/>
          <w:szCs w:val="20"/>
          <w:color w:val="auto"/>
        </w:rPr>
        <w:tab/>
      </w:r>
      <w:r>
        <w:rPr>
          <w:rFonts w:ascii="Times New Roman" w:cs="Times New Roman" w:eastAsia="Times New Roman" w:hAnsi="Times New Roman"/>
          <w:sz w:val="19"/>
          <w:szCs w:val="19"/>
          <w:color w:val="auto"/>
        </w:rPr>
        <w:t>David W. Hult</w:t>
      </w:r>
    </w:p>
    <w:p>
      <w:pPr>
        <w:spacing w:after="0" w:line="6" w:lineRule="exact"/>
        <w:rPr>
          <w:sz w:val="20"/>
          <w:szCs w:val="20"/>
          <w:color w:val="auto"/>
        </w:rPr>
      </w:pPr>
    </w:p>
    <w:p>
      <w:pPr>
        <w:ind w:left="2780"/>
        <w:spacing w:after="0"/>
        <w:tabs>
          <w:tab w:leader="none" w:pos="3920" w:val="left"/>
        </w:tabs>
        <w:rPr>
          <w:sz w:val="20"/>
          <w:szCs w:val="20"/>
          <w:color w:val="auto"/>
        </w:rPr>
      </w:pPr>
      <w:r>
        <w:rPr>
          <w:rFonts w:ascii="Times New Roman" w:cs="Times New Roman" w:eastAsia="Times New Roman" w:hAnsi="Times New Roman"/>
          <w:sz w:val="20"/>
          <w:szCs w:val="20"/>
          <w:color w:val="auto"/>
        </w:rPr>
        <w:t>Typed Title:</w:t>
      </w:r>
      <w:r>
        <w:rPr>
          <w:sz w:val="20"/>
          <w:szCs w:val="20"/>
          <w:color w:val="auto"/>
        </w:rPr>
        <w:tab/>
      </w:r>
      <w:r>
        <w:rPr>
          <w:rFonts w:ascii="Times New Roman" w:cs="Times New Roman" w:eastAsia="Times New Roman" w:hAnsi="Times New Roman"/>
          <w:sz w:val="19"/>
          <w:szCs w:val="19"/>
          <w:color w:val="auto"/>
        </w:rPr>
        <w:t>President and Chief Executive Officer</w:t>
      </w:r>
    </w:p>
    <w:p>
      <w:pPr>
        <w:sectPr>
          <w:pgSz w:w="11900" w:h="16838" w:orient="portrait"/>
          <w:cols w:equalWidth="0" w:num="1">
            <w:col w:w="9019"/>
          </w:cols>
          <w:pgMar w:left="144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type w:val="continuous"/>
        </w:sectPr>
      </w:pPr>
    </w:p>
    <w:bookmarkStart w:id="30" w:name="page31"/>
    <w:bookmarkEnd w:id="30"/>
    <w:p>
      <w:pPr>
        <w:ind w:left="2780"/>
        <w:spacing w:after="0"/>
        <w:rPr>
          <w:sz w:val="20"/>
          <w:szCs w:val="20"/>
          <w:color w:val="auto"/>
        </w:rPr>
      </w:pPr>
      <w:r>
        <w:rPr>
          <w:rFonts w:ascii="Times New Roman" w:cs="Times New Roman" w:eastAsia="Times New Roman" w:hAnsi="Times New Roman"/>
          <w:sz w:val="20"/>
          <w:szCs w:val="20"/>
          <w:b w:val="1"/>
          <w:bCs w:val="1"/>
          <w:u w:val="single" w:color="auto"/>
          <w:color w:val="auto"/>
        </w:rPr>
        <w:t>SUBSIDIARY GUARANTORS</w:t>
      </w:r>
      <w:r>
        <w:rPr>
          <w:rFonts w:ascii="Times New Roman" w:cs="Times New Roman" w:eastAsia="Times New Roman" w:hAnsi="Times New Roman"/>
          <w:sz w:val="20"/>
          <w:szCs w:val="20"/>
          <w:b w:val="1"/>
          <w:bCs w:val="1"/>
          <w:i w:val="1"/>
          <w:iCs w:val="1"/>
          <w:u w:val="single" w:color="auto"/>
          <w:color w:val="auto"/>
        </w:rPr>
        <w:t>, continued</w:t>
      </w:r>
      <w:r>
        <w:rPr>
          <w:rFonts w:ascii="Times New Roman" w:cs="Times New Roman" w:eastAsia="Times New Roman" w:hAnsi="Times New Roman"/>
          <w:sz w:val="20"/>
          <w:szCs w:val="20"/>
          <w:b w:val="1"/>
          <w:bCs w:val="1"/>
          <w:u w:val="single" w:color="auto"/>
          <w:color w:val="auto"/>
        </w:rPr>
        <w:t>:</w:t>
      </w:r>
    </w:p>
    <w:p>
      <w:pPr>
        <w:spacing w:after="0" w:line="1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ASBURY SOUTH CAROLINA REAL ESTATE HOLDINGS L.L.C.</w:t>
      </w:r>
    </w:p>
    <w:p>
      <w:pPr>
        <w:spacing w:after="0" w:line="3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ST. LOUIS CADILLAC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ST. LOUIS FSKR,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ST. LOUIS LEX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ST. LOUIS LR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ST. LOUIS M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STERLING F,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TAMPA MANAGEMENT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TEXAS D FSKR,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TEXAS H FSKR,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ASBURY TX AUCTION,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ASBURY TYSONS CBG,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ASBURY TYSONS CDJR, LLC</w:t>
      </w:r>
    </w:p>
    <w:p>
      <w:pPr>
        <w:ind w:left="2780"/>
        <w:spacing w:after="0" w:line="226" w:lineRule="auto"/>
        <w:rPr>
          <w:sz w:val="20"/>
          <w:szCs w:val="20"/>
          <w:color w:val="auto"/>
        </w:rPr>
      </w:pPr>
      <w:r>
        <w:rPr>
          <w:rFonts w:ascii="Times New Roman" w:cs="Times New Roman" w:eastAsia="Times New Roman" w:hAnsi="Times New Roman"/>
          <w:sz w:val="20"/>
          <w:szCs w:val="20"/>
          <w:b w:val="1"/>
          <w:bCs w:val="1"/>
          <w:color w:val="auto"/>
        </w:rPr>
        <w:t>ASBURY TYSONS T,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ASBURY WESTMINSTER T, LLC</w:t>
      </w:r>
    </w:p>
    <w:p>
      <w:pPr>
        <w:ind w:left="2780"/>
        <w:spacing w:after="0" w:line="226" w:lineRule="auto"/>
        <w:rPr>
          <w:sz w:val="20"/>
          <w:szCs w:val="20"/>
          <w:color w:val="auto"/>
        </w:rPr>
      </w:pPr>
      <w:r>
        <w:rPr>
          <w:rFonts w:ascii="Times New Roman" w:cs="Times New Roman" w:eastAsia="Times New Roman" w:hAnsi="Times New Roman"/>
          <w:sz w:val="20"/>
          <w:szCs w:val="20"/>
          <w:b w:val="1"/>
          <w:bCs w:val="1"/>
          <w:color w:val="auto"/>
        </w:rPr>
        <w:t>ASBURY WILMINGTON L,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ASBURY WMC,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ASBURY WMV, LLC</w:t>
      </w:r>
    </w:p>
    <w:p>
      <w:pPr>
        <w:ind w:left="2780"/>
        <w:spacing w:after="0" w:line="226" w:lineRule="auto"/>
        <w:rPr>
          <w:sz w:val="20"/>
          <w:szCs w:val="20"/>
          <w:color w:val="auto"/>
        </w:rPr>
      </w:pPr>
      <w:r>
        <w:rPr>
          <w:rFonts w:ascii="Times New Roman" w:cs="Times New Roman" w:eastAsia="Times New Roman" w:hAnsi="Times New Roman"/>
          <w:sz w:val="20"/>
          <w:szCs w:val="20"/>
          <w:b w:val="1"/>
          <w:bCs w:val="1"/>
          <w:color w:val="auto"/>
        </w:rPr>
        <w:t>ASBURY WOODBRIDGE BG,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ASBURY WOODBRIDGE F, LLC</w:t>
      </w:r>
    </w:p>
    <w:p>
      <w:pPr>
        <w:ind w:left="2780"/>
        <w:spacing w:after="0" w:line="226" w:lineRule="auto"/>
        <w:rPr>
          <w:sz w:val="20"/>
          <w:szCs w:val="20"/>
          <w:color w:val="auto"/>
        </w:rPr>
      </w:pPr>
      <w:r>
        <w:rPr>
          <w:rFonts w:ascii="Times New Roman" w:cs="Times New Roman" w:eastAsia="Times New Roman" w:hAnsi="Times New Roman"/>
          <w:sz w:val="20"/>
          <w:szCs w:val="20"/>
          <w:b w:val="1"/>
          <w:bCs w:val="1"/>
          <w:color w:val="auto"/>
        </w:rPr>
        <w:t>ASBURY WOODBRIDGE H,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ASBURY WOODBRIDGE K, LLC</w:t>
      </w:r>
    </w:p>
    <w:p>
      <w:pPr>
        <w:ind w:left="2780"/>
        <w:spacing w:after="0"/>
        <w:rPr>
          <w:sz w:val="20"/>
          <w:szCs w:val="20"/>
          <w:color w:val="auto"/>
        </w:rPr>
      </w:pPr>
      <w:r>
        <w:rPr>
          <w:rFonts w:ascii="Times New Roman" w:cs="Times New Roman" w:eastAsia="Times New Roman" w:hAnsi="Times New Roman"/>
          <w:sz w:val="20"/>
          <w:szCs w:val="20"/>
          <w:b w:val="1"/>
          <w:bCs w:val="1"/>
          <w:color w:val="auto"/>
        </w:rPr>
        <w:t>ATLANTA REAL ESTATE HOLDINGS L.L.C.</w:t>
      </w:r>
    </w:p>
    <w:p>
      <w:pPr>
        <w:ind w:left="2780"/>
        <w:spacing w:after="0"/>
        <w:rPr>
          <w:sz w:val="20"/>
          <w:szCs w:val="20"/>
          <w:color w:val="auto"/>
        </w:rPr>
      </w:pPr>
      <w:r>
        <w:rPr>
          <w:rFonts w:ascii="Times New Roman" w:cs="Times New Roman" w:eastAsia="Times New Roman" w:hAnsi="Times New Roman"/>
          <w:sz w:val="20"/>
          <w:szCs w:val="20"/>
          <w:b w:val="1"/>
          <w:bCs w:val="1"/>
          <w:color w:val="auto"/>
        </w:rPr>
        <w:t>AVENUES MOTORS, LTD.</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BAYWAY FINANCIAL SERVICES, L.P.</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BFP MOTORS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 &amp; O PROPERTIES, LTD.</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CAMCO FINANCE II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CFP MOTORS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CH MOTORS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CHO PARTNERSHIP, LTD.</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CK CHEVROLET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CK MOTORS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CN MOTORS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COGGIN AUTOMOTIVE CORP.</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COGGIN CARS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COGGIN CHEVROLET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COGGIN MANAGEMENT, L.P.</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CP-GMC MOTORS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ACURA/NISSAN,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CHH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CHO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CHV L.L.C.</w:t>
      </w:r>
    </w:p>
    <w:p>
      <w:pPr>
        <w:spacing w:after="0" w:line="153"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David W.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5100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10030" cy="8890"/>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4020" w:val="left"/>
        </w:tabs>
        <w:rPr>
          <w:sz w:val="20"/>
          <w:szCs w:val="20"/>
          <w:color w:val="auto"/>
        </w:rPr>
      </w:pPr>
      <w:r>
        <w:rPr>
          <w:rFonts w:ascii="Times New Roman" w:cs="Times New Roman" w:eastAsia="Times New Roman" w:hAnsi="Times New Roman"/>
          <w:sz w:val="20"/>
          <w:szCs w:val="20"/>
          <w:color w:val="auto"/>
        </w:rPr>
        <w:t>Typed Name:</w:t>
      </w:r>
      <w:r>
        <w:rPr>
          <w:sz w:val="20"/>
          <w:szCs w:val="20"/>
          <w:color w:val="auto"/>
        </w:rPr>
        <w:tab/>
      </w:r>
      <w:r>
        <w:rPr>
          <w:rFonts w:ascii="Times New Roman" w:cs="Times New Roman" w:eastAsia="Times New Roman" w:hAnsi="Times New Roman"/>
          <w:sz w:val="19"/>
          <w:szCs w:val="19"/>
          <w:color w:val="auto"/>
        </w:rPr>
        <w:t>David W. Hult</w:t>
      </w:r>
    </w:p>
    <w:p>
      <w:pPr>
        <w:spacing w:after="0" w:line="6" w:lineRule="exact"/>
        <w:rPr>
          <w:sz w:val="20"/>
          <w:szCs w:val="20"/>
          <w:color w:val="auto"/>
        </w:rPr>
      </w:pPr>
    </w:p>
    <w:p>
      <w:pPr>
        <w:ind w:left="2780"/>
        <w:spacing w:after="0"/>
        <w:tabs>
          <w:tab w:leader="none" w:pos="3920" w:val="left"/>
        </w:tabs>
        <w:rPr>
          <w:sz w:val="20"/>
          <w:szCs w:val="20"/>
          <w:color w:val="auto"/>
        </w:rPr>
      </w:pPr>
      <w:r>
        <w:rPr>
          <w:rFonts w:ascii="Times New Roman" w:cs="Times New Roman" w:eastAsia="Times New Roman" w:hAnsi="Times New Roman"/>
          <w:sz w:val="20"/>
          <w:szCs w:val="20"/>
          <w:color w:val="auto"/>
        </w:rPr>
        <w:t>Typed Title:</w:t>
      </w:r>
      <w:r>
        <w:rPr>
          <w:sz w:val="20"/>
          <w:szCs w:val="20"/>
          <w:color w:val="auto"/>
        </w:rPr>
        <w:tab/>
      </w:r>
      <w:r>
        <w:rPr>
          <w:rFonts w:ascii="Times New Roman" w:cs="Times New Roman" w:eastAsia="Times New Roman" w:hAnsi="Times New Roman"/>
          <w:sz w:val="19"/>
          <w:szCs w:val="19"/>
          <w:color w:val="auto"/>
        </w:rPr>
        <w:t>President and Chief Executive Officer</w:t>
      </w:r>
    </w:p>
    <w:p>
      <w:pPr>
        <w:sectPr>
          <w:pgSz w:w="11900" w:h="16838" w:orient="portrait"/>
          <w:cols w:equalWidth="0" w:num="1">
            <w:col w:w="9019"/>
          </w:cols>
          <w:pgMar w:left="144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type w:val="continuous"/>
        </w:sectPr>
      </w:pPr>
    </w:p>
    <w:bookmarkStart w:id="31" w:name="page32"/>
    <w:bookmarkEnd w:id="31"/>
    <w:p>
      <w:pPr>
        <w:ind w:left="2780"/>
        <w:spacing w:after="0"/>
        <w:rPr>
          <w:sz w:val="20"/>
          <w:szCs w:val="20"/>
          <w:color w:val="auto"/>
        </w:rPr>
      </w:pPr>
      <w:r>
        <w:rPr>
          <w:rFonts w:ascii="Times New Roman" w:cs="Times New Roman" w:eastAsia="Times New Roman" w:hAnsi="Times New Roman"/>
          <w:sz w:val="20"/>
          <w:szCs w:val="20"/>
          <w:b w:val="1"/>
          <w:bCs w:val="1"/>
          <w:u w:val="single" w:color="auto"/>
          <w:color w:val="auto"/>
        </w:rPr>
        <w:t>SUBSIDIARY GUARANTORS</w:t>
      </w:r>
      <w:r>
        <w:rPr>
          <w:rFonts w:ascii="Times New Roman" w:cs="Times New Roman" w:eastAsia="Times New Roman" w:hAnsi="Times New Roman"/>
          <w:sz w:val="20"/>
          <w:szCs w:val="20"/>
          <w:b w:val="1"/>
          <w:bCs w:val="1"/>
          <w:i w:val="1"/>
          <w:iCs w:val="1"/>
          <w:u w:val="single" w:color="auto"/>
          <w:color w:val="auto"/>
        </w:rPr>
        <w:t>, continued</w:t>
      </w:r>
      <w:r>
        <w:rPr>
          <w:rFonts w:ascii="Times New Roman" w:cs="Times New Roman" w:eastAsia="Times New Roman" w:hAnsi="Times New Roman"/>
          <w:sz w:val="20"/>
          <w:szCs w:val="20"/>
          <w:b w:val="1"/>
          <w:bCs w:val="1"/>
          <w:u w:val="single" w:color="auto"/>
          <w:color w:val="auto"/>
        </w:rPr>
        <w:t>:</w:t>
      </w:r>
    </w:p>
    <w:p>
      <w:pPr>
        <w:spacing w:after="0" w:line="1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FDO L.L.C.</w:t>
      </w:r>
    </w:p>
    <w:p>
      <w:pPr>
        <w:spacing w:after="0" w:line="2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FFO HOLDINGS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FFO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GAC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GBM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GCA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GDO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GHO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GNI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GPG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GVO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HONDA,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MOTORCAR COMPANY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PBM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RIA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RIB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SJC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SNI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CSA IMPORTS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ESCUDE-NN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ESCUDE-NS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ESCUDE-T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FLORIDA AUTOMOTIVE SERVICES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HFP MOTORS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JC DEALER SYSTEMS,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KP MOTORS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LARRY H. MILLER COMPANY – BOUNTIFUL, L.L.C.</w:t>
      </w:r>
    </w:p>
    <w:p>
      <w:pPr>
        <w:spacing w:after="0" w:line="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ACD,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ACJ,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ADR, LLC</w:t>
      </w:r>
    </w:p>
    <w:p>
      <w:pPr>
        <w:ind w:left="2780"/>
        <w:spacing w:after="0" w:line="226" w:lineRule="auto"/>
        <w:rPr>
          <w:sz w:val="20"/>
          <w:szCs w:val="20"/>
          <w:color w:val="auto"/>
        </w:rPr>
      </w:pPr>
      <w:r>
        <w:rPr>
          <w:rFonts w:ascii="Times New Roman" w:cs="Times New Roman" w:eastAsia="Times New Roman" w:hAnsi="Times New Roman"/>
          <w:sz w:val="20"/>
          <w:szCs w:val="20"/>
          <w:b w:val="1"/>
          <w:bCs w:val="1"/>
          <w:color w:val="auto"/>
        </w:rPr>
        <w:t>LHM ALH,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AMT, LLC</w:t>
      </w:r>
    </w:p>
    <w:p>
      <w:pPr>
        <w:ind w:left="2780"/>
        <w:spacing w:after="0" w:line="226" w:lineRule="auto"/>
        <w:rPr>
          <w:sz w:val="20"/>
          <w:szCs w:val="20"/>
          <w:color w:val="auto"/>
        </w:rPr>
      </w:pPr>
      <w:r>
        <w:rPr>
          <w:rFonts w:ascii="Times New Roman" w:cs="Times New Roman" w:eastAsia="Times New Roman" w:hAnsi="Times New Roman"/>
          <w:sz w:val="20"/>
          <w:szCs w:val="20"/>
          <w:b w:val="1"/>
          <w:bCs w:val="1"/>
          <w:color w:val="auto"/>
        </w:rPr>
        <w:t>LHM ANI,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AUTO GP HOLDINGS,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AUTO INTERMEDIATE HOLDINGS I, LLC</w:t>
      </w:r>
    </w:p>
    <w:p>
      <w:pPr>
        <w:ind w:left="2780"/>
        <w:spacing w:after="0" w:line="226" w:lineRule="auto"/>
        <w:rPr>
          <w:sz w:val="20"/>
          <w:szCs w:val="20"/>
          <w:color w:val="auto"/>
        </w:rPr>
      </w:pPr>
      <w:r>
        <w:rPr>
          <w:rFonts w:ascii="Times New Roman" w:cs="Times New Roman" w:eastAsia="Times New Roman" w:hAnsi="Times New Roman"/>
          <w:sz w:val="20"/>
          <w:szCs w:val="20"/>
          <w:b w:val="1"/>
          <w:bCs w:val="1"/>
          <w:color w:val="auto"/>
        </w:rPr>
        <w:t>LHM AUTO INTERMEDIATE HOLDINGS II,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AVW, LLC</w:t>
      </w:r>
    </w:p>
    <w:p>
      <w:pPr>
        <w:ind w:left="2780"/>
        <w:spacing w:after="0" w:line="226" w:lineRule="auto"/>
        <w:rPr>
          <w:sz w:val="20"/>
          <w:szCs w:val="20"/>
          <w:color w:val="auto"/>
        </w:rPr>
      </w:pPr>
      <w:r>
        <w:rPr>
          <w:rFonts w:ascii="Times New Roman" w:cs="Times New Roman" w:eastAsia="Times New Roman" w:hAnsi="Times New Roman"/>
          <w:sz w:val="20"/>
          <w:szCs w:val="20"/>
          <w:b w:val="1"/>
          <w:bCs w:val="1"/>
          <w:color w:val="auto"/>
        </w:rPr>
        <w:t>LHM BCD,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BSU,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BUC, LLC</w:t>
      </w:r>
    </w:p>
    <w:p>
      <w:pPr>
        <w:ind w:left="2780"/>
        <w:spacing w:after="0" w:line="226" w:lineRule="auto"/>
        <w:rPr>
          <w:sz w:val="20"/>
          <w:szCs w:val="20"/>
          <w:color w:val="auto"/>
        </w:rPr>
      </w:pPr>
      <w:r>
        <w:rPr>
          <w:rFonts w:ascii="Times New Roman" w:cs="Times New Roman" w:eastAsia="Times New Roman" w:hAnsi="Times New Roman"/>
          <w:sz w:val="20"/>
          <w:szCs w:val="20"/>
          <w:b w:val="1"/>
          <w:bCs w:val="1"/>
          <w:color w:val="auto"/>
        </w:rPr>
        <w:t>LHM CHV,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COLLISION CSCO, LLC</w:t>
      </w:r>
    </w:p>
    <w:p>
      <w:pPr>
        <w:ind w:left="2780"/>
        <w:spacing w:after="0" w:line="226" w:lineRule="auto"/>
        <w:rPr>
          <w:sz w:val="20"/>
          <w:szCs w:val="20"/>
          <w:color w:val="auto"/>
        </w:rPr>
      </w:pPr>
      <w:r>
        <w:rPr>
          <w:rFonts w:ascii="Times New Roman" w:cs="Times New Roman" w:eastAsia="Times New Roman" w:hAnsi="Times New Roman"/>
          <w:sz w:val="20"/>
          <w:szCs w:val="20"/>
          <w:b w:val="1"/>
          <w:bCs w:val="1"/>
          <w:color w:val="auto"/>
        </w:rPr>
        <w:t>LHM COLLISION OCC, LLC</w:t>
      </w:r>
    </w:p>
    <w:p>
      <w:pPr>
        <w:ind w:left="2780"/>
        <w:spacing w:after="0"/>
        <w:rPr>
          <w:sz w:val="20"/>
          <w:szCs w:val="20"/>
          <w:color w:val="auto"/>
        </w:rPr>
      </w:pPr>
      <w:r>
        <w:rPr>
          <w:rFonts w:ascii="Times New Roman" w:cs="Times New Roman" w:eastAsia="Times New Roman" w:hAnsi="Times New Roman"/>
          <w:sz w:val="20"/>
          <w:szCs w:val="20"/>
          <w:b w:val="1"/>
          <w:bCs w:val="1"/>
          <w:color w:val="auto"/>
        </w:rPr>
        <w:t>LHM CTO, LLC</w:t>
      </w:r>
    </w:p>
    <w:p>
      <w:pPr>
        <w:spacing w:after="0" w:line="126"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David W.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5100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10030" cy="8890"/>
                    </a:xfrm>
                    <a:prstGeom prst="rect">
                      <a:avLst/>
                    </a:prstGeom>
                    <a:noFill/>
                  </pic:spPr>
                </pic:pic>
              </a:graphicData>
            </a:graphic>
          </wp:anchor>
        </w:drawing>
      </w:r>
    </w:p>
    <w:p>
      <w:pPr>
        <w:ind w:left="2780"/>
        <w:spacing w:after="0"/>
        <w:tabs>
          <w:tab w:leader="none" w:pos="4020" w:val="left"/>
        </w:tabs>
        <w:rPr>
          <w:sz w:val="20"/>
          <w:szCs w:val="20"/>
          <w:color w:val="auto"/>
        </w:rPr>
      </w:pPr>
      <w:r>
        <w:rPr>
          <w:rFonts w:ascii="Times New Roman" w:cs="Times New Roman" w:eastAsia="Times New Roman" w:hAnsi="Times New Roman"/>
          <w:sz w:val="20"/>
          <w:szCs w:val="20"/>
          <w:color w:val="auto"/>
        </w:rPr>
        <w:t>Typed Name:</w:t>
      </w:r>
      <w:r>
        <w:rPr>
          <w:sz w:val="20"/>
          <w:szCs w:val="20"/>
          <w:color w:val="auto"/>
        </w:rPr>
        <w:tab/>
      </w:r>
      <w:r>
        <w:rPr>
          <w:rFonts w:ascii="Times New Roman" w:cs="Times New Roman" w:eastAsia="Times New Roman" w:hAnsi="Times New Roman"/>
          <w:sz w:val="19"/>
          <w:szCs w:val="19"/>
          <w:color w:val="auto"/>
        </w:rPr>
        <w:t>David W. Hult</w:t>
      </w:r>
    </w:p>
    <w:p>
      <w:pPr>
        <w:ind w:left="2780"/>
        <w:spacing w:after="0"/>
        <w:tabs>
          <w:tab w:leader="none" w:pos="3920" w:val="left"/>
        </w:tabs>
        <w:rPr>
          <w:sz w:val="20"/>
          <w:szCs w:val="20"/>
          <w:color w:val="auto"/>
        </w:rPr>
      </w:pPr>
      <w:r>
        <w:rPr>
          <w:rFonts w:ascii="Times New Roman" w:cs="Times New Roman" w:eastAsia="Times New Roman" w:hAnsi="Times New Roman"/>
          <w:sz w:val="20"/>
          <w:szCs w:val="20"/>
          <w:color w:val="auto"/>
        </w:rPr>
        <w:t>Typed Title:</w:t>
      </w:r>
      <w:r>
        <w:rPr>
          <w:sz w:val="20"/>
          <w:szCs w:val="20"/>
          <w:color w:val="auto"/>
        </w:rPr>
        <w:tab/>
      </w:r>
      <w:r>
        <w:rPr>
          <w:rFonts w:ascii="Times New Roman" w:cs="Times New Roman" w:eastAsia="Times New Roman" w:hAnsi="Times New Roman"/>
          <w:sz w:val="19"/>
          <w:szCs w:val="19"/>
          <w:color w:val="auto"/>
        </w:rPr>
        <w:t>President and Chief Executive Officer</w:t>
      </w:r>
    </w:p>
    <w:p>
      <w:pPr>
        <w:sectPr>
          <w:pgSz w:w="11900" w:h="16838" w:orient="portrait"/>
          <w:cols w:equalWidth="0" w:num="1">
            <w:col w:w="9019"/>
          </w:cols>
          <w:pgMar w:left="144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type w:val="continuous"/>
        </w:sectPr>
      </w:pPr>
    </w:p>
    <w:bookmarkStart w:id="32" w:name="page33"/>
    <w:bookmarkEnd w:id="32"/>
    <w:p>
      <w:pPr>
        <w:ind w:left="2780"/>
        <w:spacing w:after="0"/>
        <w:rPr>
          <w:sz w:val="20"/>
          <w:szCs w:val="20"/>
          <w:color w:val="auto"/>
        </w:rPr>
      </w:pPr>
      <w:r>
        <w:rPr>
          <w:rFonts w:ascii="Times New Roman" w:cs="Times New Roman" w:eastAsia="Times New Roman" w:hAnsi="Times New Roman"/>
          <w:sz w:val="20"/>
          <w:szCs w:val="20"/>
          <w:b w:val="1"/>
          <w:bCs w:val="1"/>
          <w:u w:val="single" w:color="auto"/>
          <w:color w:val="auto"/>
        </w:rPr>
        <w:t>SUBSIDIARY GUARANTORS</w:t>
      </w:r>
      <w:r>
        <w:rPr>
          <w:rFonts w:ascii="Times New Roman" w:cs="Times New Roman" w:eastAsia="Times New Roman" w:hAnsi="Times New Roman"/>
          <w:sz w:val="20"/>
          <w:szCs w:val="20"/>
          <w:b w:val="1"/>
          <w:bCs w:val="1"/>
          <w:i w:val="1"/>
          <w:iCs w:val="1"/>
          <w:u w:val="single" w:color="auto"/>
          <w:color w:val="auto"/>
        </w:rPr>
        <w:t>, continued</w:t>
      </w:r>
      <w:r>
        <w:rPr>
          <w:rFonts w:ascii="Times New Roman" w:cs="Times New Roman" w:eastAsia="Times New Roman" w:hAnsi="Times New Roman"/>
          <w:sz w:val="20"/>
          <w:szCs w:val="20"/>
          <w:b w:val="1"/>
          <w:bCs w:val="1"/>
          <w:u w:val="single" w:color="auto"/>
          <w:color w:val="auto"/>
        </w:rPr>
        <w:t>:</w:t>
      </w:r>
    </w:p>
    <w:p>
      <w:pPr>
        <w:spacing w:after="0" w:line="1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LHM DCJ, LLC</w:t>
      </w:r>
    </w:p>
    <w:p>
      <w:pPr>
        <w:ind w:left="2780"/>
        <w:spacing w:after="0" w:line="237" w:lineRule="auto"/>
        <w:rPr>
          <w:sz w:val="20"/>
          <w:szCs w:val="20"/>
          <w:color w:val="auto"/>
        </w:rPr>
      </w:pPr>
      <w:r>
        <w:rPr>
          <w:rFonts w:ascii="Times New Roman" w:cs="Times New Roman" w:eastAsia="Times New Roman" w:hAnsi="Times New Roman"/>
          <w:sz w:val="20"/>
          <w:szCs w:val="20"/>
          <w:b w:val="1"/>
          <w:bCs w:val="1"/>
          <w:color w:val="auto"/>
        </w:rPr>
        <w:t>LHM DDR, LLC</w:t>
      </w:r>
    </w:p>
    <w:p>
      <w:pPr>
        <w:ind w:left="2780"/>
        <w:spacing w:after="0" w:line="226" w:lineRule="auto"/>
        <w:rPr>
          <w:sz w:val="20"/>
          <w:szCs w:val="20"/>
          <w:color w:val="auto"/>
        </w:rPr>
      </w:pPr>
      <w:r>
        <w:rPr>
          <w:rFonts w:ascii="Times New Roman" w:cs="Times New Roman" w:eastAsia="Times New Roman" w:hAnsi="Times New Roman"/>
          <w:sz w:val="20"/>
          <w:szCs w:val="20"/>
          <w:b w:val="1"/>
          <w:bCs w:val="1"/>
          <w:color w:val="auto"/>
        </w:rPr>
        <w:t>LHM DNI,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FLT, LLC</w:t>
      </w:r>
    </w:p>
    <w:p>
      <w:pPr>
        <w:ind w:left="2780"/>
        <w:spacing w:after="0" w:line="226" w:lineRule="auto"/>
        <w:rPr>
          <w:sz w:val="20"/>
          <w:szCs w:val="20"/>
          <w:color w:val="auto"/>
        </w:rPr>
      </w:pPr>
      <w:r>
        <w:rPr>
          <w:rFonts w:ascii="Times New Roman" w:cs="Times New Roman" w:eastAsia="Times New Roman" w:hAnsi="Times New Roman"/>
          <w:sz w:val="20"/>
          <w:szCs w:val="20"/>
          <w:b w:val="1"/>
          <w:bCs w:val="1"/>
          <w:color w:val="auto"/>
        </w:rPr>
        <w:t>LHM HOB,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HON, LLC</w:t>
      </w:r>
    </w:p>
    <w:p>
      <w:pPr>
        <w:ind w:left="2780"/>
        <w:spacing w:after="0" w:line="226" w:lineRule="auto"/>
        <w:rPr>
          <w:sz w:val="20"/>
          <w:szCs w:val="20"/>
          <w:color w:val="auto"/>
        </w:rPr>
      </w:pPr>
      <w:r>
        <w:rPr>
          <w:rFonts w:ascii="Times New Roman" w:cs="Times New Roman" w:eastAsia="Times New Roman" w:hAnsi="Times New Roman"/>
          <w:sz w:val="20"/>
          <w:szCs w:val="20"/>
          <w:b w:val="1"/>
          <w:bCs w:val="1"/>
          <w:color w:val="auto"/>
        </w:rPr>
        <w:t>LHM HYN,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LCJ,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LEX, LLC</w:t>
      </w:r>
    </w:p>
    <w:p>
      <w:pPr>
        <w:ind w:left="2780"/>
        <w:spacing w:after="0" w:line="226" w:lineRule="auto"/>
        <w:rPr>
          <w:sz w:val="20"/>
          <w:szCs w:val="20"/>
          <w:color w:val="auto"/>
        </w:rPr>
      </w:pPr>
      <w:r>
        <w:rPr>
          <w:rFonts w:ascii="Times New Roman" w:cs="Times New Roman" w:eastAsia="Times New Roman" w:hAnsi="Times New Roman"/>
          <w:sz w:val="20"/>
          <w:szCs w:val="20"/>
          <w:b w:val="1"/>
          <w:bCs w:val="1"/>
          <w:color w:val="auto"/>
        </w:rPr>
        <w:t>LHM LFO,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LMD, LLC</w:t>
      </w:r>
    </w:p>
    <w:p>
      <w:pPr>
        <w:ind w:left="2780"/>
        <w:spacing w:after="0" w:line="226" w:lineRule="auto"/>
        <w:rPr>
          <w:sz w:val="20"/>
          <w:szCs w:val="20"/>
          <w:color w:val="auto"/>
        </w:rPr>
      </w:pPr>
      <w:r>
        <w:rPr>
          <w:rFonts w:ascii="Times New Roman" w:cs="Times New Roman" w:eastAsia="Times New Roman" w:hAnsi="Times New Roman"/>
          <w:sz w:val="20"/>
          <w:szCs w:val="20"/>
          <w:b w:val="1"/>
          <w:bCs w:val="1"/>
          <w:color w:val="auto"/>
        </w:rPr>
        <w:t>LHM MBL,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MFD,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MNI, LLC</w:t>
      </w:r>
    </w:p>
    <w:p>
      <w:pPr>
        <w:ind w:left="2780"/>
        <w:spacing w:after="0" w:line="226" w:lineRule="auto"/>
        <w:rPr>
          <w:sz w:val="20"/>
          <w:szCs w:val="20"/>
          <w:color w:val="auto"/>
        </w:rPr>
      </w:pPr>
      <w:r>
        <w:rPr>
          <w:rFonts w:ascii="Times New Roman" w:cs="Times New Roman" w:eastAsia="Times New Roman" w:hAnsi="Times New Roman"/>
          <w:sz w:val="20"/>
          <w:szCs w:val="20"/>
          <w:b w:val="1"/>
          <w:bCs w:val="1"/>
          <w:color w:val="auto"/>
        </w:rPr>
        <w:t>LHM MUR,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NHR, LLC</w:t>
      </w:r>
    </w:p>
    <w:p>
      <w:pPr>
        <w:ind w:left="2780"/>
        <w:spacing w:after="0" w:line="226" w:lineRule="auto"/>
        <w:rPr>
          <w:sz w:val="20"/>
          <w:szCs w:val="20"/>
          <w:color w:val="auto"/>
        </w:rPr>
      </w:pPr>
      <w:r>
        <w:rPr>
          <w:rFonts w:ascii="Times New Roman" w:cs="Times New Roman" w:eastAsia="Times New Roman" w:hAnsi="Times New Roman"/>
          <w:sz w:val="20"/>
          <w:szCs w:val="20"/>
          <w:b w:val="1"/>
          <w:bCs w:val="1"/>
          <w:color w:val="auto"/>
        </w:rPr>
        <w:t>LHM PCD,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PCH,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PEORIA GEN, LLC</w:t>
      </w:r>
    </w:p>
    <w:p>
      <w:pPr>
        <w:ind w:left="2780"/>
        <w:spacing w:after="0" w:line="226" w:lineRule="auto"/>
        <w:rPr>
          <w:sz w:val="20"/>
          <w:szCs w:val="20"/>
          <w:color w:val="auto"/>
        </w:rPr>
      </w:pPr>
      <w:r>
        <w:rPr>
          <w:rFonts w:ascii="Times New Roman" w:cs="Times New Roman" w:eastAsia="Times New Roman" w:hAnsi="Times New Roman"/>
          <w:sz w:val="20"/>
          <w:szCs w:val="20"/>
          <w:b w:val="1"/>
          <w:bCs w:val="1"/>
          <w:color w:val="auto"/>
        </w:rPr>
        <w:t>LHM PFL,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PNX, LLC</w:t>
      </w:r>
    </w:p>
    <w:p>
      <w:pPr>
        <w:ind w:left="2780"/>
        <w:spacing w:after="0" w:line="226" w:lineRule="auto"/>
        <w:rPr>
          <w:sz w:val="20"/>
          <w:szCs w:val="20"/>
          <w:color w:val="auto"/>
        </w:rPr>
      </w:pPr>
      <w:r>
        <w:rPr>
          <w:rFonts w:ascii="Times New Roman" w:cs="Times New Roman" w:eastAsia="Times New Roman" w:hAnsi="Times New Roman"/>
          <w:sz w:val="20"/>
          <w:szCs w:val="20"/>
          <w:b w:val="1"/>
          <w:bCs w:val="1"/>
          <w:color w:val="auto"/>
        </w:rPr>
        <w:t>LHM QCH,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QCJ, LLC</w:t>
      </w:r>
    </w:p>
    <w:p>
      <w:pPr>
        <w:ind w:left="2780"/>
        <w:spacing w:after="0" w:line="226" w:lineRule="auto"/>
        <w:rPr>
          <w:sz w:val="20"/>
          <w:szCs w:val="20"/>
          <w:color w:val="auto"/>
        </w:rPr>
      </w:pPr>
      <w:r>
        <w:rPr>
          <w:rFonts w:ascii="Times New Roman" w:cs="Times New Roman" w:eastAsia="Times New Roman" w:hAnsi="Times New Roman"/>
          <w:sz w:val="20"/>
          <w:szCs w:val="20"/>
          <w:b w:val="1"/>
          <w:bCs w:val="1"/>
          <w:color w:val="auto"/>
        </w:rPr>
        <w:t>LHM RCD,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SAX,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SCD, LLC</w:t>
      </w:r>
    </w:p>
    <w:p>
      <w:pPr>
        <w:ind w:left="2780"/>
        <w:spacing w:after="0" w:line="226" w:lineRule="auto"/>
        <w:rPr>
          <w:sz w:val="20"/>
          <w:szCs w:val="20"/>
          <w:color w:val="auto"/>
        </w:rPr>
      </w:pPr>
      <w:r>
        <w:rPr>
          <w:rFonts w:ascii="Times New Roman" w:cs="Times New Roman" w:eastAsia="Times New Roman" w:hAnsi="Times New Roman"/>
          <w:sz w:val="20"/>
          <w:szCs w:val="20"/>
          <w:b w:val="1"/>
          <w:bCs w:val="1"/>
          <w:color w:val="auto"/>
        </w:rPr>
        <w:t>LHM SFL,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SFO, LLC</w:t>
      </w:r>
    </w:p>
    <w:p>
      <w:pPr>
        <w:ind w:left="2780"/>
        <w:spacing w:after="0" w:line="226" w:lineRule="auto"/>
        <w:rPr>
          <w:sz w:val="20"/>
          <w:szCs w:val="20"/>
          <w:color w:val="auto"/>
        </w:rPr>
      </w:pPr>
      <w:r>
        <w:rPr>
          <w:rFonts w:ascii="Times New Roman" w:cs="Times New Roman" w:eastAsia="Times New Roman" w:hAnsi="Times New Roman"/>
          <w:sz w:val="20"/>
          <w:szCs w:val="20"/>
          <w:b w:val="1"/>
          <w:bCs w:val="1"/>
          <w:color w:val="auto"/>
        </w:rPr>
        <w:t>LHM SHO,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SPO HOLDINGS,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SWH, LLC</w:t>
      </w:r>
    </w:p>
    <w:p>
      <w:pPr>
        <w:ind w:left="2780"/>
        <w:spacing w:after="0" w:line="226" w:lineRule="auto"/>
        <w:rPr>
          <w:sz w:val="20"/>
          <w:szCs w:val="20"/>
          <w:color w:val="auto"/>
        </w:rPr>
      </w:pPr>
      <w:r>
        <w:rPr>
          <w:rFonts w:ascii="Times New Roman" w:cs="Times New Roman" w:eastAsia="Times New Roman" w:hAnsi="Times New Roman"/>
          <w:sz w:val="20"/>
          <w:szCs w:val="20"/>
          <w:b w:val="1"/>
          <w:bCs w:val="1"/>
          <w:color w:val="auto"/>
        </w:rPr>
        <w:t>LHM TCD,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TCJ, LLC</w:t>
      </w:r>
    </w:p>
    <w:p>
      <w:pPr>
        <w:ind w:left="2780"/>
        <w:spacing w:after="0" w:line="226" w:lineRule="auto"/>
        <w:rPr>
          <w:sz w:val="20"/>
          <w:szCs w:val="20"/>
          <w:color w:val="auto"/>
        </w:rPr>
      </w:pPr>
      <w:r>
        <w:rPr>
          <w:rFonts w:ascii="Times New Roman" w:cs="Times New Roman" w:eastAsia="Times New Roman" w:hAnsi="Times New Roman"/>
          <w:sz w:val="20"/>
          <w:szCs w:val="20"/>
          <w:b w:val="1"/>
          <w:bCs w:val="1"/>
          <w:color w:val="auto"/>
        </w:rPr>
        <w:t>LHM TDR,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TSD,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TVW, LLC</w:t>
      </w:r>
    </w:p>
    <w:p>
      <w:pPr>
        <w:ind w:left="2780"/>
        <w:spacing w:after="0" w:line="226" w:lineRule="auto"/>
        <w:rPr>
          <w:sz w:val="20"/>
          <w:szCs w:val="20"/>
          <w:color w:val="auto"/>
        </w:rPr>
      </w:pPr>
      <w:r>
        <w:rPr>
          <w:rFonts w:ascii="Times New Roman" w:cs="Times New Roman" w:eastAsia="Times New Roman" w:hAnsi="Times New Roman"/>
          <w:sz w:val="20"/>
          <w:szCs w:val="20"/>
          <w:b w:val="1"/>
          <w:bCs w:val="1"/>
          <w:color w:val="auto"/>
        </w:rPr>
        <w:t>LHM UCN, LLC</w:t>
      </w:r>
    </w:p>
    <w:p>
      <w:pPr>
        <w:ind w:left="2780"/>
        <w:spacing w:after="0" w:line="225" w:lineRule="auto"/>
        <w:rPr>
          <w:sz w:val="20"/>
          <w:szCs w:val="20"/>
          <w:color w:val="auto"/>
        </w:rPr>
      </w:pPr>
      <w:r>
        <w:rPr>
          <w:rFonts w:ascii="Times New Roman" w:cs="Times New Roman" w:eastAsia="Times New Roman" w:hAnsi="Times New Roman"/>
          <w:sz w:val="20"/>
          <w:szCs w:val="20"/>
          <w:b w:val="1"/>
          <w:bCs w:val="1"/>
          <w:color w:val="auto"/>
        </w:rPr>
        <w:t>LHM UCO, LLC</w:t>
      </w:r>
    </w:p>
    <w:p>
      <w:pPr>
        <w:ind w:left="2780"/>
        <w:spacing w:after="0" w:line="226" w:lineRule="auto"/>
        <w:rPr>
          <w:sz w:val="20"/>
          <w:szCs w:val="20"/>
          <w:color w:val="auto"/>
        </w:rPr>
      </w:pPr>
      <w:r>
        <w:rPr>
          <w:rFonts w:ascii="Times New Roman" w:cs="Times New Roman" w:eastAsia="Times New Roman" w:hAnsi="Times New Roman"/>
          <w:sz w:val="20"/>
          <w:szCs w:val="20"/>
          <w:b w:val="1"/>
          <w:bCs w:val="1"/>
          <w:color w:val="auto"/>
        </w:rPr>
        <w:t>LHM UCS, LLC</w:t>
      </w:r>
    </w:p>
    <w:p>
      <w:pPr>
        <w:ind w:left="2780"/>
        <w:spacing w:after="0"/>
        <w:rPr>
          <w:sz w:val="20"/>
          <w:szCs w:val="20"/>
          <w:color w:val="auto"/>
        </w:rPr>
      </w:pPr>
      <w:r>
        <w:rPr>
          <w:rFonts w:ascii="Times New Roman" w:cs="Times New Roman" w:eastAsia="Times New Roman" w:hAnsi="Times New Roman"/>
          <w:sz w:val="20"/>
          <w:szCs w:val="20"/>
          <w:b w:val="1"/>
          <w:bCs w:val="1"/>
          <w:color w:val="auto"/>
        </w:rPr>
        <w:t>MCDAVID AUSTIN-ACRA, L.L.C.</w:t>
      </w:r>
    </w:p>
    <w:p>
      <w:pPr>
        <w:ind w:left="2780"/>
        <w:spacing w:after="0"/>
        <w:rPr>
          <w:sz w:val="20"/>
          <w:szCs w:val="20"/>
          <w:color w:val="auto"/>
        </w:rPr>
      </w:pPr>
      <w:r>
        <w:rPr>
          <w:rFonts w:ascii="Times New Roman" w:cs="Times New Roman" w:eastAsia="Times New Roman" w:hAnsi="Times New Roman"/>
          <w:sz w:val="20"/>
          <w:szCs w:val="20"/>
          <w:b w:val="1"/>
          <w:bCs w:val="1"/>
          <w:color w:val="auto"/>
        </w:rPr>
        <w:t>MCDAVID FRISCO-HON,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MCDAVID GRANDE,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MCDAVID HOUSTON-HON,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MCDAVID HOUSTON-NISS,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MCDAVID IRVING-HON,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MCDAVID OUTFITTERS, L.L.C.</w:t>
      </w:r>
    </w:p>
    <w:p>
      <w:pPr>
        <w:spacing w:after="0" w:line="153"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David W.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5100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10030" cy="8890"/>
                    </a:xfrm>
                    <a:prstGeom prst="rect">
                      <a:avLst/>
                    </a:prstGeom>
                    <a:noFill/>
                  </pic:spPr>
                </pic:pic>
              </a:graphicData>
            </a:graphic>
          </wp:anchor>
        </w:drawing>
      </w:r>
    </w:p>
    <w:p>
      <w:pPr>
        <w:ind w:left="2780"/>
        <w:spacing w:after="0"/>
        <w:tabs>
          <w:tab w:leader="none" w:pos="4020" w:val="left"/>
        </w:tabs>
        <w:rPr>
          <w:sz w:val="20"/>
          <w:szCs w:val="20"/>
          <w:color w:val="auto"/>
        </w:rPr>
      </w:pPr>
      <w:r>
        <w:rPr>
          <w:rFonts w:ascii="Times New Roman" w:cs="Times New Roman" w:eastAsia="Times New Roman" w:hAnsi="Times New Roman"/>
          <w:sz w:val="20"/>
          <w:szCs w:val="20"/>
          <w:color w:val="auto"/>
        </w:rPr>
        <w:t>Typed Name:</w:t>
      </w:r>
      <w:r>
        <w:rPr>
          <w:sz w:val="20"/>
          <w:szCs w:val="20"/>
          <w:color w:val="auto"/>
        </w:rPr>
        <w:tab/>
      </w:r>
      <w:r>
        <w:rPr>
          <w:rFonts w:ascii="Times New Roman" w:cs="Times New Roman" w:eastAsia="Times New Roman" w:hAnsi="Times New Roman"/>
          <w:sz w:val="19"/>
          <w:szCs w:val="19"/>
          <w:color w:val="auto"/>
        </w:rPr>
        <w:t>David W. Hult</w:t>
      </w:r>
    </w:p>
    <w:p>
      <w:pPr>
        <w:ind w:left="2780"/>
        <w:spacing w:after="0"/>
        <w:tabs>
          <w:tab w:leader="none" w:pos="3920" w:val="left"/>
        </w:tabs>
        <w:rPr>
          <w:sz w:val="20"/>
          <w:szCs w:val="20"/>
          <w:color w:val="auto"/>
        </w:rPr>
      </w:pPr>
      <w:r>
        <w:rPr>
          <w:rFonts w:ascii="Times New Roman" w:cs="Times New Roman" w:eastAsia="Times New Roman" w:hAnsi="Times New Roman"/>
          <w:sz w:val="20"/>
          <w:szCs w:val="20"/>
          <w:color w:val="auto"/>
        </w:rPr>
        <w:t>Typed Title:</w:t>
      </w:r>
      <w:r>
        <w:rPr>
          <w:sz w:val="20"/>
          <w:szCs w:val="20"/>
          <w:color w:val="auto"/>
        </w:rPr>
        <w:tab/>
      </w:r>
      <w:r>
        <w:rPr>
          <w:rFonts w:ascii="Times New Roman" w:cs="Times New Roman" w:eastAsia="Times New Roman" w:hAnsi="Times New Roman"/>
          <w:sz w:val="19"/>
          <w:szCs w:val="19"/>
          <w:color w:val="auto"/>
        </w:rPr>
        <w:t>President and Chief Executive Officer</w:t>
      </w:r>
    </w:p>
    <w:p>
      <w:pPr>
        <w:sectPr>
          <w:pgSz w:w="11900" w:h="16838" w:orient="portrait"/>
          <w:cols w:equalWidth="0" w:num="1">
            <w:col w:w="9019"/>
          </w:cols>
          <w:pgMar w:left="144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type w:val="continuous"/>
        </w:sectPr>
      </w:pPr>
    </w:p>
    <w:bookmarkStart w:id="33" w:name="page34"/>
    <w:bookmarkEnd w:id="33"/>
    <w:p>
      <w:pPr>
        <w:ind w:left="2780"/>
        <w:spacing w:after="0"/>
        <w:rPr>
          <w:sz w:val="20"/>
          <w:szCs w:val="20"/>
          <w:color w:val="auto"/>
        </w:rPr>
      </w:pPr>
      <w:r>
        <w:rPr>
          <w:rFonts w:ascii="Times New Roman" w:cs="Times New Roman" w:eastAsia="Times New Roman" w:hAnsi="Times New Roman"/>
          <w:sz w:val="20"/>
          <w:szCs w:val="20"/>
          <w:b w:val="1"/>
          <w:bCs w:val="1"/>
          <w:u w:val="single" w:color="auto"/>
          <w:color w:val="auto"/>
        </w:rPr>
        <w:t>SUBSIDIARY GUARANTORS</w:t>
      </w:r>
      <w:r>
        <w:rPr>
          <w:rFonts w:ascii="Times New Roman" w:cs="Times New Roman" w:eastAsia="Times New Roman" w:hAnsi="Times New Roman"/>
          <w:sz w:val="20"/>
          <w:szCs w:val="20"/>
          <w:b w:val="1"/>
          <w:bCs w:val="1"/>
          <w:i w:val="1"/>
          <w:iCs w:val="1"/>
          <w:u w:val="single" w:color="auto"/>
          <w:color w:val="auto"/>
        </w:rPr>
        <w:t>, continued</w:t>
      </w:r>
      <w:r>
        <w:rPr>
          <w:rFonts w:ascii="Times New Roman" w:cs="Times New Roman" w:eastAsia="Times New Roman" w:hAnsi="Times New Roman"/>
          <w:sz w:val="20"/>
          <w:szCs w:val="20"/>
          <w:b w:val="1"/>
          <w:bCs w:val="1"/>
          <w:u w:val="single" w:color="auto"/>
          <w:color w:val="auto"/>
        </w:rPr>
        <w:t>:</w:t>
      </w:r>
    </w:p>
    <w:p>
      <w:pPr>
        <w:spacing w:after="0" w:line="1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MCDAVID PLANO-ACRA, L.L.C.</w:t>
      </w:r>
    </w:p>
    <w:p>
      <w:pPr>
        <w:spacing w:after="0" w:line="2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MID-ATLANTIC AUTOMOTIVE SERVICES,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MISSISSIPPI AUTOMOTIVE SERVICES,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MISSOURI AUTOMOTIVE SERVICES,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NP FLM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NP MZD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NP VKW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OSBORN/MILLER AUTOMOTIVE,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PLANO LINCOLN-MERCURY, INC.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PRECISION COMPUTER SERVICES, INC.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PRECISION ENTERPRISES TAMPA, INC.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PRECISION INFINITI, INC.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PRECISION MOTORCARS, INC.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PRECISION NISSAN, INC.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PREMIER NSN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PREMIER PON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PRESTIGE BAY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PRESTIGE TOY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 AUTOMOTIVE BRANDON FL,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 AUTOMOTIVE CUMMING GA,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 AUTOMOTIVE FT. MYERS FL,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 AUTOMOTIVE GROUP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 AUTOMOTIVE HOLIDAY FL,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 AUTOMOTIVE JACKSONVILLE FL,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 AUTOMOTIVE KENNESAW GA,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 AUTOMOTIVE ORLANDO FL,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 AUTOMOTIVE TAMPA FL,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SOUTHERN ATLANTIC AUTOMOTIVE SERVICES, L.L.C.</w:t>
      </w:r>
    </w:p>
    <w:p>
      <w:pPr>
        <w:spacing w:after="0" w:line="1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TAMPA HUND, L.P.</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TAMPA KIA, L.P.</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TAMPA LM, L.P.</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TAMPA MIT, L.P.</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TEXAS AUTOMOTIVE SERVICES,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THOMASON AUTO CREDIT NORTHWEST, INC.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THOMASON DAM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THOMASON FRD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THOMASON HUND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THOMASON PONTIAC-GMC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WMZ MOTORS, L.P.</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WTY MOTORS, L.P.</w:t>
      </w:r>
    </w:p>
    <w:p>
      <w:pPr>
        <w:spacing w:after="0" w:line="14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David W.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1639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4020" w:val="left"/>
        </w:tabs>
        <w:rPr>
          <w:sz w:val="20"/>
          <w:szCs w:val="20"/>
          <w:color w:val="auto"/>
        </w:rPr>
      </w:pPr>
      <w:r>
        <w:rPr>
          <w:rFonts w:ascii="Times New Roman" w:cs="Times New Roman" w:eastAsia="Times New Roman" w:hAnsi="Times New Roman"/>
          <w:sz w:val="20"/>
          <w:szCs w:val="20"/>
          <w:color w:val="auto"/>
        </w:rPr>
        <w:t>Typed Name:</w:t>
      </w:r>
      <w:r>
        <w:rPr>
          <w:sz w:val="20"/>
          <w:szCs w:val="20"/>
          <w:color w:val="auto"/>
        </w:rPr>
        <w:tab/>
      </w:r>
      <w:r>
        <w:rPr>
          <w:rFonts w:ascii="Times New Roman" w:cs="Times New Roman" w:eastAsia="Times New Roman" w:hAnsi="Times New Roman"/>
          <w:sz w:val="19"/>
          <w:szCs w:val="19"/>
          <w:color w:val="auto"/>
        </w:rPr>
        <w:t>David W. Hult</w:t>
      </w:r>
    </w:p>
    <w:p>
      <w:pPr>
        <w:spacing w:after="0" w:line="13" w:lineRule="exact"/>
        <w:rPr>
          <w:sz w:val="20"/>
          <w:szCs w:val="20"/>
          <w:color w:val="auto"/>
        </w:rPr>
      </w:pPr>
    </w:p>
    <w:p>
      <w:pPr>
        <w:ind w:left="2780"/>
        <w:spacing w:after="0"/>
        <w:tabs>
          <w:tab w:leader="none" w:pos="3920" w:val="left"/>
        </w:tabs>
        <w:rPr>
          <w:sz w:val="20"/>
          <w:szCs w:val="20"/>
          <w:color w:val="auto"/>
        </w:rPr>
      </w:pPr>
      <w:r>
        <w:rPr>
          <w:rFonts w:ascii="Times New Roman" w:cs="Times New Roman" w:eastAsia="Times New Roman" w:hAnsi="Times New Roman"/>
          <w:sz w:val="20"/>
          <w:szCs w:val="20"/>
          <w:color w:val="auto"/>
        </w:rPr>
        <w:t>Typed Title:</w:t>
      </w:r>
      <w:r>
        <w:rPr>
          <w:sz w:val="20"/>
          <w:szCs w:val="20"/>
          <w:color w:val="auto"/>
        </w:rPr>
        <w:tab/>
      </w:r>
      <w:r>
        <w:rPr>
          <w:rFonts w:ascii="Times New Roman" w:cs="Times New Roman" w:eastAsia="Times New Roman" w:hAnsi="Times New Roman"/>
          <w:sz w:val="19"/>
          <w:szCs w:val="19"/>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34" w:name="page35"/>
    <w:bookmarkEnd w:id="34"/>
    <w:p>
      <w:pPr>
        <w:ind w:left="2780"/>
        <w:spacing w:after="0"/>
        <w:rPr>
          <w:sz w:val="20"/>
          <w:szCs w:val="20"/>
          <w:color w:val="auto"/>
        </w:rPr>
      </w:pPr>
      <w:r>
        <w:rPr>
          <w:rFonts w:ascii="Times New Roman" w:cs="Times New Roman" w:eastAsia="Times New Roman" w:hAnsi="Times New Roman"/>
          <w:sz w:val="20"/>
          <w:szCs w:val="20"/>
          <w:b w:val="1"/>
          <w:bCs w:val="1"/>
          <w:u w:val="single" w:color="auto"/>
          <w:color w:val="auto"/>
        </w:rPr>
        <w:t>SUBSIDIARY GUARANTORS</w:t>
      </w:r>
      <w:r>
        <w:rPr>
          <w:rFonts w:ascii="Times New Roman" w:cs="Times New Roman" w:eastAsia="Times New Roman" w:hAnsi="Times New Roman"/>
          <w:sz w:val="20"/>
          <w:szCs w:val="20"/>
          <w:b w:val="1"/>
          <w:bCs w:val="1"/>
          <w:i w:val="1"/>
          <w:iCs w:val="1"/>
          <w:u w:val="single" w:color="auto"/>
          <w:color w:val="auto"/>
        </w:rPr>
        <w:t>, continued</w:t>
      </w:r>
      <w:r>
        <w:rPr>
          <w:rFonts w:ascii="Times New Roman" w:cs="Times New Roman" w:eastAsia="Times New Roman" w:hAnsi="Times New Roman"/>
          <w:sz w:val="20"/>
          <w:szCs w:val="20"/>
          <w:b w:val="1"/>
          <w:bCs w:val="1"/>
          <w:u w:val="single" w:color="auto"/>
          <w:color w:val="auto"/>
        </w:rPr>
        <w:t>:</w:t>
      </w:r>
    </w:p>
    <w:p>
      <w:pPr>
        <w:spacing w:after="0" w:line="1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LANDCAR GC, LLC</w:t>
      </w:r>
    </w:p>
    <w:p>
      <w:pPr>
        <w:spacing w:after="0" w:line="2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LANDCAR MANAGEMENT, LTD.</w:t>
      </w:r>
    </w:p>
    <w:p>
      <w:pPr>
        <w:spacing w:after="0" w:line="15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 David W.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163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2" w:lineRule="exact"/>
        <w:rPr>
          <w:sz w:val="20"/>
          <w:szCs w:val="20"/>
          <w:color w:val="auto"/>
        </w:rPr>
      </w:pPr>
    </w:p>
    <w:p>
      <w:pPr>
        <w:ind w:left="2780"/>
        <w:spacing w:after="0"/>
        <w:tabs>
          <w:tab w:leader="none" w:pos="4020" w:val="left"/>
        </w:tabs>
        <w:rPr>
          <w:sz w:val="20"/>
          <w:szCs w:val="20"/>
          <w:color w:val="auto"/>
        </w:rPr>
      </w:pPr>
      <w:r>
        <w:rPr>
          <w:rFonts w:ascii="Times New Roman" w:cs="Times New Roman" w:eastAsia="Times New Roman" w:hAnsi="Times New Roman"/>
          <w:sz w:val="20"/>
          <w:szCs w:val="20"/>
          <w:color w:val="auto"/>
        </w:rPr>
        <w:t>Typed Name:</w:t>
      </w:r>
      <w:r>
        <w:rPr>
          <w:sz w:val="20"/>
          <w:szCs w:val="20"/>
          <w:color w:val="auto"/>
        </w:rPr>
        <w:tab/>
      </w:r>
      <w:r>
        <w:rPr>
          <w:rFonts w:ascii="Times New Roman" w:cs="Times New Roman" w:eastAsia="Times New Roman" w:hAnsi="Times New Roman"/>
          <w:sz w:val="19"/>
          <w:szCs w:val="19"/>
          <w:color w:val="auto"/>
        </w:rPr>
        <w:t>David W. Hult</w:t>
      </w:r>
    </w:p>
    <w:p>
      <w:pPr>
        <w:spacing w:after="0" w:line="6" w:lineRule="exact"/>
        <w:rPr>
          <w:sz w:val="20"/>
          <w:szCs w:val="20"/>
          <w:color w:val="auto"/>
        </w:rPr>
      </w:pPr>
    </w:p>
    <w:p>
      <w:pPr>
        <w:ind w:left="2780"/>
        <w:spacing w:after="0"/>
        <w:tabs>
          <w:tab w:leader="none" w:pos="3920" w:val="left"/>
        </w:tabs>
        <w:rPr>
          <w:sz w:val="20"/>
          <w:szCs w:val="20"/>
          <w:color w:val="auto"/>
        </w:rPr>
      </w:pPr>
      <w:r>
        <w:rPr>
          <w:rFonts w:ascii="Times New Roman" w:cs="Times New Roman" w:eastAsia="Times New Roman" w:hAnsi="Times New Roman"/>
          <w:sz w:val="20"/>
          <w:szCs w:val="20"/>
          <w:color w:val="auto"/>
        </w:rPr>
        <w:t>Typed Title:</w:t>
      </w:r>
      <w:r>
        <w:rPr>
          <w:sz w:val="20"/>
          <w:szCs w:val="20"/>
          <w:color w:val="auto"/>
        </w:rPr>
        <w:tab/>
      </w:r>
      <w:r>
        <w:rPr>
          <w:rFonts w:ascii="Times New Roman" w:cs="Times New Roman" w:eastAsia="Times New Roman" w:hAnsi="Times New Roman"/>
          <w:sz w:val="19"/>
          <w:szCs w:val="19"/>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35" w:name="page36"/>
    <w:bookmarkEnd w:id="35"/>
    <w:p>
      <w:pPr>
        <w:ind w:left="278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74"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w w:val="89"/>
              </w:rPr>
              <w:t>By:</w:t>
            </w:r>
          </w:p>
        </w:tc>
        <w:tc>
          <w:tcPr>
            <w:tcW w:w="226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20"/>
                <w:szCs w:val="20"/>
                <w:color w:val="auto"/>
              </w:rPr>
              <w:t>/s/ Linda Lov</w:t>
            </w:r>
          </w:p>
        </w:tc>
      </w:tr>
      <w:tr>
        <w:trPr>
          <w:trHeight w:val="241"/>
        </w:trPr>
        <w:tc>
          <w:tcPr>
            <w:tcW w:w="11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Typed Name:</w:t>
            </w:r>
          </w:p>
        </w:tc>
        <w:tc>
          <w:tcPr>
            <w:tcW w:w="14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Linda Lov</w:t>
            </w: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Typed Title:</w:t>
            </w:r>
          </w:p>
        </w:tc>
        <w:tc>
          <w:tcPr>
            <w:tcW w:w="1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Vice President</w:t>
            </w:r>
          </w:p>
        </w:tc>
      </w:tr>
    </w:tbl>
    <w:p>
      <w:pPr>
        <w:spacing w:after="0" w:line="200" w:lineRule="exact"/>
        <w:rPr>
          <w:sz w:val="20"/>
          <w:szCs w:val="20"/>
          <w:color w:val="auto"/>
        </w:rPr>
      </w:pPr>
    </w:p>
    <w:p>
      <w:pPr>
        <w:spacing w:after="0" w:line="3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line="253" w:lineRule="auto"/>
        <w:rPr>
          <w:sz w:val="20"/>
          <w:szCs w:val="20"/>
          <w:color w:val="auto"/>
        </w:rPr>
      </w:pPr>
      <w:r>
        <w:rPr>
          <w:rFonts w:ascii="Times New Roman" w:cs="Times New Roman" w:eastAsia="Times New Roman" w:hAnsi="Times New Roman"/>
          <w:sz w:val="20"/>
          <w:szCs w:val="20"/>
          <w:color w:val="auto"/>
        </w:rPr>
        <w:t>as a Lender, an L/C Issuer, Revolving Swing Line Lender, New Vehicle Swing Line Lender and Used Vehicle Swing Line Lender</w:t>
      </w:r>
    </w:p>
    <w:p>
      <w:pPr>
        <w:spacing w:after="0" w:line="296"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David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5468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46860" cy="8890"/>
                    </a:xfrm>
                    <a:prstGeom prst="rect">
                      <a:avLst/>
                    </a:prstGeom>
                    <a:noFill/>
                  </pic:spPr>
                </pic:pic>
              </a:graphicData>
            </a:graphic>
          </wp:anchor>
        </w:drawing>
      </w:r>
    </w:p>
    <w:p>
      <w:pPr>
        <w:spacing w:after="0" w:line="2" w:lineRule="exact"/>
        <w:rPr>
          <w:sz w:val="20"/>
          <w:szCs w:val="20"/>
          <w:color w:val="auto"/>
        </w:rPr>
      </w:pPr>
    </w:p>
    <w:p>
      <w:pPr>
        <w:ind w:left="2780"/>
        <w:spacing w:after="0"/>
        <w:tabs>
          <w:tab w:leader="none" w:pos="4020" w:val="left"/>
        </w:tabs>
        <w:rPr>
          <w:sz w:val="20"/>
          <w:szCs w:val="20"/>
          <w:color w:val="auto"/>
        </w:rPr>
      </w:pPr>
      <w:r>
        <w:rPr>
          <w:rFonts w:ascii="Times New Roman" w:cs="Times New Roman" w:eastAsia="Times New Roman" w:hAnsi="Times New Roman"/>
          <w:sz w:val="20"/>
          <w:szCs w:val="20"/>
          <w:color w:val="auto"/>
        </w:rPr>
        <w:t>Typed Name:</w:t>
      </w:r>
      <w:r>
        <w:rPr>
          <w:sz w:val="20"/>
          <w:szCs w:val="20"/>
          <w:color w:val="auto"/>
        </w:rPr>
        <w:tab/>
      </w:r>
      <w:r>
        <w:rPr>
          <w:rFonts w:ascii="Times New Roman" w:cs="Times New Roman" w:eastAsia="Times New Roman" w:hAnsi="Times New Roman"/>
          <w:sz w:val="19"/>
          <w:szCs w:val="19"/>
          <w:color w:val="auto"/>
        </w:rPr>
        <w:t>David T. Smith</w:t>
      </w:r>
    </w:p>
    <w:p>
      <w:pPr>
        <w:spacing w:after="0" w:line="6" w:lineRule="exact"/>
        <w:rPr>
          <w:sz w:val="20"/>
          <w:szCs w:val="20"/>
          <w:color w:val="auto"/>
        </w:rPr>
      </w:pPr>
    </w:p>
    <w:p>
      <w:pPr>
        <w:ind w:left="2780"/>
        <w:spacing w:after="0"/>
        <w:tabs>
          <w:tab w:leader="none" w:pos="3920" w:val="left"/>
        </w:tabs>
        <w:rPr>
          <w:sz w:val="20"/>
          <w:szCs w:val="20"/>
          <w:color w:val="auto"/>
        </w:rPr>
      </w:pPr>
      <w:r>
        <w:rPr>
          <w:rFonts w:ascii="Times New Roman" w:cs="Times New Roman" w:eastAsia="Times New Roman" w:hAnsi="Times New Roman"/>
          <w:sz w:val="20"/>
          <w:szCs w:val="20"/>
          <w:color w:val="auto"/>
        </w:rPr>
        <w:t>Typed Title:</w:t>
      </w:r>
      <w:r>
        <w:rPr>
          <w:sz w:val="20"/>
          <w:szCs w:val="20"/>
          <w:color w:val="auto"/>
        </w:rPr>
        <w:tab/>
      </w:r>
      <w:r>
        <w:rPr>
          <w:rFonts w:ascii="Times New Roman" w:cs="Times New Roman" w:eastAsia="Times New Roman" w:hAnsi="Times New Roman"/>
          <w:sz w:val="19"/>
          <w:szCs w:val="19"/>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020"/>
          </w:cols>
          <w:pgMar w:left="1440" w:top="1409" w:right="439" w:bottom="1440" w:gutter="0" w:footer="0" w:header="0"/>
        </w:sectPr>
      </w:pPr>
    </w:p>
    <w:bookmarkStart w:id="36" w:name="page37"/>
    <w:bookmarkEnd w:id="36"/>
    <w:p>
      <w:pPr>
        <w:ind w:left="2780"/>
        <w:spacing w:after="0"/>
        <w:rPr>
          <w:sz w:val="20"/>
          <w:szCs w:val="20"/>
          <w:color w:val="auto"/>
        </w:rPr>
      </w:pPr>
      <w:r>
        <w:rPr>
          <w:rFonts w:ascii="Times New Roman" w:cs="Times New Roman" w:eastAsia="Times New Roman" w:hAnsi="Times New Roman"/>
          <w:sz w:val="20"/>
          <w:szCs w:val="20"/>
          <w:b w:val="1"/>
          <w:bCs w:val="1"/>
          <w:color w:val="auto"/>
        </w:rPr>
        <w:t>TOYOTA MOTOR CREDIT CORPORATION</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90"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w w:val="89"/>
              </w:rPr>
              <w:t>By:</w:t>
            </w:r>
          </w:p>
        </w:tc>
        <w:tc>
          <w:tcPr>
            <w:tcW w:w="27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20"/>
                <w:szCs w:val="20"/>
                <w:color w:val="auto"/>
              </w:rPr>
              <w:t>/s/ Dominic Calcaterra</w:t>
            </w:r>
          </w:p>
        </w:tc>
        <w:tc>
          <w:tcPr>
            <w:tcW w:w="320" w:type="dxa"/>
            <w:vAlign w:val="bottom"/>
          </w:tcPr>
          <w:p>
            <w:pPr>
              <w:spacing w:after="0"/>
              <w:rPr>
                <w:sz w:val="19"/>
                <w:szCs w:val="19"/>
                <w:color w:val="auto"/>
              </w:rPr>
            </w:pPr>
          </w:p>
        </w:tc>
      </w:tr>
      <w:tr>
        <w:trPr>
          <w:trHeight w:val="241"/>
        </w:trPr>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Typed Name:</w:t>
            </w:r>
          </w:p>
        </w:tc>
        <w:tc>
          <w:tcPr>
            <w:tcW w:w="22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Dominic Calcaterra</w:t>
            </w:r>
          </w:p>
        </w:tc>
      </w:tr>
      <w:tr>
        <w:trPr>
          <w:trHeight w:val="258"/>
        </w:trPr>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Typed Title:</w:t>
            </w: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7"/>
              </w:rPr>
              <w:t>National Accounts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37" w:name="page38"/>
    <w:bookmarkEnd w:id="37"/>
    <w:p>
      <w:pPr>
        <w:ind w:left="2780"/>
        <w:spacing w:after="0"/>
        <w:rPr>
          <w:sz w:val="20"/>
          <w:szCs w:val="20"/>
          <w:color w:val="auto"/>
        </w:rPr>
      </w:pPr>
      <w:r>
        <w:rPr>
          <w:rFonts w:ascii="Times New Roman" w:cs="Times New Roman" w:eastAsia="Times New Roman" w:hAnsi="Times New Roman"/>
          <w:sz w:val="20"/>
          <w:szCs w:val="20"/>
          <w:b w:val="1"/>
          <w:bCs w:val="1"/>
          <w:color w:val="auto"/>
        </w:rPr>
        <w:t>JPMORGAN CHASE BANK, N.A.</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90"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w w:val="89"/>
              </w:rPr>
              <w:t>By:</w:t>
            </w:r>
          </w:p>
        </w:tc>
        <w:tc>
          <w:tcPr>
            <w:tcW w:w="236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20"/>
                <w:szCs w:val="20"/>
                <w:color w:val="auto"/>
              </w:rPr>
              <w:t>/s/ Adam Sigman</w:t>
            </w:r>
          </w:p>
        </w:tc>
        <w:tc>
          <w:tcPr>
            <w:tcW w:w="20" w:type="dxa"/>
            <w:vAlign w:val="bottom"/>
          </w:tcPr>
          <w:p>
            <w:pPr>
              <w:spacing w:after="0"/>
              <w:rPr>
                <w:sz w:val="19"/>
                <w:szCs w:val="19"/>
                <w:color w:val="auto"/>
              </w:rPr>
            </w:pPr>
          </w:p>
        </w:tc>
      </w:tr>
      <w:tr>
        <w:trPr>
          <w:trHeight w:val="241"/>
        </w:trPr>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Typed Name:</w:t>
            </w: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Adam Sigman</w:t>
            </w:r>
          </w:p>
        </w:tc>
      </w:tr>
      <w:tr>
        <w:trPr>
          <w:trHeight w:val="258"/>
        </w:trPr>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Typed Title:</w:t>
            </w: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7"/>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38" w:name="page39"/>
    <w:bookmarkEnd w:id="38"/>
    <w:p>
      <w:pPr>
        <w:jc w:val="right"/>
        <w:ind w:right="579"/>
        <w:spacing w:after="0"/>
        <w:rPr>
          <w:sz w:val="20"/>
          <w:szCs w:val="20"/>
          <w:color w:val="auto"/>
        </w:rPr>
      </w:pPr>
      <w:r>
        <w:rPr>
          <w:rFonts w:ascii="Times New Roman" w:cs="Times New Roman" w:eastAsia="Times New Roman" w:hAnsi="Times New Roman"/>
          <w:sz w:val="20"/>
          <w:szCs w:val="20"/>
          <w:b w:val="1"/>
          <w:bCs w:val="1"/>
          <w:color w:val="auto"/>
        </w:rPr>
        <w:t>WELLS FARGO BANK, NATIONAL ASSOCIATION</w:t>
      </w:r>
      <w:r>
        <w:rPr>
          <w:rFonts w:ascii="Times New Roman" w:cs="Times New Roman" w:eastAsia="Times New Roman" w:hAnsi="Times New Roman"/>
          <w:sz w:val="20"/>
          <w:szCs w:val="20"/>
          <w:color w:val="auto"/>
        </w:rPr>
        <w:t>, as a Lender</w:t>
      </w:r>
    </w:p>
    <w:p>
      <w:pPr>
        <w:spacing w:after="0" w:line="341"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Chad McNeill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4935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spacing w:after="0" w:line="2" w:lineRule="exact"/>
        <w:rPr>
          <w:sz w:val="20"/>
          <w:szCs w:val="20"/>
          <w:color w:val="auto"/>
        </w:rPr>
      </w:pPr>
    </w:p>
    <w:p>
      <w:pPr>
        <w:ind w:left="2780"/>
        <w:spacing w:after="0"/>
        <w:tabs>
          <w:tab w:leader="none" w:pos="4020" w:val="left"/>
        </w:tabs>
        <w:rPr>
          <w:sz w:val="20"/>
          <w:szCs w:val="20"/>
          <w:color w:val="auto"/>
        </w:rPr>
      </w:pPr>
      <w:r>
        <w:rPr>
          <w:rFonts w:ascii="Times New Roman" w:cs="Times New Roman" w:eastAsia="Times New Roman" w:hAnsi="Times New Roman"/>
          <w:sz w:val="20"/>
          <w:szCs w:val="20"/>
          <w:color w:val="auto"/>
        </w:rPr>
        <w:t>Typed Name:</w:t>
      </w:r>
      <w:r>
        <w:rPr>
          <w:sz w:val="20"/>
          <w:szCs w:val="20"/>
          <w:color w:val="auto"/>
        </w:rPr>
        <w:tab/>
      </w:r>
      <w:r>
        <w:rPr>
          <w:rFonts w:ascii="Times New Roman" w:cs="Times New Roman" w:eastAsia="Times New Roman" w:hAnsi="Times New Roman"/>
          <w:sz w:val="19"/>
          <w:szCs w:val="19"/>
          <w:color w:val="auto"/>
        </w:rPr>
        <w:t>Chad McNeill</w:t>
      </w:r>
    </w:p>
    <w:p>
      <w:pPr>
        <w:spacing w:after="0" w:line="6" w:lineRule="exact"/>
        <w:rPr>
          <w:sz w:val="20"/>
          <w:szCs w:val="20"/>
          <w:color w:val="auto"/>
        </w:rPr>
      </w:pPr>
    </w:p>
    <w:p>
      <w:pPr>
        <w:ind w:left="2780"/>
        <w:spacing w:after="0"/>
        <w:tabs>
          <w:tab w:leader="none" w:pos="3920" w:val="left"/>
        </w:tabs>
        <w:rPr>
          <w:sz w:val="20"/>
          <w:szCs w:val="20"/>
          <w:color w:val="auto"/>
        </w:rPr>
      </w:pPr>
      <w:r>
        <w:rPr>
          <w:rFonts w:ascii="Times New Roman" w:cs="Times New Roman" w:eastAsia="Times New Roman" w:hAnsi="Times New Roman"/>
          <w:sz w:val="20"/>
          <w:szCs w:val="20"/>
          <w:color w:val="auto"/>
        </w:rPr>
        <w:t>Typed Title:</w:t>
      </w:r>
      <w:r>
        <w:rPr>
          <w:sz w:val="20"/>
          <w:szCs w:val="20"/>
          <w:color w:val="auto"/>
        </w:rPr>
        <w:tab/>
      </w:r>
      <w:r>
        <w:rPr>
          <w:rFonts w:ascii="Times New Roman" w:cs="Times New Roman" w:eastAsia="Times New Roman" w:hAnsi="Times New Roman"/>
          <w:sz w:val="19"/>
          <w:szCs w:val="19"/>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39" w:name="page40"/>
    <w:bookmarkEnd w:id="39"/>
    <w:p>
      <w:pPr>
        <w:ind w:left="2780"/>
        <w:spacing w:after="0"/>
        <w:rPr>
          <w:sz w:val="20"/>
          <w:szCs w:val="20"/>
          <w:color w:val="auto"/>
        </w:rPr>
      </w:pPr>
      <w:r>
        <w:rPr>
          <w:rFonts w:ascii="Times New Roman" w:cs="Times New Roman" w:eastAsia="Times New Roman" w:hAnsi="Times New Roman"/>
          <w:sz w:val="20"/>
          <w:szCs w:val="20"/>
          <w:b w:val="1"/>
          <w:bCs w:val="1"/>
          <w:color w:val="auto"/>
        </w:rPr>
        <w:t>AMERICAN HONDA FINANCE CORPORATION</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90"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w w:val="89"/>
              </w:rPr>
              <w:t>By:</w:t>
            </w:r>
          </w:p>
        </w:tc>
        <w:tc>
          <w:tcPr>
            <w:tcW w:w="254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20"/>
                <w:szCs w:val="20"/>
                <w:color w:val="auto"/>
              </w:rPr>
              <w:t>/s/ Rich Sauerbaum</w:t>
            </w:r>
          </w:p>
        </w:tc>
      </w:tr>
      <w:tr>
        <w:trPr>
          <w:trHeight w:val="241"/>
        </w:trPr>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Typed Name:</w:t>
            </w:r>
          </w:p>
        </w:tc>
        <w:tc>
          <w:tcPr>
            <w:tcW w:w="1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Rich Sauerbaum</w:t>
            </w:r>
          </w:p>
        </w:tc>
      </w:tr>
      <w:tr>
        <w:trPr>
          <w:trHeight w:val="258"/>
        </w:trPr>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Typed Title:</w:t>
            </w:r>
          </w:p>
        </w:tc>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DFS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40" w:name="page41"/>
    <w:bookmarkEnd w:id="40"/>
    <w:p>
      <w:pPr>
        <w:ind w:left="2780" w:right="1359"/>
        <w:spacing w:after="0" w:line="287" w:lineRule="auto"/>
        <w:rPr>
          <w:sz w:val="20"/>
          <w:szCs w:val="20"/>
          <w:color w:val="auto"/>
        </w:rPr>
      </w:pPr>
      <w:r>
        <w:rPr>
          <w:rFonts w:ascii="Times New Roman" w:cs="Times New Roman" w:eastAsia="Times New Roman" w:hAnsi="Times New Roman"/>
          <w:sz w:val="20"/>
          <w:szCs w:val="20"/>
          <w:b w:val="1"/>
          <w:bCs w:val="1"/>
          <w:color w:val="auto"/>
        </w:rPr>
        <w:t>MERCEDES-BENZ FINANCIAL SERVICES USA LLC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 Lender</w:t>
      </w:r>
    </w:p>
    <w:p>
      <w:pPr>
        <w:spacing w:after="0" w:line="250"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Farrah Vaughn-Dixon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7513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51330" cy="8890"/>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4020" w:val="left"/>
        </w:tabs>
        <w:rPr>
          <w:sz w:val="20"/>
          <w:szCs w:val="20"/>
          <w:color w:val="auto"/>
        </w:rPr>
      </w:pPr>
      <w:r>
        <w:rPr>
          <w:rFonts w:ascii="Times New Roman" w:cs="Times New Roman" w:eastAsia="Times New Roman" w:hAnsi="Times New Roman"/>
          <w:sz w:val="20"/>
          <w:szCs w:val="20"/>
          <w:color w:val="auto"/>
        </w:rPr>
        <w:t>Typed Name:</w:t>
      </w:r>
      <w:r>
        <w:rPr>
          <w:sz w:val="20"/>
          <w:szCs w:val="20"/>
          <w:color w:val="auto"/>
        </w:rPr>
        <w:tab/>
      </w:r>
      <w:r>
        <w:rPr>
          <w:rFonts w:ascii="Times New Roman" w:cs="Times New Roman" w:eastAsia="Times New Roman" w:hAnsi="Times New Roman"/>
          <w:sz w:val="19"/>
          <w:szCs w:val="19"/>
          <w:color w:val="auto"/>
        </w:rPr>
        <w:t>Farrah Vaughn-Dixon</w:t>
      </w:r>
    </w:p>
    <w:p>
      <w:pPr>
        <w:spacing w:after="0" w:line="6" w:lineRule="exact"/>
        <w:rPr>
          <w:sz w:val="20"/>
          <w:szCs w:val="20"/>
          <w:color w:val="auto"/>
        </w:rPr>
      </w:pPr>
    </w:p>
    <w:p>
      <w:pPr>
        <w:jc w:val="right"/>
        <w:ind w:right="959"/>
        <w:spacing w:after="0"/>
        <w:tabs>
          <w:tab w:leader="none" w:pos="4100" w:val="left"/>
        </w:tabs>
        <w:rPr>
          <w:sz w:val="20"/>
          <w:szCs w:val="20"/>
          <w:color w:val="auto"/>
        </w:rPr>
      </w:pPr>
      <w:r>
        <w:rPr>
          <w:rFonts w:ascii="Times New Roman" w:cs="Times New Roman" w:eastAsia="Times New Roman" w:hAnsi="Times New Roman"/>
          <w:sz w:val="20"/>
          <w:szCs w:val="20"/>
          <w:color w:val="auto"/>
        </w:rPr>
        <w:t>Typed Title:</w:t>
      </w:r>
      <w:r>
        <w:rPr>
          <w:sz w:val="20"/>
          <w:szCs w:val="20"/>
          <w:color w:val="auto"/>
        </w:rPr>
        <w:tab/>
      </w:r>
      <w:r>
        <w:rPr>
          <w:rFonts w:ascii="Times New Roman" w:cs="Times New Roman" w:eastAsia="Times New Roman" w:hAnsi="Times New Roman"/>
          <w:sz w:val="19"/>
          <w:szCs w:val="19"/>
          <w:color w:val="auto"/>
        </w:rPr>
        <w:t>Regional Dealer Credit Manager-National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41" w:name="page42"/>
    <w:bookmarkEnd w:id="41"/>
    <w:p>
      <w:pPr>
        <w:ind w:left="2780"/>
        <w:spacing w:after="0"/>
        <w:rPr>
          <w:sz w:val="20"/>
          <w:szCs w:val="20"/>
          <w:color w:val="auto"/>
        </w:rPr>
      </w:pPr>
      <w:r>
        <w:rPr>
          <w:rFonts w:ascii="Times New Roman" w:cs="Times New Roman" w:eastAsia="Times New Roman" w:hAnsi="Times New Roman"/>
          <w:sz w:val="20"/>
          <w:szCs w:val="20"/>
          <w:b w:val="1"/>
          <w:bCs w:val="1"/>
          <w:color w:val="auto"/>
        </w:rPr>
        <w:t>U.S. BANK NATIONAL ASSOCIATION</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90"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w w:val="89"/>
              </w:rPr>
              <w:t>By:</w:t>
            </w:r>
          </w:p>
        </w:tc>
        <w:tc>
          <w:tcPr>
            <w:tcW w:w="25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20"/>
                <w:szCs w:val="20"/>
                <w:color w:val="auto"/>
              </w:rPr>
              <w:t>/s/ Katherine Taylor</w:t>
            </w:r>
          </w:p>
        </w:tc>
      </w:tr>
      <w:tr>
        <w:trPr>
          <w:trHeight w:val="241"/>
        </w:trPr>
        <w:tc>
          <w:tcPr>
            <w:tcW w:w="11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Typed Name:</w:t>
            </w:r>
          </w:p>
        </w:tc>
        <w:tc>
          <w:tcPr>
            <w:tcW w:w="17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Katherine Taylor</w:t>
            </w:r>
          </w:p>
        </w:tc>
      </w:t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Typed Title:</w:t>
            </w:r>
          </w:p>
        </w:tc>
        <w:tc>
          <w:tcPr>
            <w:tcW w:w="1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42" w:name="page43"/>
    <w:bookmarkEnd w:id="42"/>
    <w:p>
      <w:pPr>
        <w:ind w:left="2780"/>
        <w:spacing w:after="0"/>
        <w:rPr>
          <w:sz w:val="20"/>
          <w:szCs w:val="20"/>
          <w:color w:val="auto"/>
        </w:rPr>
      </w:pPr>
      <w:r>
        <w:rPr>
          <w:rFonts w:ascii="Times New Roman" w:cs="Times New Roman" w:eastAsia="Times New Roman" w:hAnsi="Times New Roman"/>
          <w:sz w:val="20"/>
          <w:szCs w:val="20"/>
          <w:b w:val="1"/>
          <w:bCs w:val="1"/>
          <w:color w:val="auto"/>
        </w:rPr>
        <w:t>SANTANDER BANK, N.A.</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90"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w w:val="89"/>
              </w:rPr>
              <w:t>By:</w:t>
            </w:r>
          </w:p>
        </w:tc>
        <w:tc>
          <w:tcPr>
            <w:tcW w:w="244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20"/>
                <w:szCs w:val="20"/>
                <w:color w:val="auto"/>
              </w:rPr>
              <w:t>/s/ Scott Bernstein</w:t>
            </w:r>
          </w:p>
        </w:tc>
      </w:tr>
      <w:tr>
        <w:trPr>
          <w:trHeight w:val="241"/>
        </w:trPr>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Typed Name:</w:t>
            </w:r>
          </w:p>
        </w:tc>
        <w:tc>
          <w:tcPr>
            <w:tcW w:w="16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Scott Bernstein</w:t>
            </w:r>
          </w:p>
        </w:tc>
      </w:tr>
      <w:tr>
        <w:trPr>
          <w:trHeight w:val="258"/>
        </w:trPr>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Typed Title:</w:t>
            </w:r>
          </w:p>
        </w:tc>
        <w:tc>
          <w:tcPr>
            <w:tcW w:w="1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SVP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43" w:name="page44"/>
    <w:bookmarkEnd w:id="43"/>
    <w:p>
      <w:pPr>
        <w:ind w:left="2780"/>
        <w:spacing w:after="0"/>
        <w:rPr>
          <w:sz w:val="20"/>
          <w:szCs w:val="20"/>
          <w:color w:val="auto"/>
        </w:rPr>
      </w:pPr>
      <w:r>
        <w:rPr>
          <w:rFonts w:ascii="Times New Roman" w:cs="Times New Roman" w:eastAsia="Times New Roman" w:hAnsi="Times New Roman"/>
          <w:sz w:val="20"/>
          <w:szCs w:val="20"/>
          <w:b w:val="1"/>
          <w:bCs w:val="1"/>
          <w:color w:val="auto"/>
        </w:rPr>
        <w:t>MASSMUTUAL ASSET FINANCE LLC</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Donald L. Buttler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6681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68145" cy="8255"/>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4020" w:val="left"/>
        </w:tabs>
        <w:rPr>
          <w:sz w:val="20"/>
          <w:szCs w:val="20"/>
          <w:color w:val="auto"/>
        </w:rPr>
      </w:pPr>
      <w:r>
        <w:rPr>
          <w:rFonts w:ascii="Times New Roman" w:cs="Times New Roman" w:eastAsia="Times New Roman" w:hAnsi="Times New Roman"/>
          <w:sz w:val="20"/>
          <w:szCs w:val="20"/>
          <w:color w:val="auto"/>
        </w:rPr>
        <w:t>Typed Name:</w:t>
      </w:r>
      <w:r>
        <w:rPr>
          <w:sz w:val="20"/>
          <w:szCs w:val="20"/>
          <w:color w:val="auto"/>
        </w:rPr>
        <w:tab/>
      </w:r>
      <w:r>
        <w:rPr>
          <w:rFonts w:ascii="Times New Roman" w:cs="Times New Roman" w:eastAsia="Times New Roman" w:hAnsi="Times New Roman"/>
          <w:sz w:val="19"/>
          <w:szCs w:val="19"/>
          <w:color w:val="auto"/>
        </w:rPr>
        <w:t>Donald L. Buttler</w:t>
      </w:r>
    </w:p>
    <w:p>
      <w:pPr>
        <w:spacing w:after="0" w:line="6" w:lineRule="exact"/>
        <w:rPr>
          <w:sz w:val="20"/>
          <w:szCs w:val="20"/>
          <w:color w:val="auto"/>
        </w:rPr>
      </w:pPr>
    </w:p>
    <w:p>
      <w:pPr>
        <w:ind w:left="2780"/>
        <w:spacing w:after="0"/>
        <w:tabs>
          <w:tab w:leader="none" w:pos="3920" w:val="left"/>
        </w:tabs>
        <w:rPr>
          <w:sz w:val="20"/>
          <w:szCs w:val="20"/>
          <w:color w:val="auto"/>
        </w:rPr>
      </w:pPr>
      <w:r>
        <w:rPr>
          <w:rFonts w:ascii="Times New Roman" w:cs="Times New Roman" w:eastAsia="Times New Roman" w:hAnsi="Times New Roman"/>
          <w:sz w:val="20"/>
          <w:szCs w:val="20"/>
          <w:color w:val="auto"/>
        </w:rPr>
        <w:t>Typed Title:</w:t>
      </w:r>
      <w:r>
        <w:rPr>
          <w:sz w:val="20"/>
          <w:szCs w:val="20"/>
          <w:color w:val="auto"/>
        </w:rPr>
        <w:tab/>
      </w:r>
      <w:r>
        <w:rPr>
          <w:rFonts w:ascii="Times New Roman" w:cs="Times New Roman" w:eastAsia="Times New Roman" w:hAnsi="Times New Roman"/>
          <w:sz w:val="19"/>
          <w:szCs w:val="19"/>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44" w:name="page45"/>
    <w:bookmarkEnd w:id="44"/>
    <w:p>
      <w:pPr>
        <w:ind w:left="2780"/>
        <w:spacing w:after="0"/>
        <w:rPr>
          <w:sz w:val="20"/>
          <w:szCs w:val="20"/>
          <w:color w:val="auto"/>
        </w:rPr>
      </w:pPr>
      <w:r>
        <w:rPr>
          <w:rFonts w:ascii="Times New Roman" w:cs="Times New Roman" w:eastAsia="Times New Roman" w:hAnsi="Times New Roman"/>
          <w:sz w:val="20"/>
          <w:szCs w:val="20"/>
          <w:b w:val="1"/>
          <w:bCs w:val="1"/>
          <w:color w:val="auto"/>
        </w:rPr>
        <w:t>TD BANK, N.A.</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90"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w w:val="89"/>
              </w:rPr>
              <w:t>By:</w:t>
            </w:r>
          </w:p>
        </w:tc>
        <w:tc>
          <w:tcPr>
            <w:tcW w:w="240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20"/>
                <w:szCs w:val="20"/>
                <w:color w:val="auto"/>
              </w:rPr>
              <w:t>/s/ Kyle Ludeman</w:t>
            </w:r>
          </w:p>
        </w:tc>
        <w:tc>
          <w:tcPr>
            <w:tcW w:w="340" w:type="dxa"/>
            <w:vAlign w:val="bottom"/>
          </w:tcPr>
          <w:p>
            <w:pPr>
              <w:spacing w:after="0"/>
              <w:rPr>
                <w:sz w:val="19"/>
                <w:szCs w:val="19"/>
                <w:color w:val="auto"/>
              </w:rPr>
            </w:pPr>
          </w:p>
        </w:tc>
      </w:tr>
      <w:tr>
        <w:trPr>
          <w:trHeight w:val="241"/>
        </w:trPr>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Typed Name:</w:t>
            </w: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Kyle Ludeman</w:t>
            </w:r>
          </w:p>
        </w:tc>
      </w:tr>
      <w:tr>
        <w:trPr>
          <w:trHeight w:val="258"/>
        </w:trPr>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Typed Title:</w:t>
            </w:r>
          </w:p>
        </w:tc>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7"/>
              </w:rPr>
              <w:t>Market Credit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45" w:name="page46"/>
    <w:bookmarkEnd w:id="45"/>
    <w:p>
      <w:pPr>
        <w:ind w:left="2780"/>
        <w:spacing w:after="0"/>
        <w:rPr>
          <w:sz w:val="20"/>
          <w:szCs w:val="20"/>
          <w:color w:val="auto"/>
        </w:rPr>
      </w:pPr>
      <w:r>
        <w:rPr>
          <w:rFonts w:ascii="Times New Roman" w:cs="Times New Roman" w:eastAsia="Times New Roman" w:hAnsi="Times New Roman"/>
          <w:sz w:val="20"/>
          <w:szCs w:val="20"/>
          <w:b w:val="1"/>
          <w:bCs w:val="1"/>
          <w:color w:val="auto"/>
        </w:rPr>
        <w:t>HYUNDAI CAPITAL AMERICA</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90"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w w:val="89"/>
              </w:rPr>
              <w:t>By:</w:t>
            </w:r>
          </w:p>
        </w:tc>
        <w:tc>
          <w:tcPr>
            <w:tcW w:w="210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20"/>
                <w:szCs w:val="20"/>
                <w:color w:val="auto"/>
              </w:rPr>
              <w:t>/s/ Mark Boik</w:t>
            </w:r>
          </w:p>
        </w:tc>
      </w:tr>
      <w:tr>
        <w:trPr>
          <w:trHeight w:val="241"/>
        </w:trPr>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Typed Name:</w:t>
            </w:r>
          </w:p>
        </w:tc>
        <w:tc>
          <w:tcPr>
            <w:tcW w:w="12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Mark Boik</w:t>
            </w:r>
          </w:p>
        </w:tc>
      </w:tr>
      <w:tr>
        <w:trPr>
          <w:trHeight w:val="258"/>
        </w:trPr>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Typed Title:</w:t>
            </w:r>
          </w:p>
        </w:tc>
        <w:tc>
          <w:tcPr>
            <w:tcW w:w="1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46" w:name="page47"/>
    <w:bookmarkEnd w:id="46"/>
    <w:p>
      <w:pPr>
        <w:ind w:left="2780"/>
        <w:spacing w:after="0"/>
        <w:rPr>
          <w:sz w:val="20"/>
          <w:szCs w:val="20"/>
          <w:color w:val="auto"/>
        </w:rPr>
      </w:pPr>
      <w:r>
        <w:rPr>
          <w:rFonts w:ascii="Times New Roman" w:cs="Times New Roman" w:eastAsia="Times New Roman" w:hAnsi="Times New Roman"/>
          <w:sz w:val="20"/>
          <w:szCs w:val="20"/>
          <w:b w:val="1"/>
          <w:bCs w:val="1"/>
          <w:color w:val="auto"/>
        </w:rPr>
        <w:t>BMW FINANCIAL SERVICES NA, LLC</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90"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w w:val="89"/>
              </w:rPr>
              <w:t>By:</w:t>
            </w:r>
          </w:p>
        </w:tc>
        <w:tc>
          <w:tcPr>
            <w:tcW w:w="232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20"/>
                <w:szCs w:val="20"/>
                <w:color w:val="auto"/>
              </w:rPr>
              <w:t>/s/ Aaron Grener</w:t>
            </w:r>
          </w:p>
        </w:tc>
        <w:tc>
          <w:tcPr>
            <w:tcW w:w="240" w:type="dxa"/>
            <w:vAlign w:val="bottom"/>
            <w:gridSpan w:val="2"/>
          </w:tcPr>
          <w:p>
            <w:pPr>
              <w:spacing w:after="0"/>
              <w:rPr>
                <w:sz w:val="19"/>
                <w:szCs w:val="19"/>
                <w:color w:val="auto"/>
              </w:rPr>
            </w:pPr>
          </w:p>
        </w:tc>
      </w:tr>
      <w:tr>
        <w:trPr>
          <w:trHeight w:val="241"/>
        </w:trPr>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Typed Name:</w:t>
            </w:r>
          </w:p>
        </w:tc>
        <w:tc>
          <w:tcPr>
            <w:tcW w:w="17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Aaron Grener</w:t>
            </w:r>
          </w:p>
        </w:tc>
      </w:tr>
      <w:tr>
        <w:trPr>
          <w:trHeight w:val="258"/>
        </w:trPr>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Typed Title:</w:t>
            </w: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Section Manager</w:t>
            </w:r>
          </w:p>
        </w:tc>
      </w:tr>
      <w:tr>
        <w:trPr>
          <w:trHeight w:val="736"/>
        </w:trPr>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w w:val="89"/>
              </w:rPr>
              <w:t>By:</w:t>
            </w:r>
          </w:p>
        </w:tc>
        <w:tc>
          <w:tcPr>
            <w:tcW w:w="24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20"/>
                <w:szCs w:val="20"/>
                <w:color w:val="auto"/>
              </w:rPr>
              <w:t>/s/ Erik Langanke</w:t>
            </w:r>
          </w:p>
        </w:tc>
        <w:tc>
          <w:tcPr>
            <w:tcW w:w="160" w:type="dxa"/>
            <w:vAlign w:val="bottom"/>
          </w:tcPr>
          <w:p>
            <w:pPr>
              <w:spacing w:after="0"/>
              <w:rPr>
                <w:sz w:val="24"/>
                <w:szCs w:val="24"/>
                <w:color w:val="auto"/>
              </w:rPr>
            </w:pPr>
          </w:p>
        </w:tc>
      </w:tr>
      <w:tr>
        <w:trPr>
          <w:trHeight w:val="241"/>
        </w:trPr>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Typed Name:</w:t>
            </w:r>
          </w:p>
        </w:tc>
        <w:tc>
          <w:tcPr>
            <w:tcW w:w="17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Erik Langanke</w:t>
            </w:r>
          </w:p>
        </w:tc>
      </w:tr>
      <w:tr>
        <w:trPr>
          <w:trHeight w:val="258"/>
        </w:trPr>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Typed Title:</w:t>
            </w: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w w:val="97"/>
              </w:rPr>
              <w:t>Department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47" w:name="page48"/>
    <w:bookmarkEnd w:id="47"/>
    <w:p>
      <w:pPr>
        <w:ind w:left="2780"/>
        <w:spacing w:after="0"/>
        <w:rPr>
          <w:sz w:val="20"/>
          <w:szCs w:val="20"/>
          <w:color w:val="auto"/>
        </w:rPr>
      </w:pPr>
      <w:r>
        <w:rPr>
          <w:rFonts w:ascii="Times New Roman" w:cs="Times New Roman" w:eastAsia="Times New Roman" w:hAnsi="Times New Roman"/>
          <w:sz w:val="20"/>
          <w:szCs w:val="20"/>
          <w:b w:val="1"/>
          <w:bCs w:val="1"/>
          <w:color w:val="auto"/>
        </w:rPr>
        <w:t>ZIONS BANCORPORATION, N.A.</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90"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w w:val="89"/>
              </w:rPr>
              <w:t>By:</w:t>
            </w:r>
          </w:p>
        </w:tc>
        <w:tc>
          <w:tcPr>
            <w:tcW w:w="246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20"/>
                <w:szCs w:val="20"/>
                <w:color w:val="auto"/>
              </w:rPr>
              <w:t>/s/ Robert Kastelic</w:t>
            </w:r>
          </w:p>
        </w:tc>
      </w:tr>
      <w:tr>
        <w:trPr>
          <w:trHeight w:val="241"/>
        </w:trPr>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Typed Name:</w:t>
            </w:r>
          </w:p>
        </w:tc>
        <w:tc>
          <w:tcPr>
            <w:tcW w:w="1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Robert Kastelic</w:t>
            </w:r>
          </w:p>
        </w:tc>
      </w:tr>
      <w:tr>
        <w:trPr>
          <w:trHeight w:val="258"/>
        </w:trPr>
        <w:tc>
          <w:tcPr>
            <w:tcW w:w="1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Typed Title:</w:t>
            </w:r>
          </w:p>
        </w:tc>
        <w:tc>
          <w:tcPr>
            <w:tcW w:w="1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SVP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48" w:name="page49"/>
    <w:bookmarkEnd w:id="48"/>
    <w:p>
      <w:pPr>
        <w:ind w:left="2780"/>
        <w:spacing w:after="0"/>
        <w:rPr>
          <w:sz w:val="20"/>
          <w:szCs w:val="20"/>
          <w:color w:val="auto"/>
        </w:rPr>
      </w:pPr>
      <w:r>
        <w:rPr>
          <w:rFonts w:ascii="Times New Roman" w:cs="Times New Roman" w:eastAsia="Times New Roman" w:hAnsi="Times New Roman"/>
          <w:sz w:val="20"/>
          <w:szCs w:val="20"/>
          <w:b w:val="1"/>
          <w:bCs w:val="1"/>
          <w:color w:val="auto"/>
        </w:rPr>
        <w:t>VW CREDIT, INC.</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William J. Binz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5652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65275" cy="8255"/>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4020" w:val="left"/>
        </w:tabs>
        <w:rPr>
          <w:sz w:val="20"/>
          <w:szCs w:val="20"/>
          <w:color w:val="auto"/>
        </w:rPr>
      </w:pPr>
      <w:r>
        <w:rPr>
          <w:rFonts w:ascii="Times New Roman" w:cs="Times New Roman" w:eastAsia="Times New Roman" w:hAnsi="Times New Roman"/>
          <w:sz w:val="20"/>
          <w:szCs w:val="20"/>
          <w:color w:val="auto"/>
        </w:rPr>
        <w:t>Typed Name:</w:t>
      </w:r>
      <w:r>
        <w:rPr>
          <w:sz w:val="20"/>
          <w:szCs w:val="20"/>
          <w:color w:val="auto"/>
        </w:rPr>
        <w:tab/>
      </w:r>
      <w:r>
        <w:rPr>
          <w:rFonts w:ascii="Times New Roman" w:cs="Times New Roman" w:eastAsia="Times New Roman" w:hAnsi="Times New Roman"/>
          <w:sz w:val="19"/>
          <w:szCs w:val="19"/>
          <w:color w:val="auto"/>
        </w:rPr>
        <w:t>William J. Binz</w:t>
      </w:r>
    </w:p>
    <w:p>
      <w:pPr>
        <w:ind w:left="2780"/>
        <w:spacing w:after="0"/>
        <w:tabs>
          <w:tab w:leader="none" w:pos="3920" w:val="left"/>
        </w:tabs>
        <w:rPr>
          <w:sz w:val="20"/>
          <w:szCs w:val="20"/>
          <w:color w:val="auto"/>
        </w:rPr>
      </w:pPr>
      <w:r>
        <w:rPr>
          <w:rFonts w:ascii="Times New Roman" w:cs="Times New Roman" w:eastAsia="Times New Roman" w:hAnsi="Times New Roman"/>
          <w:sz w:val="20"/>
          <w:szCs w:val="20"/>
          <w:color w:val="auto"/>
        </w:rPr>
        <w:t>Typed Title:</w:t>
      </w:r>
      <w:r>
        <w:rPr>
          <w:sz w:val="20"/>
          <w:szCs w:val="20"/>
          <w:color w:val="auto"/>
        </w:rPr>
        <w:tab/>
      </w:r>
      <w:r>
        <w:rPr>
          <w:rFonts w:ascii="Times New Roman" w:cs="Times New Roman" w:eastAsia="Times New Roman" w:hAnsi="Times New Roman"/>
          <w:sz w:val="19"/>
          <w:szCs w:val="19"/>
          <w:color w:val="auto"/>
        </w:rPr>
        <w:t>Sr. Manager – Commercial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49" w:name="page50"/>
    <w:bookmarkEnd w:id="49"/>
    <w:p>
      <w:pPr>
        <w:ind w:left="2780"/>
        <w:spacing w:after="0"/>
        <w:rPr>
          <w:sz w:val="20"/>
          <w:szCs w:val="20"/>
          <w:color w:val="auto"/>
        </w:rPr>
      </w:pPr>
      <w:r>
        <w:rPr>
          <w:rFonts w:ascii="Times New Roman" w:cs="Times New Roman" w:eastAsia="Times New Roman" w:hAnsi="Times New Roman"/>
          <w:sz w:val="20"/>
          <w:szCs w:val="20"/>
          <w:b w:val="1"/>
          <w:bCs w:val="1"/>
          <w:color w:val="auto"/>
        </w:rPr>
        <w:t>PNC BANK, NATIONAL ASSOCIATION</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308"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Amy Tallia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4706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70660" cy="8890"/>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4020" w:val="left"/>
        </w:tabs>
        <w:rPr>
          <w:sz w:val="20"/>
          <w:szCs w:val="20"/>
          <w:color w:val="auto"/>
        </w:rPr>
      </w:pPr>
      <w:r>
        <w:rPr>
          <w:rFonts w:ascii="Times New Roman" w:cs="Times New Roman" w:eastAsia="Times New Roman" w:hAnsi="Times New Roman"/>
          <w:sz w:val="20"/>
          <w:szCs w:val="20"/>
          <w:color w:val="auto"/>
        </w:rPr>
        <w:t>Typed Name:</w:t>
      </w:r>
      <w:r>
        <w:rPr>
          <w:sz w:val="20"/>
          <w:szCs w:val="20"/>
          <w:color w:val="auto"/>
        </w:rPr>
        <w:tab/>
      </w:r>
      <w:r>
        <w:rPr>
          <w:rFonts w:ascii="Times New Roman" w:cs="Times New Roman" w:eastAsia="Times New Roman" w:hAnsi="Times New Roman"/>
          <w:sz w:val="19"/>
          <w:szCs w:val="19"/>
          <w:color w:val="auto"/>
        </w:rPr>
        <w:t>Amy Tallia</w:t>
      </w:r>
    </w:p>
    <w:p>
      <w:pPr>
        <w:ind w:left="2780"/>
        <w:spacing w:after="0"/>
        <w:tabs>
          <w:tab w:leader="none" w:pos="3920" w:val="left"/>
        </w:tabs>
        <w:rPr>
          <w:sz w:val="20"/>
          <w:szCs w:val="20"/>
          <w:color w:val="auto"/>
        </w:rPr>
      </w:pPr>
      <w:r>
        <w:rPr>
          <w:rFonts w:ascii="Times New Roman" w:cs="Times New Roman" w:eastAsia="Times New Roman" w:hAnsi="Times New Roman"/>
          <w:sz w:val="20"/>
          <w:szCs w:val="20"/>
          <w:color w:val="auto"/>
        </w:rPr>
        <w:t>Typed Title:</w:t>
      </w:r>
      <w:r>
        <w:rPr>
          <w:sz w:val="20"/>
          <w:szCs w:val="20"/>
          <w:color w:val="auto"/>
        </w:rPr>
        <w:tab/>
      </w:r>
      <w:r>
        <w:rPr>
          <w:rFonts w:ascii="Times New Roman" w:cs="Times New Roman" w:eastAsia="Times New Roman" w:hAnsi="Times New Roman"/>
          <w:sz w:val="19"/>
          <w:szCs w:val="19"/>
          <w:color w:val="auto"/>
        </w:rPr>
        <w:t>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50" w:name="page51"/>
    <w:bookmarkEnd w:id="50"/>
    <w:p>
      <w:pPr>
        <w:jc w:val="right"/>
        <w:ind w:right="759"/>
        <w:spacing w:after="0"/>
        <w:rPr>
          <w:sz w:val="20"/>
          <w:szCs w:val="20"/>
          <w:color w:val="auto"/>
        </w:rPr>
      </w:pPr>
      <w:r>
        <w:rPr>
          <w:rFonts w:ascii="Times New Roman" w:cs="Times New Roman" w:eastAsia="Times New Roman" w:hAnsi="Times New Roman"/>
          <w:sz w:val="20"/>
          <w:szCs w:val="20"/>
          <w:b w:val="1"/>
          <w:bCs w:val="1"/>
          <w:color w:val="auto"/>
        </w:rPr>
        <w:t>NISSAN MOTOR ACCEPTANCE COMPANY LLC</w:t>
      </w:r>
      <w:r>
        <w:rPr>
          <w:rFonts w:ascii="Times New Roman" w:cs="Times New Roman" w:eastAsia="Times New Roman" w:hAnsi="Times New Roman"/>
          <w:sz w:val="20"/>
          <w:szCs w:val="20"/>
          <w:color w:val="auto"/>
        </w:rPr>
        <w:t>, as a Lender</w:t>
      </w:r>
    </w:p>
    <w:p>
      <w:pPr>
        <w:spacing w:after="0" w:line="34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8794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7947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Typed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-24765</wp:posOffset>
            </wp:positionV>
            <wp:extent cx="7537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0"/>
          <w:szCs w:val="20"/>
          <w:color w:val="auto"/>
        </w:rPr>
        <w:t>Typed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2374265</wp:posOffset>
            </wp:positionH>
            <wp:positionV relativeFrom="paragraph">
              <wp:posOffset>-20320</wp:posOffset>
            </wp:positionV>
            <wp:extent cx="7537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51" w:name="page52"/>
    <w:bookmarkEnd w:id="51"/>
    <w:p>
      <w:pPr>
        <w:ind w:left="2780"/>
        <w:spacing w:after="0"/>
        <w:rPr>
          <w:sz w:val="20"/>
          <w:szCs w:val="20"/>
          <w:color w:val="auto"/>
        </w:rPr>
      </w:pPr>
      <w:r>
        <w:rPr>
          <w:rFonts w:ascii="Times New Roman" w:cs="Times New Roman" w:eastAsia="Times New Roman" w:hAnsi="Times New Roman"/>
          <w:sz w:val="20"/>
          <w:szCs w:val="20"/>
          <w:b w:val="1"/>
          <w:bCs w:val="1"/>
          <w:color w:val="auto"/>
        </w:rPr>
        <w:t>COMERICA BANK</w:t>
      </w:r>
      <w:r>
        <w:rPr>
          <w:rFonts w:ascii="Times New Roman" w:cs="Times New Roman" w:eastAsia="Times New Roman" w:hAnsi="Times New Roman"/>
          <w:sz w:val="20"/>
          <w:szCs w:val="20"/>
          <w:color w:val="auto"/>
        </w:rPr>
        <w:t>, as a Joining Lender and a Lender</w:t>
      </w:r>
    </w:p>
    <w:p>
      <w:pPr>
        <w:spacing w:after="0" w:line="341"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Steven J.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5563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56385" cy="8890"/>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4020" w:val="left"/>
        </w:tabs>
        <w:rPr>
          <w:sz w:val="20"/>
          <w:szCs w:val="20"/>
          <w:color w:val="auto"/>
        </w:rPr>
      </w:pPr>
      <w:r>
        <w:rPr>
          <w:rFonts w:ascii="Times New Roman" w:cs="Times New Roman" w:eastAsia="Times New Roman" w:hAnsi="Times New Roman"/>
          <w:sz w:val="20"/>
          <w:szCs w:val="20"/>
          <w:color w:val="auto"/>
        </w:rPr>
        <w:t>Typed Name:</w:t>
      </w:r>
      <w:r>
        <w:rPr>
          <w:sz w:val="20"/>
          <w:szCs w:val="20"/>
          <w:color w:val="auto"/>
        </w:rPr>
        <w:tab/>
      </w:r>
      <w:r>
        <w:rPr>
          <w:rFonts w:ascii="Times New Roman" w:cs="Times New Roman" w:eastAsia="Times New Roman" w:hAnsi="Times New Roman"/>
          <w:sz w:val="19"/>
          <w:szCs w:val="19"/>
          <w:color w:val="auto"/>
        </w:rPr>
        <w:t>Steven J. Engel</w:t>
      </w:r>
    </w:p>
    <w:p>
      <w:pPr>
        <w:ind w:left="2780"/>
        <w:spacing w:after="0"/>
        <w:tabs>
          <w:tab w:leader="none" w:pos="3920" w:val="left"/>
        </w:tabs>
        <w:rPr>
          <w:sz w:val="20"/>
          <w:szCs w:val="20"/>
          <w:color w:val="auto"/>
        </w:rPr>
      </w:pPr>
      <w:r>
        <w:rPr>
          <w:rFonts w:ascii="Times New Roman" w:cs="Times New Roman" w:eastAsia="Times New Roman" w:hAnsi="Times New Roman"/>
          <w:sz w:val="20"/>
          <w:szCs w:val="20"/>
          <w:color w:val="auto"/>
        </w:rPr>
        <w:t>Typed Title:</w:t>
      </w:r>
      <w:r>
        <w:rPr>
          <w:sz w:val="20"/>
          <w:szCs w:val="20"/>
          <w:color w:val="auto"/>
        </w:rPr>
        <w:tab/>
      </w:r>
      <w:r>
        <w:rPr>
          <w:rFonts w:ascii="Times New Roman" w:cs="Times New Roman" w:eastAsia="Times New Roman" w:hAnsi="Times New Roman"/>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FIRST AMENDMENT TO FOURTH AMENDED AND RESTATED CREDIT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9" w:right="1440"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0"/>
          <w:szCs w:val="20"/>
          <w:b w:val="1"/>
          <w:bCs w:val="1"/>
          <w:color w:val="auto"/>
        </w:rPr>
        <w:t>ANNEX A TO AMENDMENT</w:t>
      </w:r>
    </w:p>
    <w:p>
      <w:pPr>
        <w:spacing w:after="0" w:line="22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b w:val="1"/>
          <w:bCs w:val="1"/>
          <w:u w:val="single" w:color="auto"/>
          <w:color w:val="auto"/>
        </w:rPr>
        <w:t>Commitments to Increase to Aggregate Commitments</w:t>
      </w:r>
    </w:p>
    <w:p>
      <w:pPr>
        <w:spacing w:after="0" w:line="200" w:lineRule="exact"/>
        <w:rPr>
          <w:sz w:val="20"/>
          <w:szCs w:val="20"/>
          <w:color w:val="auto"/>
        </w:rPr>
      </w:pPr>
    </w:p>
    <w:p>
      <w:pPr>
        <w:spacing w:after="0" w:line="26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color w:val="auto"/>
        </w:rPr>
        <w:t>See attached.</w:t>
      </w:r>
    </w:p>
    <w:p>
      <w:pPr>
        <w:sectPr>
          <w:pgSz w:w="11900" w:h="16838" w:orient="portrait"/>
          <w:cols w:equalWidth="0" w:num="1">
            <w:col w:w="10120"/>
          </w:cols>
          <w:pgMar w:left="1440" w:top="1409" w:right="339" w:bottom="1440" w:gutter="0" w:footer="0" w:header="0"/>
        </w:sectPr>
      </w:pPr>
    </w:p>
    <w:bookmarkStart w:id="53" w:name="page54"/>
    <w:bookmarkEnd w:id="53"/>
    <w:tbl>
      <w:tblPr>
        <w:tblLayout w:type="fixed"/>
        <w:tblInd w:w="10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COMMITMENTS TO</w:t>
            </w: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4300" w:type="dxa"/>
            <w:vAlign w:val="bottom"/>
            <w:tcBorders>
              <w:bottom w:val="single" w:sz="8" w:color="auto"/>
            </w:tcBorders>
            <w:gridSpan w:val="5"/>
          </w:tcPr>
          <w:p>
            <w:pPr>
              <w:spacing w:after="0" w:line="223" w:lineRule="exact"/>
              <w:rPr>
                <w:sz w:val="20"/>
                <w:szCs w:val="20"/>
                <w:color w:val="auto"/>
              </w:rPr>
            </w:pPr>
            <w:r>
              <w:rPr>
                <w:rFonts w:ascii="Times New Roman" w:cs="Times New Roman" w:eastAsia="Times New Roman" w:hAnsi="Times New Roman"/>
                <w:sz w:val="20"/>
                <w:szCs w:val="20"/>
                <w:b w:val="1"/>
                <w:bCs w:val="1"/>
                <w:color w:val="auto"/>
                <w:w w:val="97"/>
              </w:rPr>
              <w:t>INCREASE TO AGGREGATE COMMITMENTS</w:t>
            </w:r>
          </w:p>
        </w:tc>
        <w:tc>
          <w:tcPr>
            <w:tcW w:w="600" w:type="dxa"/>
            <w:vAlign w:val="bottom"/>
          </w:tcPr>
          <w:p>
            <w:pPr>
              <w:spacing w:after="0"/>
              <w:rPr>
                <w:sz w:val="19"/>
                <w:szCs w:val="19"/>
                <w:color w:val="auto"/>
              </w:rPr>
            </w:pPr>
          </w:p>
        </w:tc>
      </w:tr>
      <w:tr>
        <w:trPr>
          <w:trHeight w:val="398"/>
        </w:trPr>
        <w:tc>
          <w:tcPr>
            <w:tcW w:w="4720" w:type="dxa"/>
            <w:vAlign w:val="bottom"/>
            <w:tcBorders>
              <w:bottom w:val="single" w:sz="8" w:color="auto"/>
            </w:tcBorders>
            <w:gridSpan w:val="3"/>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spacing w:after="0"/>
              <w:rPr>
                <w:sz w:val="24"/>
                <w:szCs w:val="24"/>
                <w:color w:val="auto"/>
              </w:rPr>
            </w:pPr>
          </w:p>
        </w:tc>
      </w:tr>
      <w:tr>
        <w:trPr>
          <w:trHeight w:val="323"/>
        </w:trPr>
        <w:tc>
          <w:tcPr>
            <w:tcW w:w="4980" w:type="dxa"/>
            <w:vAlign w:val="bottom"/>
            <w:gridSpan w:val="4"/>
          </w:tcPr>
          <w:p>
            <w:pPr>
              <w:ind w:left="80"/>
              <w:spacing w:after="0"/>
              <w:rPr>
                <w:sz w:val="20"/>
                <w:szCs w:val="20"/>
                <w:color w:val="auto"/>
              </w:rPr>
            </w:pPr>
            <w:r>
              <w:rPr>
                <w:rFonts w:ascii="Times New Roman" w:cs="Times New Roman" w:eastAsia="Times New Roman" w:hAnsi="Times New Roman"/>
                <w:sz w:val="20"/>
                <w:szCs w:val="20"/>
                <w:b w:val="1"/>
                <w:bCs w:val="1"/>
                <w:color w:val="auto"/>
              </w:rPr>
              <w:t>Lender</w:t>
            </w:r>
          </w:p>
        </w:tc>
        <w:tc>
          <w:tcPr>
            <w:tcW w:w="380" w:type="dxa"/>
            <w:vAlign w:val="bottom"/>
          </w:tcPr>
          <w:p>
            <w:pPr>
              <w:spacing w:after="0"/>
              <w:rPr>
                <w:sz w:val="24"/>
                <w:szCs w:val="24"/>
                <w:color w:val="auto"/>
              </w:rPr>
            </w:pPr>
          </w:p>
        </w:tc>
        <w:tc>
          <w:tcPr>
            <w:tcW w:w="180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Commitment</w:t>
            </w:r>
          </w:p>
        </w:tc>
      </w:tr>
      <w:tr>
        <w:trPr>
          <w:trHeight w:val="75"/>
        </w:trPr>
        <w:tc>
          <w:tcPr>
            <w:tcW w:w="4720" w:type="dxa"/>
            <w:vAlign w:val="bottom"/>
            <w:tcBorders>
              <w:bottom w:val="single" w:sz="8" w:color="auto"/>
            </w:tcBorders>
            <w:gridSpan w:val="3"/>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gridSpan w:val="2"/>
          </w:tcPr>
          <w:p>
            <w:pPr>
              <w:spacing w:after="0"/>
              <w:rPr>
                <w:sz w:val="6"/>
                <w:szCs w:val="6"/>
                <w:color w:val="auto"/>
              </w:rPr>
            </w:pPr>
          </w:p>
        </w:tc>
      </w:tr>
      <w:tr>
        <w:trPr>
          <w:trHeight w:val="324"/>
        </w:trPr>
        <w:tc>
          <w:tcPr>
            <w:tcW w:w="498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Bank of America, N.A.</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125,000,000.00</w:t>
            </w:r>
          </w:p>
        </w:tc>
      </w:tr>
      <w:tr>
        <w:trPr>
          <w:trHeight w:val="405"/>
        </w:trPr>
        <w:tc>
          <w:tcPr>
            <w:tcW w:w="498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Toyota Motor Credit Corporation</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115,000,000.00</w:t>
            </w:r>
          </w:p>
        </w:tc>
      </w:tr>
      <w:tr>
        <w:trPr>
          <w:trHeight w:val="405"/>
        </w:trPr>
        <w:tc>
          <w:tcPr>
            <w:tcW w:w="498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JPMorgan Chase Bank, N.A.</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0.00</w:t>
            </w:r>
          </w:p>
        </w:tc>
      </w:tr>
      <w:tr>
        <w:trPr>
          <w:trHeight w:val="405"/>
        </w:trPr>
        <w:tc>
          <w:tcPr>
            <w:tcW w:w="498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Wells Fargo Bank, National Association</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75,000,000.00</w:t>
            </w:r>
          </w:p>
        </w:tc>
      </w:tr>
      <w:tr>
        <w:trPr>
          <w:trHeight w:val="405"/>
        </w:trPr>
        <w:tc>
          <w:tcPr>
            <w:tcW w:w="498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American Honda Finance Corporation</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75,000,000.00</w:t>
            </w:r>
          </w:p>
        </w:tc>
      </w:tr>
      <w:tr>
        <w:trPr>
          <w:trHeight w:val="405"/>
        </w:trPr>
        <w:tc>
          <w:tcPr>
            <w:tcW w:w="498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Mercedes-Benz Financial Services USA LLC</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65,000,000.00</w:t>
            </w:r>
          </w:p>
        </w:tc>
      </w:tr>
      <w:tr>
        <w:trPr>
          <w:trHeight w:val="405"/>
        </w:trPr>
        <w:tc>
          <w:tcPr>
            <w:tcW w:w="498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U.S. Bank, National Association</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0.00</w:t>
            </w:r>
          </w:p>
        </w:tc>
      </w:tr>
      <w:tr>
        <w:trPr>
          <w:trHeight w:val="405"/>
        </w:trPr>
        <w:tc>
          <w:tcPr>
            <w:tcW w:w="498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Hyundai Capital America</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0.00</w:t>
            </w:r>
          </w:p>
        </w:tc>
      </w:tr>
      <w:tr>
        <w:trPr>
          <w:trHeight w:val="405"/>
        </w:trPr>
        <w:tc>
          <w:tcPr>
            <w:tcW w:w="498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MassMutual Asset Finance LLC</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25,000,000.00</w:t>
            </w:r>
          </w:p>
        </w:tc>
      </w:tr>
      <w:tr>
        <w:trPr>
          <w:trHeight w:val="405"/>
        </w:trPr>
        <w:tc>
          <w:tcPr>
            <w:tcW w:w="498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Santander Bank, N.A.</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35,000,000.00</w:t>
            </w:r>
          </w:p>
        </w:tc>
      </w:tr>
      <w:tr>
        <w:trPr>
          <w:trHeight w:val="405"/>
        </w:trPr>
        <w:tc>
          <w:tcPr>
            <w:tcW w:w="498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TD Bank, N.A.</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0.00</w:t>
            </w:r>
          </w:p>
        </w:tc>
      </w:tr>
      <w:tr>
        <w:trPr>
          <w:trHeight w:val="405"/>
        </w:trPr>
        <w:tc>
          <w:tcPr>
            <w:tcW w:w="498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BMW Financial Services NA, LLC</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30,000,000.00</w:t>
            </w:r>
          </w:p>
        </w:tc>
      </w:tr>
      <w:tr>
        <w:trPr>
          <w:trHeight w:val="405"/>
        </w:trPr>
        <w:tc>
          <w:tcPr>
            <w:tcW w:w="498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Zions Bancorporation, N.A.</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10,000,000.00</w:t>
            </w:r>
          </w:p>
        </w:tc>
      </w:tr>
      <w:tr>
        <w:trPr>
          <w:trHeight w:val="405"/>
        </w:trPr>
        <w:tc>
          <w:tcPr>
            <w:tcW w:w="498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VW Credit, Inc.</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70,000,000.00</w:t>
            </w:r>
          </w:p>
        </w:tc>
      </w:tr>
      <w:tr>
        <w:trPr>
          <w:trHeight w:val="405"/>
        </w:trPr>
        <w:tc>
          <w:tcPr>
            <w:tcW w:w="498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PNC Bank, National Association</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100,000,000.00</w:t>
            </w:r>
          </w:p>
        </w:tc>
      </w:tr>
      <w:tr>
        <w:trPr>
          <w:trHeight w:val="405"/>
        </w:trPr>
        <w:tc>
          <w:tcPr>
            <w:tcW w:w="498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Nissan Motor Acceptance Company LLC</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0.00</w:t>
            </w:r>
          </w:p>
        </w:tc>
      </w:tr>
      <w:tr>
        <w:trPr>
          <w:trHeight w:val="405"/>
        </w:trPr>
        <w:tc>
          <w:tcPr>
            <w:tcW w:w="498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Comerica Bank</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25,000,000.00</w:t>
            </w:r>
          </w:p>
        </w:tc>
      </w:tr>
      <w:tr>
        <w:trPr>
          <w:trHeight w:val="75"/>
        </w:trPr>
        <w:tc>
          <w:tcPr>
            <w:tcW w:w="4720" w:type="dxa"/>
            <w:vAlign w:val="bottom"/>
            <w:tcBorders>
              <w:bottom w:val="single" w:sz="8" w:color="auto"/>
            </w:tcBorders>
            <w:gridSpan w:val="3"/>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gridSpan w:val="2"/>
          </w:tcPr>
          <w:p>
            <w:pPr>
              <w:spacing w:after="0"/>
              <w:rPr>
                <w:sz w:val="6"/>
                <w:szCs w:val="6"/>
                <w:color w:val="auto"/>
              </w:rPr>
            </w:pPr>
          </w:p>
        </w:tc>
      </w:tr>
      <w:tr>
        <w:trPr>
          <w:trHeight w:val="323"/>
        </w:trPr>
        <w:tc>
          <w:tcPr>
            <w:tcW w:w="4980" w:type="dxa"/>
            <w:vAlign w:val="bottom"/>
            <w:gridSpan w:val="4"/>
          </w:tcPr>
          <w:p>
            <w:pPr>
              <w:ind w:left="8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750,000,000.00</w:t>
            </w:r>
          </w:p>
        </w:tc>
      </w:tr>
      <w:tr>
        <w:trPr>
          <w:trHeight w:val="82"/>
        </w:trPr>
        <w:tc>
          <w:tcPr>
            <w:tcW w:w="22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r>
    </w:tbl>
    <w:p>
      <w:pPr>
        <w:sectPr>
          <w:pgSz w:w="11900" w:h="16838" w:orient="portrait"/>
          <w:cols w:equalWidth="0" w:num="1">
            <w:col w:w="9019"/>
          </w:cols>
          <w:pgMar w:left="1440" w:top="1395" w:right="1440"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0"/>
          <w:szCs w:val="20"/>
          <w:b w:val="1"/>
          <w:bCs w:val="1"/>
          <w:color w:val="auto"/>
        </w:rPr>
        <w:t>ANNEX B TO AMENDMENT</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u w:val="single" w:color="auto"/>
          <w:color w:val="auto"/>
        </w:rPr>
        <w:t>Schedule 2.01</w:t>
      </w:r>
    </w:p>
    <w:p>
      <w:pPr>
        <w:spacing w:after="0" w:line="1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u w:val="single" w:color="auto"/>
          <w:color w:val="auto"/>
        </w:rPr>
        <w:t>Commitments and Applicable Percentages</w:t>
      </w:r>
    </w:p>
    <w:p>
      <w:pPr>
        <w:spacing w:after="0" w:line="200" w:lineRule="exact"/>
        <w:rPr>
          <w:sz w:val="20"/>
          <w:szCs w:val="20"/>
          <w:color w:val="auto"/>
        </w:rPr>
      </w:pPr>
    </w:p>
    <w:p>
      <w:pPr>
        <w:spacing w:after="0" w:line="28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color w:val="auto"/>
        </w:rPr>
        <w:t>See attached.</w:t>
      </w:r>
    </w:p>
    <w:p>
      <w:pPr>
        <w:sectPr>
          <w:pgSz w:w="11900" w:h="16838" w:orient="portrait"/>
          <w:cols w:equalWidth="0" w:num="1">
            <w:col w:w="10120"/>
          </w:cols>
          <w:pgMar w:left="1440" w:top="1409" w:right="339" w:bottom="1440" w:gutter="0" w:footer="0" w:header="0"/>
        </w:sectPr>
      </w:pPr>
    </w:p>
    <w:bookmarkStart w:id="55" w:name="page56"/>
    <w:bookmarkEnd w:id="55"/>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Schedule 2.01</w:t>
      </w:r>
    </w:p>
    <w:p>
      <w:pPr>
        <w:spacing w:after="0" w:line="1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COMMITMENTS AND APPLICABLE PERCENTAGES</w:t>
      </w: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Revolving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102235</wp:posOffset>
            </wp:positionV>
            <wp:extent cx="68922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Lender</w:t>
            </w:r>
          </w:p>
        </w:tc>
        <w:tc>
          <w:tcPr>
            <w:tcW w:w="440" w:type="dxa"/>
            <w:vAlign w:val="bottom"/>
          </w:tcPr>
          <w:p>
            <w:pPr>
              <w:spacing w:after="0"/>
              <w:rPr>
                <w:sz w:val="19"/>
                <w:szCs w:val="19"/>
                <w:color w:val="auto"/>
              </w:rPr>
            </w:pPr>
          </w:p>
        </w:tc>
        <w:tc>
          <w:tcPr>
            <w:tcW w:w="25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b w:val="1"/>
                <w:bCs w:val="1"/>
                <w:color w:val="auto"/>
              </w:rPr>
              <w:t>Commitment</w:t>
            </w:r>
          </w:p>
        </w:tc>
        <w:tc>
          <w:tcPr>
            <w:tcW w:w="2400" w:type="dxa"/>
            <w:vAlign w:val="bottom"/>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Applicable Revolving</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522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2400" w:type="dxa"/>
            <w:vAlign w:val="bottom"/>
            <w:vMerge w:val="restart"/>
          </w:tcPr>
          <w:p>
            <w:pPr>
              <w:jc w:val="right"/>
              <w:ind w:right="741"/>
              <w:spacing w:after="0"/>
              <w:rPr>
                <w:sz w:val="20"/>
                <w:szCs w:val="20"/>
                <w:color w:val="auto"/>
              </w:rPr>
            </w:pPr>
            <w:r>
              <w:rPr>
                <w:rFonts w:ascii="Times New Roman" w:cs="Times New Roman" w:eastAsia="Times New Roman" w:hAnsi="Times New Roman"/>
                <w:sz w:val="20"/>
                <w:szCs w:val="20"/>
                <w:b w:val="1"/>
                <w:bCs w:val="1"/>
                <w:color w:val="auto"/>
              </w:rPr>
              <w:t>Percentage</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49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Bank of America, N.A.</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140,704,225.35</w:t>
            </w:r>
          </w:p>
        </w:tc>
        <w:tc>
          <w:tcPr>
            <w:tcW w:w="6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15.211267605%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Toyota Motor Credit Corporation</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134,190,140.85</w:t>
            </w:r>
          </w:p>
        </w:tc>
        <w:tc>
          <w:tcPr>
            <w:tcW w:w="6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14.507042254%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JPMorgan Chase Bank, N.A.</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75,563,380.28</w:t>
            </w:r>
          </w:p>
        </w:tc>
        <w:tc>
          <w:tcPr>
            <w:tcW w:w="6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8.169014085%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Wells Fargo Bank, National Association</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95,105,633.80</w:t>
            </w:r>
          </w:p>
        </w:tc>
        <w:tc>
          <w:tcPr>
            <w:tcW w:w="6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10.281690141%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American Honda Finance Corporation</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87,288,732.39</w:t>
            </w:r>
          </w:p>
        </w:tc>
        <w:tc>
          <w:tcPr>
            <w:tcW w:w="6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9.436619718%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Mercedes-Benz Financial Services USA LLC</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82,077,464.79</w:t>
            </w:r>
          </w:p>
        </w:tc>
        <w:tc>
          <w:tcPr>
            <w:tcW w:w="6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8.873239437%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U.S. Bank, National Association</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50,809,859.15</w:t>
            </w:r>
          </w:p>
        </w:tc>
        <w:tc>
          <w:tcPr>
            <w:tcW w:w="6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5.492957746%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Hyundai Capital America</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26,056,338.03</w:t>
            </w:r>
          </w:p>
        </w:tc>
        <w:tc>
          <w:tcPr>
            <w:tcW w:w="6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2.816901408%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MassMutual Asset Finance LLC</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32,570,422.54</w:t>
            </w:r>
          </w:p>
        </w:tc>
        <w:tc>
          <w:tcPr>
            <w:tcW w:w="6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3.521126761%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Santander Bank, N.A.</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35,176,056.34</w:t>
            </w:r>
          </w:p>
        </w:tc>
        <w:tc>
          <w:tcPr>
            <w:tcW w:w="6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3.802816902%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TD Bank, N.A.</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26,056,338.03</w:t>
            </w:r>
          </w:p>
        </w:tc>
        <w:tc>
          <w:tcPr>
            <w:tcW w:w="6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2.816901408%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BMW Financial Services NA, LLC</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32,570,422.54</w:t>
            </w:r>
          </w:p>
        </w:tc>
        <w:tc>
          <w:tcPr>
            <w:tcW w:w="6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3.521126761%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Zions Bancorporation, N.A.</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26,056,338.03</w:t>
            </w:r>
          </w:p>
        </w:tc>
        <w:tc>
          <w:tcPr>
            <w:tcW w:w="6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2.816901408%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VW Credit, Inc.</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33,873,239.43</w:t>
            </w:r>
          </w:p>
        </w:tc>
        <w:tc>
          <w:tcPr>
            <w:tcW w:w="6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3.661971830%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PNC Bank, National Association</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39,084,507.04</w:t>
            </w:r>
          </w:p>
        </w:tc>
        <w:tc>
          <w:tcPr>
            <w:tcW w:w="6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4.225352112%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Nissan Motor Acceptance Company LLC</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1,302,816.90</w:t>
            </w:r>
          </w:p>
        </w:tc>
        <w:tc>
          <w:tcPr>
            <w:tcW w:w="6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0.140845070%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Comerica Bank</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6,514,084.51</w:t>
            </w:r>
          </w:p>
        </w:tc>
        <w:tc>
          <w:tcPr>
            <w:tcW w:w="6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0.704225352%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9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8"/>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925,000,000.00</w:t>
            </w:r>
          </w:p>
        </w:tc>
        <w:tc>
          <w:tcPr>
            <w:tcW w:w="62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100.000000000%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9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560" w:top="1409" w:right="479" w:bottom="1440" w:gutter="0" w:footer="0" w:header="0"/>
        </w:sectPr>
      </w:pPr>
    </w:p>
    <w:bookmarkStart w:id="56" w:name="page57"/>
    <w:bookmarkEnd w:id="56"/>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New Vehicle Floorplan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102235</wp:posOffset>
            </wp:positionV>
            <wp:extent cx="68922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Lender</w:t>
            </w:r>
          </w:p>
        </w:tc>
        <w:tc>
          <w:tcPr>
            <w:tcW w:w="500" w:type="dxa"/>
            <w:vAlign w:val="bottom"/>
          </w:tcPr>
          <w:p>
            <w:pPr>
              <w:spacing w:after="0"/>
              <w:rPr>
                <w:sz w:val="19"/>
                <w:szCs w:val="19"/>
                <w:color w:val="auto"/>
              </w:rPr>
            </w:pPr>
          </w:p>
        </w:tc>
        <w:tc>
          <w:tcPr>
            <w:tcW w:w="268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Commitment</w:t>
            </w:r>
          </w:p>
        </w:tc>
        <w:tc>
          <w:tcPr>
            <w:tcW w:w="2440" w:type="dxa"/>
            <w:vAlign w:val="bottom"/>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Applicable New Vehicle</w:t>
            </w:r>
          </w:p>
        </w:tc>
        <w:tc>
          <w:tcPr>
            <w:tcW w:w="0" w:type="dxa"/>
            <w:vAlign w:val="bottom"/>
          </w:tcPr>
          <w:p>
            <w:pPr>
              <w:spacing w:after="0"/>
              <w:rPr>
                <w:sz w:val="1"/>
                <w:szCs w:val="1"/>
                <w:color w:val="auto"/>
              </w:rPr>
            </w:pPr>
          </w:p>
        </w:tc>
      </w:tr>
      <w:tr>
        <w:trPr>
          <w:trHeight w:val="154"/>
        </w:trPr>
        <w:tc>
          <w:tcPr>
            <w:tcW w:w="524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2440" w:type="dxa"/>
            <w:vAlign w:val="bottom"/>
            <w:vMerge w:val="restart"/>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Floorplan Percentage</w:t>
            </w: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49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52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Bank of America, N.A.</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342,253,521.13</w:t>
            </w:r>
          </w:p>
        </w:tc>
        <w:tc>
          <w:tcPr>
            <w:tcW w:w="540" w:type="dxa"/>
            <w:vAlign w:val="bottom"/>
          </w:tcPr>
          <w:p>
            <w:pPr>
              <w:spacing w:after="0"/>
              <w:rPr>
                <w:sz w:val="24"/>
                <w:szCs w:val="24"/>
                <w:color w:val="auto"/>
              </w:rPr>
            </w:pPr>
          </w:p>
        </w:tc>
        <w:tc>
          <w:tcPr>
            <w:tcW w:w="24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15.211267606%</w:t>
            </w:r>
          </w:p>
        </w:tc>
        <w:tc>
          <w:tcPr>
            <w:tcW w:w="0" w:type="dxa"/>
            <w:vAlign w:val="bottom"/>
          </w:tcPr>
          <w:p>
            <w:pPr>
              <w:spacing w:after="0"/>
              <w:rPr>
                <w:sz w:val="1"/>
                <w:szCs w:val="1"/>
                <w:color w:val="auto"/>
              </w:rPr>
            </w:pPr>
          </w:p>
        </w:tc>
      </w:tr>
      <w:tr>
        <w:trPr>
          <w:trHeight w:val="513"/>
        </w:trPr>
        <w:tc>
          <w:tcPr>
            <w:tcW w:w="52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Toyota Motor Credit Corporation</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326,408,450.70</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14.507042253%</w:t>
            </w:r>
          </w:p>
        </w:tc>
        <w:tc>
          <w:tcPr>
            <w:tcW w:w="0" w:type="dxa"/>
            <w:vAlign w:val="bottom"/>
          </w:tcPr>
          <w:p>
            <w:pPr>
              <w:spacing w:after="0"/>
              <w:rPr>
                <w:sz w:val="1"/>
                <w:szCs w:val="1"/>
                <w:color w:val="auto"/>
              </w:rPr>
            </w:pPr>
          </w:p>
        </w:tc>
      </w:tr>
      <w:tr>
        <w:trPr>
          <w:trHeight w:val="513"/>
        </w:trPr>
        <w:tc>
          <w:tcPr>
            <w:tcW w:w="52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JPMorgan Chase Bank, N.A.</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183,802,816.90</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8.169014084%</w:t>
            </w:r>
          </w:p>
        </w:tc>
        <w:tc>
          <w:tcPr>
            <w:tcW w:w="0" w:type="dxa"/>
            <w:vAlign w:val="bottom"/>
          </w:tcPr>
          <w:p>
            <w:pPr>
              <w:spacing w:after="0"/>
              <w:rPr>
                <w:sz w:val="1"/>
                <w:szCs w:val="1"/>
                <w:color w:val="auto"/>
              </w:rPr>
            </w:pPr>
          </w:p>
        </w:tc>
      </w:tr>
      <w:tr>
        <w:trPr>
          <w:trHeight w:val="513"/>
        </w:trPr>
        <w:tc>
          <w:tcPr>
            <w:tcW w:w="52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Wells Fargo Bank, National Association</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231,338,028.17</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10.281690141%</w:t>
            </w:r>
          </w:p>
        </w:tc>
        <w:tc>
          <w:tcPr>
            <w:tcW w:w="0" w:type="dxa"/>
            <w:vAlign w:val="bottom"/>
          </w:tcPr>
          <w:p>
            <w:pPr>
              <w:spacing w:after="0"/>
              <w:rPr>
                <w:sz w:val="1"/>
                <w:szCs w:val="1"/>
                <w:color w:val="auto"/>
              </w:rPr>
            </w:pPr>
          </w:p>
        </w:tc>
      </w:tr>
      <w:tr>
        <w:trPr>
          <w:trHeight w:val="513"/>
        </w:trPr>
        <w:tc>
          <w:tcPr>
            <w:tcW w:w="52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American Honda Finance Corporation</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212,323,943.67</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9.436619719%</w:t>
            </w:r>
          </w:p>
        </w:tc>
        <w:tc>
          <w:tcPr>
            <w:tcW w:w="0" w:type="dxa"/>
            <w:vAlign w:val="bottom"/>
          </w:tcPr>
          <w:p>
            <w:pPr>
              <w:spacing w:after="0"/>
              <w:rPr>
                <w:sz w:val="1"/>
                <w:szCs w:val="1"/>
                <w:color w:val="auto"/>
              </w:rPr>
            </w:pPr>
          </w:p>
        </w:tc>
      </w:tr>
      <w:tr>
        <w:trPr>
          <w:trHeight w:val="513"/>
        </w:trPr>
        <w:tc>
          <w:tcPr>
            <w:tcW w:w="52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Mercedes-Benz Financial Services USA LLC</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199,647,887.32</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8.873239436%</w:t>
            </w:r>
          </w:p>
        </w:tc>
        <w:tc>
          <w:tcPr>
            <w:tcW w:w="0" w:type="dxa"/>
            <w:vAlign w:val="bottom"/>
          </w:tcPr>
          <w:p>
            <w:pPr>
              <w:spacing w:after="0"/>
              <w:rPr>
                <w:sz w:val="1"/>
                <w:szCs w:val="1"/>
                <w:color w:val="auto"/>
              </w:rPr>
            </w:pPr>
          </w:p>
        </w:tc>
      </w:tr>
      <w:tr>
        <w:trPr>
          <w:trHeight w:val="513"/>
        </w:trPr>
        <w:tc>
          <w:tcPr>
            <w:tcW w:w="52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U.S. Bank, National Association</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123,591,549.30</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5.492957747%</w:t>
            </w:r>
          </w:p>
        </w:tc>
        <w:tc>
          <w:tcPr>
            <w:tcW w:w="0" w:type="dxa"/>
            <w:vAlign w:val="bottom"/>
          </w:tcPr>
          <w:p>
            <w:pPr>
              <w:spacing w:after="0"/>
              <w:rPr>
                <w:sz w:val="1"/>
                <w:szCs w:val="1"/>
                <w:color w:val="auto"/>
              </w:rPr>
            </w:pPr>
          </w:p>
        </w:tc>
      </w:tr>
      <w:tr>
        <w:trPr>
          <w:trHeight w:val="513"/>
        </w:trPr>
        <w:tc>
          <w:tcPr>
            <w:tcW w:w="52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Hyundai Capital America</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63,380,281.69</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2.816901408%</w:t>
            </w:r>
          </w:p>
        </w:tc>
        <w:tc>
          <w:tcPr>
            <w:tcW w:w="0" w:type="dxa"/>
            <w:vAlign w:val="bottom"/>
          </w:tcPr>
          <w:p>
            <w:pPr>
              <w:spacing w:after="0"/>
              <w:rPr>
                <w:sz w:val="1"/>
                <w:szCs w:val="1"/>
                <w:color w:val="auto"/>
              </w:rPr>
            </w:pPr>
          </w:p>
        </w:tc>
      </w:tr>
      <w:tr>
        <w:trPr>
          <w:trHeight w:val="513"/>
        </w:trPr>
        <w:tc>
          <w:tcPr>
            <w:tcW w:w="52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MassMutual Asset Finance LLC</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79,225,352.11</w:t>
            </w:r>
          </w:p>
        </w:tc>
        <w:tc>
          <w:tcPr>
            <w:tcW w:w="540" w:type="dxa"/>
            <w:vAlign w:val="bottom"/>
          </w:tcPr>
          <w:p>
            <w:pPr>
              <w:spacing w:after="0"/>
              <w:rPr>
                <w:sz w:val="24"/>
                <w:szCs w:val="24"/>
                <w:color w:val="auto"/>
              </w:rPr>
            </w:pPr>
          </w:p>
        </w:tc>
        <w:tc>
          <w:tcPr>
            <w:tcW w:w="24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3.521126760%</w:t>
            </w:r>
          </w:p>
        </w:tc>
        <w:tc>
          <w:tcPr>
            <w:tcW w:w="0" w:type="dxa"/>
            <w:vAlign w:val="bottom"/>
          </w:tcPr>
          <w:p>
            <w:pPr>
              <w:spacing w:after="0"/>
              <w:rPr>
                <w:sz w:val="1"/>
                <w:szCs w:val="1"/>
                <w:color w:val="auto"/>
              </w:rPr>
            </w:pPr>
          </w:p>
        </w:tc>
      </w:tr>
      <w:tr>
        <w:trPr>
          <w:trHeight w:val="513"/>
        </w:trPr>
        <w:tc>
          <w:tcPr>
            <w:tcW w:w="52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Santander Bank, N.A.</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85,563,380.28</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3.802816901%</w:t>
            </w:r>
          </w:p>
        </w:tc>
        <w:tc>
          <w:tcPr>
            <w:tcW w:w="0" w:type="dxa"/>
            <w:vAlign w:val="bottom"/>
          </w:tcPr>
          <w:p>
            <w:pPr>
              <w:spacing w:after="0"/>
              <w:rPr>
                <w:sz w:val="1"/>
                <w:szCs w:val="1"/>
                <w:color w:val="auto"/>
              </w:rPr>
            </w:pPr>
          </w:p>
        </w:tc>
      </w:tr>
      <w:tr>
        <w:trPr>
          <w:trHeight w:val="513"/>
        </w:trPr>
        <w:tc>
          <w:tcPr>
            <w:tcW w:w="52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TD Bank, N.A.</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63,380,281.69</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2.816901408%</w:t>
            </w:r>
          </w:p>
        </w:tc>
        <w:tc>
          <w:tcPr>
            <w:tcW w:w="0" w:type="dxa"/>
            <w:vAlign w:val="bottom"/>
          </w:tcPr>
          <w:p>
            <w:pPr>
              <w:spacing w:after="0"/>
              <w:rPr>
                <w:sz w:val="1"/>
                <w:szCs w:val="1"/>
                <w:color w:val="auto"/>
              </w:rPr>
            </w:pPr>
          </w:p>
        </w:tc>
      </w:tr>
      <w:tr>
        <w:trPr>
          <w:trHeight w:val="513"/>
        </w:trPr>
        <w:tc>
          <w:tcPr>
            <w:tcW w:w="52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BMW Financial Services NA, LLC</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79,225,352.11</w:t>
            </w:r>
          </w:p>
        </w:tc>
        <w:tc>
          <w:tcPr>
            <w:tcW w:w="540" w:type="dxa"/>
            <w:vAlign w:val="bottom"/>
          </w:tcPr>
          <w:p>
            <w:pPr>
              <w:spacing w:after="0"/>
              <w:rPr>
                <w:sz w:val="24"/>
                <w:szCs w:val="24"/>
                <w:color w:val="auto"/>
              </w:rPr>
            </w:pPr>
          </w:p>
        </w:tc>
        <w:tc>
          <w:tcPr>
            <w:tcW w:w="24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3.521126760%</w:t>
            </w:r>
          </w:p>
        </w:tc>
        <w:tc>
          <w:tcPr>
            <w:tcW w:w="0" w:type="dxa"/>
            <w:vAlign w:val="bottom"/>
          </w:tcPr>
          <w:p>
            <w:pPr>
              <w:spacing w:after="0"/>
              <w:rPr>
                <w:sz w:val="1"/>
                <w:szCs w:val="1"/>
                <w:color w:val="auto"/>
              </w:rPr>
            </w:pPr>
          </w:p>
        </w:tc>
      </w:tr>
      <w:tr>
        <w:trPr>
          <w:trHeight w:val="513"/>
        </w:trPr>
        <w:tc>
          <w:tcPr>
            <w:tcW w:w="52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Zions Bancorporation, N.A.</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63,380,281.69</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2.816901408%</w:t>
            </w:r>
          </w:p>
        </w:tc>
        <w:tc>
          <w:tcPr>
            <w:tcW w:w="0" w:type="dxa"/>
            <w:vAlign w:val="bottom"/>
          </w:tcPr>
          <w:p>
            <w:pPr>
              <w:spacing w:after="0"/>
              <w:rPr>
                <w:sz w:val="1"/>
                <w:szCs w:val="1"/>
                <w:color w:val="auto"/>
              </w:rPr>
            </w:pPr>
          </w:p>
        </w:tc>
      </w:tr>
      <w:tr>
        <w:trPr>
          <w:trHeight w:val="513"/>
        </w:trPr>
        <w:tc>
          <w:tcPr>
            <w:tcW w:w="52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VW Credit, Inc.</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82,394,366.20</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3.661971831%</w:t>
            </w:r>
          </w:p>
        </w:tc>
        <w:tc>
          <w:tcPr>
            <w:tcW w:w="0" w:type="dxa"/>
            <w:vAlign w:val="bottom"/>
          </w:tcPr>
          <w:p>
            <w:pPr>
              <w:spacing w:after="0"/>
              <w:rPr>
                <w:sz w:val="1"/>
                <w:szCs w:val="1"/>
                <w:color w:val="auto"/>
              </w:rPr>
            </w:pPr>
          </w:p>
        </w:tc>
      </w:tr>
      <w:tr>
        <w:trPr>
          <w:trHeight w:val="513"/>
        </w:trPr>
        <w:tc>
          <w:tcPr>
            <w:tcW w:w="52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PNC Bank, National Association</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95,070,422.54</w:t>
            </w:r>
          </w:p>
        </w:tc>
        <w:tc>
          <w:tcPr>
            <w:tcW w:w="540" w:type="dxa"/>
            <w:vAlign w:val="bottom"/>
          </w:tcPr>
          <w:p>
            <w:pPr>
              <w:spacing w:after="0"/>
              <w:rPr>
                <w:sz w:val="24"/>
                <w:szCs w:val="24"/>
                <w:color w:val="auto"/>
              </w:rPr>
            </w:pPr>
          </w:p>
        </w:tc>
        <w:tc>
          <w:tcPr>
            <w:tcW w:w="24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4.225352113%</w:t>
            </w:r>
          </w:p>
        </w:tc>
        <w:tc>
          <w:tcPr>
            <w:tcW w:w="0" w:type="dxa"/>
            <w:vAlign w:val="bottom"/>
          </w:tcPr>
          <w:p>
            <w:pPr>
              <w:spacing w:after="0"/>
              <w:rPr>
                <w:sz w:val="1"/>
                <w:szCs w:val="1"/>
                <w:color w:val="auto"/>
              </w:rPr>
            </w:pPr>
          </w:p>
        </w:tc>
      </w:tr>
      <w:tr>
        <w:trPr>
          <w:trHeight w:val="513"/>
        </w:trPr>
        <w:tc>
          <w:tcPr>
            <w:tcW w:w="52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Nissan Motor Acceptance Company LLC</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3,169,014.08</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0.140845070%</w:t>
            </w:r>
          </w:p>
        </w:tc>
        <w:tc>
          <w:tcPr>
            <w:tcW w:w="0" w:type="dxa"/>
            <w:vAlign w:val="bottom"/>
          </w:tcPr>
          <w:p>
            <w:pPr>
              <w:spacing w:after="0"/>
              <w:rPr>
                <w:sz w:val="1"/>
                <w:szCs w:val="1"/>
                <w:color w:val="auto"/>
              </w:rPr>
            </w:pPr>
          </w:p>
        </w:tc>
      </w:tr>
      <w:tr>
        <w:trPr>
          <w:trHeight w:val="513"/>
        </w:trPr>
        <w:tc>
          <w:tcPr>
            <w:tcW w:w="52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Comerica Bank</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15,845,070.42</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0.704225352%</w:t>
            </w:r>
          </w:p>
        </w:tc>
        <w:tc>
          <w:tcPr>
            <w:tcW w:w="0" w:type="dxa"/>
            <w:vAlign w:val="bottom"/>
          </w:tcPr>
          <w:p>
            <w:pPr>
              <w:spacing w:after="0"/>
              <w:rPr>
                <w:sz w:val="1"/>
                <w:szCs w:val="1"/>
                <w:color w:val="auto"/>
              </w:rPr>
            </w:pPr>
          </w:p>
        </w:tc>
      </w:tr>
      <w:tr>
        <w:trPr>
          <w:trHeight w:val="129"/>
        </w:trPr>
        <w:tc>
          <w:tcPr>
            <w:tcW w:w="49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78"/>
        </w:trPr>
        <w:tc>
          <w:tcPr>
            <w:tcW w:w="524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2,250,000,000.00</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100.000000000%</w:t>
            </w:r>
          </w:p>
        </w:tc>
        <w:tc>
          <w:tcPr>
            <w:tcW w:w="0" w:type="dxa"/>
            <w:vAlign w:val="bottom"/>
          </w:tcPr>
          <w:p>
            <w:pPr>
              <w:spacing w:after="0"/>
              <w:rPr>
                <w:sz w:val="1"/>
                <w:szCs w:val="1"/>
                <w:color w:val="auto"/>
              </w:rPr>
            </w:pPr>
          </w:p>
        </w:tc>
      </w:tr>
      <w:tr>
        <w:trPr>
          <w:trHeight w:val="136"/>
        </w:trPr>
        <w:tc>
          <w:tcPr>
            <w:tcW w:w="49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560" w:top="1440" w:right="479" w:bottom="1440" w:gutter="0" w:footer="0" w:header="0"/>
        </w:sectPr>
      </w:pPr>
    </w:p>
    <w:bookmarkStart w:id="57" w:name="page58"/>
    <w:bookmarkEnd w:id="57"/>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Used Vehicle Floorplan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102235</wp:posOffset>
            </wp:positionV>
            <wp:extent cx="68922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Lender</w:t>
            </w:r>
          </w:p>
        </w:tc>
        <w:tc>
          <w:tcPr>
            <w:tcW w:w="420" w:type="dxa"/>
            <w:vAlign w:val="bottom"/>
          </w:tcPr>
          <w:p>
            <w:pPr>
              <w:spacing w:after="0"/>
              <w:rPr>
                <w:sz w:val="19"/>
                <w:szCs w:val="19"/>
                <w:color w:val="auto"/>
              </w:rPr>
            </w:pPr>
          </w:p>
        </w:tc>
        <w:tc>
          <w:tcPr>
            <w:tcW w:w="25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b w:val="1"/>
                <w:bCs w:val="1"/>
                <w:color w:val="auto"/>
              </w:rPr>
              <w:t>Commitment</w:t>
            </w:r>
          </w:p>
        </w:tc>
        <w:tc>
          <w:tcPr>
            <w:tcW w:w="2420" w:type="dxa"/>
            <w:vAlign w:val="bottom"/>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Applicable Used Vehicle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522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2420" w:type="dxa"/>
            <w:vAlign w:val="bottom"/>
            <w:vMerge w:val="restart"/>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Floorplan Percentage</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49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Bank of America, N.A.</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57,042,253.52</w:t>
            </w:r>
          </w:p>
        </w:tc>
        <w:tc>
          <w:tcPr>
            <w:tcW w:w="520" w:type="dxa"/>
            <w:vAlign w:val="bottom"/>
          </w:tcPr>
          <w:p>
            <w:pPr>
              <w:spacing w:after="0"/>
              <w:rPr>
                <w:sz w:val="24"/>
                <w:szCs w:val="24"/>
                <w:color w:val="auto"/>
              </w:rPr>
            </w:pPr>
          </w:p>
        </w:tc>
        <w:tc>
          <w:tcPr>
            <w:tcW w:w="24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15.211267605%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Toyota Motor Credit Corporation</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54,401,408.45</w:t>
            </w:r>
          </w:p>
        </w:tc>
        <w:tc>
          <w:tcPr>
            <w:tcW w:w="520" w:type="dxa"/>
            <w:vAlign w:val="bottom"/>
          </w:tcPr>
          <w:p>
            <w:pPr>
              <w:spacing w:after="0"/>
              <w:rPr>
                <w:sz w:val="24"/>
                <w:szCs w:val="24"/>
                <w:color w:val="auto"/>
              </w:rPr>
            </w:pPr>
          </w:p>
        </w:tc>
        <w:tc>
          <w:tcPr>
            <w:tcW w:w="24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14.507042253%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JPMorgan Chase Bank, N.A.</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30,633,802.82</w:t>
            </w:r>
          </w:p>
        </w:tc>
        <w:tc>
          <w:tcPr>
            <w:tcW w:w="520" w:type="dxa"/>
            <w:vAlign w:val="bottom"/>
          </w:tcPr>
          <w:p>
            <w:pPr>
              <w:spacing w:after="0"/>
              <w:rPr>
                <w:sz w:val="24"/>
                <w:szCs w:val="24"/>
                <w:color w:val="auto"/>
              </w:rPr>
            </w:pPr>
          </w:p>
        </w:tc>
        <w:tc>
          <w:tcPr>
            <w:tcW w:w="24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8.169014085%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Wells Fargo Bank, National Association</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38,556,338.03</w:t>
            </w:r>
          </w:p>
        </w:tc>
        <w:tc>
          <w:tcPr>
            <w:tcW w:w="520" w:type="dxa"/>
            <w:vAlign w:val="bottom"/>
          </w:tcPr>
          <w:p>
            <w:pPr>
              <w:spacing w:after="0"/>
              <w:rPr>
                <w:sz w:val="24"/>
                <w:szCs w:val="24"/>
                <w:color w:val="auto"/>
              </w:rPr>
            </w:pPr>
          </w:p>
        </w:tc>
        <w:tc>
          <w:tcPr>
            <w:tcW w:w="24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10.281690141%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American Honda Finance Corporation</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35,387,323.94</w:t>
            </w:r>
          </w:p>
        </w:tc>
        <w:tc>
          <w:tcPr>
            <w:tcW w:w="520" w:type="dxa"/>
            <w:vAlign w:val="bottom"/>
          </w:tcPr>
          <w:p>
            <w:pPr>
              <w:spacing w:after="0"/>
              <w:rPr>
                <w:sz w:val="24"/>
                <w:szCs w:val="24"/>
                <w:color w:val="auto"/>
              </w:rPr>
            </w:pPr>
          </w:p>
        </w:tc>
        <w:tc>
          <w:tcPr>
            <w:tcW w:w="24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9.436619717%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Mercedes-Benz Financial Services USA LLC</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33,274,647.89</w:t>
            </w:r>
          </w:p>
        </w:tc>
        <w:tc>
          <w:tcPr>
            <w:tcW w:w="520" w:type="dxa"/>
            <w:vAlign w:val="bottom"/>
          </w:tcPr>
          <w:p>
            <w:pPr>
              <w:spacing w:after="0"/>
              <w:rPr>
                <w:sz w:val="24"/>
                <w:szCs w:val="24"/>
                <w:color w:val="auto"/>
              </w:rPr>
            </w:pPr>
          </w:p>
        </w:tc>
        <w:tc>
          <w:tcPr>
            <w:tcW w:w="24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8.873239437%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U.S. Bank, National Association</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20,598,591.55</w:t>
            </w:r>
          </w:p>
        </w:tc>
        <w:tc>
          <w:tcPr>
            <w:tcW w:w="520" w:type="dxa"/>
            <w:vAlign w:val="bottom"/>
          </w:tcPr>
          <w:p>
            <w:pPr>
              <w:spacing w:after="0"/>
              <w:rPr>
                <w:sz w:val="24"/>
                <w:szCs w:val="24"/>
                <w:color w:val="auto"/>
              </w:rPr>
            </w:pPr>
          </w:p>
        </w:tc>
        <w:tc>
          <w:tcPr>
            <w:tcW w:w="24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5.492957747%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Hyundai Capital America</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10,563,380.28</w:t>
            </w:r>
          </w:p>
        </w:tc>
        <w:tc>
          <w:tcPr>
            <w:tcW w:w="520" w:type="dxa"/>
            <w:vAlign w:val="bottom"/>
          </w:tcPr>
          <w:p>
            <w:pPr>
              <w:spacing w:after="0"/>
              <w:rPr>
                <w:sz w:val="24"/>
                <w:szCs w:val="24"/>
                <w:color w:val="auto"/>
              </w:rPr>
            </w:pPr>
          </w:p>
        </w:tc>
        <w:tc>
          <w:tcPr>
            <w:tcW w:w="24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2.816901408%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MassMutual Asset Finance LLC</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13,204,225.35</w:t>
            </w:r>
          </w:p>
        </w:tc>
        <w:tc>
          <w:tcPr>
            <w:tcW w:w="520" w:type="dxa"/>
            <w:vAlign w:val="bottom"/>
          </w:tcPr>
          <w:p>
            <w:pPr>
              <w:spacing w:after="0"/>
              <w:rPr>
                <w:sz w:val="24"/>
                <w:szCs w:val="24"/>
                <w:color w:val="auto"/>
              </w:rPr>
            </w:pPr>
          </w:p>
        </w:tc>
        <w:tc>
          <w:tcPr>
            <w:tcW w:w="24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3.521126761%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Santander Bank, N.A.</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14,260,563.38</w:t>
            </w:r>
          </w:p>
        </w:tc>
        <w:tc>
          <w:tcPr>
            <w:tcW w:w="520" w:type="dxa"/>
            <w:vAlign w:val="bottom"/>
          </w:tcPr>
          <w:p>
            <w:pPr>
              <w:spacing w:after="0"/>
              <w:rPr>
                <w:sz w:val="24"/>
                <w:szCs w:val="24"/>
                <w:color w:val="auto"/>
              </w:rPr>
            </w:pPr>
          </w:p>
        </w:tc>
        <w:tc>
          <w:tcPr>
            <w:tcW w:w="24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3.802816901%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TD Bank, N.A.</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10,563,380.28</w:t>
            </w:r>
          </w:p>
        </w:tc>
        <w:tc>
          <w:tcPr>
            <w:tcW w:w="520" w:type="dxa"/>
            <w:vAlign w:val="bottom"/>
          </w:tcPr>
          <w:p>
            <w:pPr>
              <w:spacing w:after="0"/>
              <w:rPr>
                <w:sz w:val="24"/>
                <w:szCs w:val="24"/>
                <w:color w:val="auto"/>
              </w:rPr>
            </w:pPr>
          </w:p>
        </w:tc>
        <w:tc>
          <w:tcPr>
            <w:tcW w:w="24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2.816901408%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BMW Financial Services NA, LLC</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13,204,225.35</w:t>
            </w:r>
          </w:p>
        </w:tc>
        <w:tc>
          <w:tcPr>
            <w:tcW w:w="520" w:type="dxa"/>
            <w:vAlign w:val="bottom"/>
          </w:tcPr>
          <w:p>
            <w:pPr>
              <w:spacing w:after="0"/>
              <w:rPr>
                <w:sz w:val="24"/>
                <w:szCs w:val="24"/>
                <w:color w:val="auto"/>
              </w:rPr>
            </w:pPr>
          </w:p>
        </w:tc>
        <w:tc>
          <w:tcPr>
            <w:tcW w:w="24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3.521126760%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Zions Bancorporation, N.A.</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10,563,380.28</w:t>
            </w:r>
          </w:p>
        </w:tc>
        <w:tc>
          <w:tcPr>
            <w:tcW w:w="520" w:type="dxa"/>
            <w:vAlign w:val="bottom"/>
          </w:tcPr>
          <w:p>
            <w:pPr>
              <w:spacing w:after="0"/>
              <w:rPr>
                <w:sz w:val="24"/>
                <w:szCs w:val="24"/>
                <w:color w:val="auto"/>
              </w:rPr>
            </w:pPr>
          </w:p>
        </w:tc>
        <w:tc>
          <w:tcPr>
            <w:tcW w:w="24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2.816901408%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VW Credit, Inc.</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13,732,394.37</w:t>
            </w:r>
          </w:p>
        </w:tc>
        <w:tc>
          <w:tcPr>
            <w:tcW w:w="520" w:type="dxa"/>
            <w:vAlign w:val="bottom"/>
          </w:tcPr>
          <w:p>
            <w:pPr>
              <w:spacing w:after="0"/>
              <w:rPr>
                <w:sz w:val="24"/>
                <w:szCs w:val="24"/>
                <w:color w:val="auto"/>
              </w:rPr>
            </w:pPr>
          </w:p>
        </w:tc>
        <w:tc>
          <w:tcPr>
            <w:tcW w:w="24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3.661971832%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PNC Bank, National Association</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15,845,070.42</w:t>
            </w:r>
          </w:p>
        </w:tc>
        <w:tc>
          <w:tcPr>
            <w:tcW w:w="520" w:type="dxa"/>
            <w:vAlign w:val="bottom"/>
          </w:tcPr>
          <w:p>
            <w:pPr>
              <w:spacing w:after="0"/>
              <w:rPr>
                <w:sz w:val="24"/>
                <w:szCs w:val="24"/>
                <w:color w:val="auto"/>
              </w:rPr>
            </w:pPr>
          </w:p>
        </w:tc>
        <w:tc>
          <w:tcPr>
            <w:tcW w:w="24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4.225352112%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Nissan Motor Acceptance Company LLC</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528,169.02</w:t>
            </w:r>
          </w:p>
        </w:tc>
        <w:tc>
          <w:tcPr>
            <w:tcW w:w="520" w:type="dxa"/>
            <w:vAlign w:val="bottom"/>
          </w:tcPr>
          <w:p>
            <w:pPr>
              <w:spacing w:after="0"/>
              <w:rPr>
                <w:sz w:val="24"/>
                <w:szCs w:val="24"/>
                <w:color w:val="auto"/>
              </w:rPr>
            </w:pPr>
          </w:p>
        </w:tc>
        <w:tc>
          <w:tcPr>
            <w:tcW w:w="24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0.140845072%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Comerica Bank</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2,640,845.07</w:t>
            </w:r>
          </w:p>
        </w:tc>
        <w:tc>
          <w:tcPr>
            <w:tcW w:w="520" w:type="dxa"/>
            <w:vAlign w:val="bottom"/>
          </w:tcPr>
          <w:p>
            <w:pPr>
              <w:spacing w:after="0"/>
              <w:rPr>
                <w:sz w:val="24"/>
                <w:szCs w:val="24"/>
                <w:color w:val="auto"/>
              </w:rPr>
            </w:pPr>
          </w:p>
        </w:tc>
        <w:tc>
          <w:tcPr>
            <w:tcW w:w="24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0.704225352%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9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4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8"/>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375,000,000.00</w:t>
            </w:r>
          </w:p>
        </w:tc>
        <w:tc>
          <w:tcPr>
            <w:tcW w:w="520" w:type="dxa"/>
            <w:vAlign w:val="bottom"/>
          </w:tcPr>
          <w:p>
            <w:pPr>
              <w:spacing w:after="0"/>
              <w:rPr>
                <w:sz w:val="24"/>
                <w:szCs w:val="24"/>
                <w:color w:val="auto"/>
              </w:rPr>
            </w:pPr>
          </w:p>
        </w:tc>
        <w:tc>
          <w:tcPr>
            <w:tcW w:w="242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100.000000000%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9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560" w:top="1440" w:right="479" w:bottom="1440" w:gutter="0" w:footer="0" w:header="0"/>
        </w:sectPr>
      </w:pPr>
    </w:p>
    <w:bookmarkStart w:id="58" w:name="page59"/>
    <w:bookmarkEnd w:id="58"/>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Aggregate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102235</wp:posOffset>
            </wp:positionV>
            <wp:extent cx="68922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Lender</w:t>
            </w:r>
          </w:p>
        </w:tc>
        <w:tc>
          <w:tcPr>
            <w:tcW w:w="520" w:type="dxa"/>
            <w:vAlign w:val="bottom"/>
          </w:tcPr>
          <w:p>
            <w:pPr>
              <w:spacing w:after="0"/>
              <w:rPr>
                <w:sz w:val="22"/>
                <w:szCs w:val="22"/>
                <w:color w:val="auto"/>
              </w:rPr>
            </w:pPr>
          </w:p>
        </w:tc>
        <w:tc>
          <w:tcPr>
            <w:tcW w:w="268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rPr>
              <w:t>Commitment</w:t>
            </w:r>
          </w:p>
        </w:tc>
        <w:tc>
          <w:tcPr>
            <w:tcW w:w="244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Applicable Percentage</w:t>
            </w:r>
          </w:p>
        </w:tc>
      </w:tr>
      <w:tr>
        <w:trPr>
          <w:trHeight w:val="143"/>
        </w:trPr>
        <w:tc>
          <w:tcPr>
            <w:tcW w:w="49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r>
      <w:tr>
        <w:trPr>
          <w:trHeight w:val="364"/>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Bank of America, N.A.</w:t>
            </w:r>
          </w:p>
        </w:tc>
        <w:tc>
          <w:tcPr>
            <w:tcW w:w="5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540,000,000.00</w:t>
            </w:r>
          </w:p>
        </w:tc>
        <w:tc>
          <w:tcPr>
            <w:tcW w:w="540" w:type="dxa"/>
            <w:vAlign w:val="bottom"/>
          </w:tcPr>
          <w:p>
            <w:pPr>
              <w:spacing w:after="0"/>
              <w:rPr>
                <w:sz w:val="24"/>
                <w:szCs w:val="24"/>
                <w:color w:val="auto"/>
              </w:rPr>
            </w:pPr>
          </w:p>
        </w:tc>
        <w:tc>
          <w:tcPr>
            <w:tcW w:w="24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15.211267606%</w:t>
            </w: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Toyota Motor Credit Corporation</w:t>
            </w:r>
          </w:p>
        </w:tc>
        <w:tc>
          <w:tcPr>
            <w:tcW w:w="5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515,000,000.00</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14.507042254%</w:t>
            </w: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JPMorgan Chase Bank, N.A.</w:t>
            </w:r>
          </w:p>
        </w:tc>
        <w:tc>
          <w:tcPr>
            <w:tcW w:w="5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290,000,000.00</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8.169014085%</w:t>
            </w: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Wells Fargo Bank, National Association</w:t>
            </w:r>
          </w:p>
        </w:tc>
        <w:tc>
          <w:tcPr>
            <w:tcW w:w="5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365,000,000.00</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10.281690141%</w:t>
            </w: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American Honda Finance Corporation</w:t>
            </w:r>
          </w:p>
        </w:tc>
        <w:tc>
          <w:tcPr>
            <w:tcW w:w="5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335,000,000.00</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9.436619718%</w:t>
            </w: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Mercedes-Benz Financial Services USA LLC</w:t>
            </w:r>
          </w:p>
        </w:tc>
        <w:tc>
          <w:tcPr>
            <w:tcW w:w="5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315,000,000.00</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8.873239437%</w:t>
            </w: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U.S. Bank, National Association</w:t>
            </w:r>
          </w:p>
        </w:tc>
        <w:tc>
          <w:tcPr>
            <w:tcW w:w="5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195,000,000.00</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5.492957746%</w:t>
            </w: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Hyundai Capital America</w:t>
            </w:r>
          </w:p>
        </w:tc>
        <w:tc>
          <w:tcPr>
            <w:tcW w:w="5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100,000,000.00</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2.816901408%</w:t>
            </w: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MassMutual Asset Finance LLC</w:t>
            </w:r>
          </w:p>
        </w:tc>
        <w:tc>
          <w:tcPr>
            <w:tcW w:w="5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125,000,000.00</w:t>
            </w:r>
          </w:p>
        </w:tc>
        <w:tc>
          <w:tcPr>
            <w:tcW w:w="540" w:type="dxa"/>
            <w:vAlign w:val="bottom"/>
          </w:tcPr>
          <w:p>
            <w:pPr>
              <w:spacing w:after="0"/>
              <w:rPr>
                <w:sz w:val="24"/>
                <w:szCs w:val="24"/>
                <w:color w:val="auto"/>
              </w:rPr>
            </w:pPr>
          </w:p>
        </w:tc>
        <w:tc>
          <w:tcPr>
            <w:tcW w:w="24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3.521126761%</w:t>
            </w: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Santander Bank, N.A.</w:t>
            </w:r>
          </w:p>
        </w:tc>
        <w:tc>
          <w:tcPr>
            <w:tcW w:w="5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135,000,000.00</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3.802816901%</w:t>
            </w: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TD Bank, N.A.</w:t>
            </w:r>
          </w:p>
        </w:tc>
        <w:tc>
          <w:tcPr>
            <w:tcW w:w="5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100,000,000.00</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2.816901408%</w:t>
            </w: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BMW Financial Services NA, LLC</w:t>
            </w:r>
          </w:p>
        </w:tc>
        <w:tc>
          <w:tcPr>
            <w:tcW w:w="5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125,000,000.00</w:t>
            </w:r>
          </w:p>
        </w:tc>
        <w:tc>
          <w:tcPr>
            <w:tcW w:w="540" w:type="dxa"/>
            <w:vAlign w:val="bottom"/>
          </w:tcPr>
          <w:p>
            <w:pPr>
              <w:spacing w:after="0"/>
              <w:rPr>
                <w:sz w:val="24"/>
                <w:szCs w:val="24"/>
                <w:color w:val="auto"/>
              </w:rPr>
            </w:pPr>
          </w:p>
        </w:tc>
        <w:tc>
          <w:tcPr>
            <w:tcW w:w="24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3.521126761%</w:t>
            </w: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Zions Bancorporation, N.A.</w:t>
            </w:r>
          </w:p>
        </w:tc>
        <w:tc>
          <w:tcPr>
            <w:tcW w:w="5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100,000,000.00</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2.816901408%</w:t>
            </w: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VW Credit, Inc.</w:t>
            </w:r>
          </w:p>
        </w:tc>
        <w:tc>
          <w:tcPr>
            <w:tcW w:w="5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130,000,000.00</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3.661971831%</w:t>
            </w: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PNC Bank, National Association</w:t>
            </w:r>
          </w:p>
        </w:tc>
        <w:tc>
          <w:tcPr>
            <w:tcW w:w="5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150,000,000.00</w:t>
            </w:r>
          </w:p>
        </w:tc>
        <w:tc>
          <w:tcPr>
            <w:tcW w:w="540" w:type="dxa"/>
            <w:vAlign w:val="bottom"/>
          </w:tcPr>
          <w:p>
            <w:pPr>
              <w:spacing w:after="0"/>
              <w:rPr>
                <w:sz w:val="24"/>
                <w:szCs w:val="24"/>
                <w:color w:val="auto"/>
              </w:rPr>
            </w:pPr>
          </w:p>
        </w:tc>
        <w:tc>
          <w:tcPr>
            <w:tcW w:w="24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4.225352113%</w:t>
            </w: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Nissan Motor Acceptance Company LLC</w:t>
            </w:r>
          </w:p>
        </w:tc>
        <w:tc>
          <w:tcPr>
            <w:tcW w:w="5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5,000,000.00</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0.140845070%</w:t>
            </w:r>
          </w:p>
        </w:tc>
      </w:tr>
      <w:tr>
        <w:trPr>
          <w:trHeight w:val="513"/>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Comerica Bank</w:t>
            </w:r>
          </w:p>
        </w:tc>
        <w:tc>
          <w:tcPr>
            <w:tcW w:w="5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25,000,000.00</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0.704225352%</w:t>
            </w:r>
          </w:p>
        </w:tc>
      </w:tr>
      <w:tr>
        <w:trPr>
          <w:trHeight w:val="143"/>
        </w:trPr>
        <w:tc>
          <w:tcPr>
            <w:tcW w:w="49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r>
      <w:tr>
        <w:trPr>
          <w:trHeight w:val="378"/>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520" w:type="dxa"/>
            <w:vAlign w:val="bottom"/>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3,550,000,000.00</w:t>
            </w:r>
          </w:p>
        </w:tc>
        <w:tc>
          <w:tcPr>
            <w:tcW w:w="540" w:type="dxa"/>
            <w:vAlign w:val="bottom"/>
          </w:tcPr>
          <w:p>
            <w:pPr>
              <w:spacing w:after="0"/>
              <w:rPr>
                <w:sz w:val="24"/>
                <w:szCs w:val="24"/>
                <w:color w:val="auto"/>
              </w:rPr>
            </w:pP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100.000000000%</w:t>
            </w:r>
          </w:p>
        </w:tc>
      </w:tr>
      <w:tr>
        <w:trPr>
          <w:trHeight w:val="136"/>
        </w:trPr>
        <w:tc>
          <w:tcPr>
            <w:tcW w:w="49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r>
    </w:tbl>
    <w:p>
      <w:pPr>
        <w:spacing w:after="0" w:line="1" w:lineRule="exact"/>
        <w:rPr>
          <w:sz w:val="20"/>
          <w:szCs w:val="20"/>
          <w:color w:val="auto"/>
        </w:rPr>
      </w:pPr>
    </w:p>
    <w:sectPr>
      <w:pgSz w:w="11900" w:h="16838" w:orient="portrait"/>
      <w:cols w:equalWidth="0" w:num="1">
        <w:col w:w="10860"/>
      </w:cols>
      <w:pgMar w:left="56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4"/>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3"/>
    </w:lvl>
    <w:lvl w:ilvl="1">
      <w:lvlJc w:val="left"/>
      <w:lvlText w:val="(%2)"/>
      <w:numFmt w:val="lowerLetter"/>
      <w:start w:val="10"/>
    </w:lvl>
    <w:lvl w:ilvl="2">
      <w:lvlJc w:val="left"/>
      <w:lvlText w:val="(%3)"/>
      <w:numFmt w:val="lowerRoman"/>
      <w:start w:val="1"/>
    </w:lvl>
    <w:lvl w:ilvl="3">
      <w:lvlJc w:val="left"/>
      <w:lvlText w:val="(%4)"/>
      <w:numFmt w:val="upperLetter"/>
      <w:start w:val="1"/>
    </w:lvl>
  </w:abstractNum>
  <w:abstractNum w:abstractNumId="5">
    <w:nsid w:val="66EF438D"/>
    <w:multiLevelType w:val="hybridMultilevel"/>
    <w:lvl w:ilvl="0">
      <w:lvlJc w:val="left"/>
      <w:lvlText w:val="(%1)"/>
      <w:numFmt w:val="upperLetter"/>
      <w:start w:val="2"/>
    </w:lvl>
  </w:abstractNum>
  <w:abstractNum w:abstractNumId="6">
    <w:nsid w:val="140E0F7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7"/>
    </w:lvl>
  </w:abstractNum>
  <w:abstractNum w:abstractNumId="7">
    <w:nsid w:val="3352255A"/>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8">
    <w:nsid w:val="109CF92E"/>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lowerLetter"/>
      <w:start w:val="2"/>
    </w:lvl>
  </w:abstractNum>
  <w:abstractNum w:abstractNumId="11">
    <w:nsid w:val="1BEFD79F"/>
    <w:multiLevelType w:val="hybridMultilevel"/>
    <w:lvl w:ilvl="0">
      <w:lvlJc w:val="left"/>
      <w:lvlText w:val="(%1)"/>
      <w:numFmt w:val="lowerLetter"/>
      <w:start w:val="1"/>
    </w:lvl>
    <w:lvl w:ilvl="1">
      <w:lvlJc w:val="left"/>
      <w:lvlText w:val="(%2)"/>
      <w:numFmt w:val="lowerRoman"/>
      <w:start w:val="1"/>
    </w:lvl>
  </w:abstractNum>
  <w:abstractNum w:abstractNumId="12">
    <w:nsid w:val="41A7C4C9"/>
    <w:multiLevelType w:val="hybridMultilevel"/>
    <w:lvl w:ilvl="0">
      <w:lvlJc w:val="left"/>
      <w:lvlText w:val="(%1)"/>
      <w:numFmt w:val="lowerLetter"/>
      <w:start w:val="5"/>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3"/>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2025-04-09T15:52:31Z</dcterms:created>
  <dcterms:modified xsi:type="dcterms:W3CDTF">2025-04-09T15:52:31Z</dcterms:modified>
</cp:coreProperties>
</file>