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26"/>
        </w:rPr>
      </w:pPr>
      <w:r>
        <w:rPr>
          <w:rFonts w:ascii="Times New Roman;sans-serif" w:hAnsi="Times New Roman;sans-serif"/>
          <w:b/>
          <w:color w:val="000000"/>
          <w:sz w:val="26"/>
        </w:rPr>
        <w:t xml:space="preserve">CURRENT REPORT </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OF THE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SECURITIES EXCHANGE ACT OF 1934 </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May 13, 2025</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color w:val="000000"/>
          <w:sz w:val="48"/>
        </w:rPr>
      </w:pPr>
      <w:r>
        <w:rPr>
          <w:rFonts w:ascii="Times New Roman;sans-serif" w:hAnsi="Times New Roman;sans-serif"/>
          <w:b/>
          <w:color w:val="000000"/>
          <w:sz w:val="48"/>
        </w:rPr>
        <w:t xml:space="preserve">Asbury Automotive Group, Inc. </w:t>
      </w:r>
    </w:p>
    <w:p>
      <w:pPr>
        <w:pStyle w:val="TextBody"/>
        <w:bidi w:val="0"/>
        <w:spacing w:lineRule="auto" w:line="288" w:before="0" w:after="0"/>
        <w:jc w:val="center"/>
        <w:rPr/>
      </w:pPr>
      <w:r>
        <w:rPr>
          <w:rFonts w:ascii="Times New Roman;sans-serif" w:hAnsi="Times New Roman;sans-serif"/>
          <w:b/>
          <w:color w:val="000000"/>
          <w:sz w:val="20"/>
        </w:rPr>
        <w:t xml:space="preserve">(Exact name of registrant as specified in its charter) </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Delaware </w:t>
      </w:r>
    </w:p>
    <w:p>
      <w:pPr>
        <w:pStyle w:val="TextBody"/>
        <w:bidi w:val="0"/>
        <w:spacing w:lineRule="auto" w:line="288" w:before="0" w:after="0"/>
        <w:jc w:val="center"/>
        <w:rPr/>
      </w:pPr>
      <w:r>
        <w:rPr>
          <w:rFonts w:ascii="Times New Roman;sans-serif" w:hAnsi="Times New Roman;sans-serif"/>
          <w:b/>
          <w:color w:val="000000"/>
          <w:sz w:val="14"/>
        </w:rPr>
        <w:t xml:space="preserve">(State or other jurisdiction of incorporation) </w:t>
      </w:r>
      <w:r>
        <w:rPr>
          <w:color w:val="000000"/>
        </w:rPr>
        <w:t> </w:t>
      </w:r>
    </w:p>
    <w:tbl>
      <w:tblPr>
        <w:tblW w:w="6202" w:type="dxa"/>
        <w:jc w:val="center"/>
        <w:tblInd w:w="0" w:type="dxa"/>
        <w:tblLayout w:type="fixed"/>
        <w:tblCellMar>
          <w:top w:w="28" w:type="dxa"/>
          <w:left w:w="28" w:type="dxa"/>
          <w:bottom w:w="28" w:type="dxa"/>
          <w:right w:w="28" w:type="dxa"/>
        </w:tblCellMar>
      </w:tblPr>
      <w:tblGrid>
        <w:gridCol w:w="628"/>
        <w:gridCol w:w="552"/>
        <w:gridCol w:w="552"/>
        <w:gridCol w:w="552"/>
        <w:gridCol w:w="552"/>
        <w:gridCol w:w="552"/>
        <w:gridCol w:w="109"/>
        <w:gridCol w:w="109"/>
        <w:gridCol w:w="109"/>
        <w:gridCol w:w="704"/>
        <w:gridCol w:w="704"/>
        <w:gridCol w:w="707"/>
        <w:gridCol w:w="109"/>
        <w:gridCol w:w="109"/>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001-31262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01-0609375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2905 Premiere Parkway NW Suite 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Duluth,</w:t>
            </w:r>
          </w:p>
        </w:tc>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30097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(770) 418-8200 </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(Registrant's telephone number, including area code)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None </w:t>
      </w:r>
    </w:p>
    <w:p>
      <w:pPr>
        <w:pStyle w:val="TextBody"/>
        <w:bidi w:val="0"/>
        <w:spacing w:lineRule="auto" w:line="288" w:before="0" w:after="0"/>
        <w:jc w:val="center"/>
        <w:rPr/>
      </w:pPr>
      <w:r>
        <w:rPr>
          <w:rFonts w:ascii="Times New Roman;sans-serif" w:hAnsi="Times New Roman;sans-serif"/>
          <w:b/>
          <w:color w:val="000000"/>
          <w:sz w:val="14"/>
        </w:rPr>
        <w:t xml:space="preserve">(Former name or former address, if changed since last report) </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180" w:after="283"/>
        <w:ind w:left="0" w:right="0" w:hanging="900"/>
        <w:jc w:val="left"/>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180" w:after="283"/>
        <w:ind w:left="0" w:right="0" w:hanging="900"/>
        <w:jc w:val="left"/>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180" w:after="283"/>
        <w:ind w:left="0" w:right="0" w:hanging="900"/>
        <w:jc w:val="left"/>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180" w:after="283"/>
        <w:ind w:left="0" w:right="0" w:hanging="900"/>
        <w:jc w:val="left"/>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80" w:after="283"/>
        <w:ind w:left="0" w:right="0" w:firstLine="450"/>
        <w:jc w:val="left"/>
        <w:rPr/>
      </w:pPr>
      <w:r>
        <w:rPr/>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8888" w:type="dxa"/>
        <w:jc w:val="left"/>
        <w:tblInd w:w="0" w:type="dxa"/>
        <w:tblLayout w:type="fixed"/>
        <w:tblCellMar>
          <w:top w:w="28" w:type="dxa"/>
          <w:left w:w="28" w:type="dxa"/>
          <w:bottom w:w="28" w:type="dxa"/>
          <w:right w:w="28" w:type="dxa"/>
        </w:tblCellMar>
      </w:tblPr>
      <w:tblGrid>
        <w:gridCol w:w="1252"/>
        <w:gridCol w:w="1100"/>
        <w:gridCol w:w="1113"/>
        <w:gridCol w:w="109"/>
        <w:gridCol w:w="109"/>
        <w:gridCol w:w="109"/>
        <w:gridCol w:w="314"/>
        <w:gridCol w:w="314"/>
        <w:gridCol w:w="316"/>
        <w:gridCol w:w="109"/>
        <w:gridCol w:w="109"/>
        <w:gridCol w:w="109"/>
        <w:gridCol w:w="1118"/>
        <w:gridCol w:w="1118"/>
        <w:gridCol w:w="1589"/>
      </w:tblGrid>
      <w:tr>
        <w:trPr/>
        <w:tc>
          <w:tcPr>
            <w:tcW w:w="125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240" w:after="283"/>
        <w:jc w:val="left"/>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68" w:before="0" w:after="180"/>
        <w:jc w:val="left"/>
        <w:rPr>
          <w:rFonts w:ascii="Times New Roman;sans-serif" w:hAnsi="Times New Roman;sans-serif"/>
          <w:b/>
          <w:color w:val="000000"/>
          <w:sz w:val="20"/>
        </w:rPr>
      </w:pPr>
      <w:r>
        <w:rPr>
          <w:rFonts w:ascii="Times New Roman;sans-serif" w:hAnsi="Times New Roman;sans-serif"/>
          <w:b/>
          <w:color w:val="000000"/>
          <w:sz w:val="20"/>
        </w:rPr>
        <w:t>Item 5.07 Submission of Matters to a Vote of Security Holders.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13, 2025, Asbury Automotive Group, Inc. (the "Company") held its 2025 annual meeting of stockholders. The Company’s stockholders voted on the following four proposals as set forth below. </w:t>
      </w:r>
    </w:p>
    <w:p>
      <w:pPr>
        <w:pStyle w:val="TextBody"/>
        <w:bidi w:val="0"/>
        <w:spacing w:lineRule="auto" w:line="288" w:before="0" w:after="180"/>
        <w:jc w:val="left"/>
        <w:rPr>
          <w:rFonts w:ascii="Times New Roman;sans-serif" w:hAnsi="Times New Roman;sans-serif"/>
          <w:b/>
          <w:color w:val="000000"/>
          <w:sz w:val="20"/>
          <w:u w:val="single"/>
        </w:rPr>
      </w:pPr>
      <w:r>
        <w:rPr>
          <w:rFonts w:ascii="Times New Roman;sans-serif" w:hAnsi="Times New Roman;sans-serif"/>
          <w:b/>
          <w:color w:val="000000"/>
          <w:sz w:val="20"/>
          <w:u w:val="single"/>
        </w:rPr>
        <w:t>Proposal 1</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ten director nominees named in the Company's proxy statement were elected, each to hold office until the 2026 annual meeting of stockholders and until their successors are duly elected and qualified, based upon the following votes:</w:t>
      </w:r>
    </w:p>
    <w:tbl>
      <w:tblPr>
        <w:tblW w:w="6985" w:type="dxa"/>
        <w:jc w:val="left"/>
        <w:tblInd w:w="0" w:type="dxa"/>
        <w:tblLayout w:type="fixed"/>
        <w:tblCellMar>
          <w:top w:w="28" w:type="dxa"/>
          <w:left w:w="28" w:type="dxa"/>
          <w:bottom w:w="28" w:type="dxa"/>
          <w:right w:w="28" w:type="dxa"/>
        </w:tblCellMar>
      </w:tblPr>
      <w:tblGrid>
        <w:gridCol w:w="689"/>
        <w:gridCol w:w="606"/>
        <w:gridCol w:w="609"/>
        <w:gridCol w:w="344"/>
        <w:gridCol w:w="344"/>
        <w:gridCol w:w="348"/>
        <w:gridCol w:w="109"/>
        <w:gridCol w:w="109"/>
        <w:gridCol w:w="109"/>
        <w:gridCol w:w="405"/>
        <w:gridCol w:w="405"/>
        <w:gridCol w:w="406"/>
        <w:gridCol w:w="109"/>
        <w:gridCol w:w="109"/>
        <w:gridCol w:w="109"/>
        <w:gridCol w:w="637"/>
        <w:gridCol w:w="637"/>
        <w:gridCol w:w="901"/>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NOMINEE</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BROKER NON-VOTES</w:t>
            </w:r>
          </w:p>
        </w:tc>
      </w:tr>
      <w:tr>
        <w:trPr/>
        <w:tc>
          <w:tcPr>
            <w:tcW w:w="19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J. Reddin</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18,318,341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245,921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604,436</w:t>
            </w:r>
          </w:p>
        </w:tc>
      </w:tr>
      <w:tr>
        <w:trPr/>
        <w:tc>
          <w:tcPr>
            <w:tcW w:w="19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Joel Alsfine</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18,502,234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604,436</w:t>
            </w:r>
          </w:p>
        </w:tc>
      </w:tr>
      <w:tr>
        <w:trPr/>
        <w:tc>
          <w:tcPr>
            <w:tcW w:w="19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D. Fay</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18,502,726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604,436</w:t>
            </w:r>
          </w:p>
        </w:tc>
      </w:tr>
      <w:tr>
        <w:trPr/>
        <w:tc>
          <w:tcPr>
            <w:tcW w:w="19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W. Hult</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18,527,379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36,883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604,436</w:t>
            </w:r>
          </w:p>
        </w:tc>
      </w:tr>
      <w:tr>
        <w:trPr/>
        <w:tc>
          <w:tcPr>
            <w:tcW w:w="19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Juanita T. James</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18,292,704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271,558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604,436</w:t>
            </w:r>
          </w:p>
        </w:tc>
      </w:tr>
      <w:tr>
        <w:trPr/>
        <w:tc>
          <w:tcPr>
            <w:tcW w:w="19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 F. Maritz</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18,352,721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211,541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604,436</w:t>
            </w:r>
          </w:p>
        </w:tc>
      </w:tr>
      <w:tr>
        <w:trPr/>
        <w:tc>
          <w:tcPr>
            <w:tcW w:w="19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Maureen F. Morrison</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18,531,965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604,436</w:t>
            </w:r>
          </w:p>
        </w:tc>
      </w:tr>
      <w:tr>
        <w:trPr/>
        <w:tc>
          <w:tcPr>
            <w:tcW w:w="19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Shamla Naidoo</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18,553,972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604,436</w:t>
            </w:r>
          </w:p>
        </w:tc>
      </w:tr>
      <w:tr>
        <w:trPr/>
        <w:tc>
          <w:tcPr>
            <w:tcW w:w="19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Bridget Ryan-Berman</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18,503,821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60,441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604,436</w:t>
            </w:r>
          </w:p>
        </w:tc>
      </w:tr>
      <w:tr>
        <w:trPr/>
        <w:tc>
          <w:tcPr>
            <w:tcW w:w="19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Hilliard C. Terry, III</w:t>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18,560,658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604,436</w:t>
            </w:r>
          </w:p>
        </w:tc>
      </w:tr>
    </w:tbl>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u w:val="single"/>
        </w:rPr>
      </w:pPr>
      <w:r>
        <w:rPr>
          <w:rFonts w:ascii="Times New Roman;sans-serif" w:hAnsi="Times New Roman;sans-serif"/>
          <w:b/>
          <w:color w:val="000000"/>
          <w:sz w:val="20"/>
          <w:u w:val="single"/>
        </w:rPr>
        <w:t>Proposal 2</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proposal to approve an advisory resolution on the compensation of the Company’s named executive officers was approved based on the following votes:</w:t>
      </w:r>
    </w:p>
    <w:tbl>
      <w:tblPr>
        <w:tblW w:w="6144" w:type="dxa"/>
        <w:jc w:val="left"/>
        <w:tblInd w:w="0" w:type="dxa"/>
        <w:tblLayout w:type="fixed"/>
        <w:tblCellMar>
          <w:top w:w="28" w:type="dxa"/>
          <w:left w:w="28" w:type="dxa"/>
          <w:bottom w:w="28" w:type="dxa"/>
          <w:right w:w="28" w:type="dxa"/>
        </w:tblCellMar>
      </w:tblPr>
      <w:tblGrid>
        <w:gridCol w:w="379"/>
        <w:gridCol w:w="333"/>
        <w:gridCol w:w="339"/>
        <w:gridCol w:w="109"/>
        <w:gridCol w:w="109"/>
        <w:gridCol w:w="109"/>
        <w:gridCol w:w="325"/>
        <w:gridCol w:w="325"/>
        <w:gridCol w:w="326"/>
        <w:gridCol w:w="109"/>
        <w:gridCol w:w="109"/>
        <w:gridCol w:w="109"/>
        <w:gridCol w:w="320"/>
        <w:gridCol w:w="320"/>
        <w:gridCol w:w="321"/>
        <w:gridCol w:w="109"/>
        <w:gridCol w:w="109"/>
        <w:gridCol w:w="109"/>
        <w:gridCol w:w="637"/>
        <w:gridCol w:w="637"/>
        <w:gridCol w:w="901"/>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BROKER NON-VOTES</w:t>
            </w:r>
          </w:p>
        </w:tc>
      </w:tr>
      <w:tr>
        <w:trPr/>
        <w:tc>
          <w:tcPr>
            <w:tcW w:w="10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18,119,983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440,255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604,436</w:t>
            </w:r>
          </w:p>
        </w:tc>
      </w:tr>
    </w:tbl>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u w:val="single"/>
        </w:rPr>
      </w:pPr>
      <w:r>
        <w:rPr>
          <w:rFonts w:ascii="Times New Roman;sans-serif" w:hAnsi="Times New Roman;sans-serif"/>
          <w:b/>
          <w:color w:val="000000"/>
          <w:sz w:val="20"/>
          <w:u w:val="single"/>
        </w:rPr>
        <w:t>Proposal 3</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proposal to ratify the appointment of Ernst &amp; Young LLP as the Company’s independent registered public accounting firm for the year ending December 31, 2025 was approved based on the following votes:</w:t>
      </w:r>
    </w:p>
    <w:tbl>
      <w:tblPr>
        <w:tblW w:w="3687" w:type="dxa"/>
        <w:jc w:val="left"/>
        <w:tblInd w:w="0" w:type="dxa"/>
        <w:tblLayout w:type="fixed"/>
        <w:tblCellMar>
          <w:top w:w="28" w:type="dxa"/>
          <w:left w:w="28" w:type="dxa"/>
          <w:bottom w:w="28" w:type="dxa"/>
          <w:right w:w="28" w:type="dxa"/>
        </w:tblCellMar>
      </w:tblPr>
      <w:tblGrid>
        <w:gridCol w:w="379"/>
        <w:gridCol w:w="333"/>
        <w:gridCol w:w="339"/>
        <w:gridCol w:w="109"/>
        <w:gridCol w:w="109"/>
        <w:gridCol w:w="109"/>
        <w:gridCol w:w="325"/>
        <w:gridCol w:w="325"/>
        <w:gridCol w:w="326"/>
        <w:gridCol w:w="109"/>
        <w:gridCol w:w="109"/>
        <w:gridCol w:w="109"/>
        <w:gridCol w:w="294"/>
        <w:gridCol w:w="294"/>
        <w:gridCol w:w="418"/>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ABSTAIN</w:t>
            </w:r>
          </w:p>
        </w:tc>
      </w:tr>
      <w:tr>
        <w:trPr/>
        <w:tc>
          <w:tcPr>
            <w:tcW w:w="10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19,103,572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r>
    </w:tbl>
    <w:p>
      <w:pPr>
        <w:pStyle w:val="TextBody"/>
        <w:bidi w:val="0"/>
        <w:spacing w:before="0" w:after="0"/>
        <w:jc w:val="left"/>
        <w:rPr/>
      </w:pPr>
      <w:r>
        <w:rPr/>
      </w:r>
    </w:p>
    <w:p>
      <w:pPr>
        <w:pStyle w:val="TextBody"/>
        <w:bidi w:val="0"/>
        <w:spacing w:lineRule="auto" w:line="276" w:before="0" w:after="180"/>
        <w:jc w:val="left"/>
        <w:rPr>
          <w:rFonts w:ascii="Times New Roman;sans-serif" w:hAnsi="Times New Roman;sans-serif"/>
          <w:b/>
          <w:color w:val="000000"/>
          <w:sz w:val="20"/>
          <w:u w:val="single"/>
        </w:rPr>
      </w:pPr>
      <w:r>
        <w:rPr>
          <w:rFonts w:ascii="Times New Roman;sans-serif" w:hAnsi="Times New Roman;sans-serif"/>
          <w:b/>
          <w:color w:val="000000"/>
          <w:sz w:val="20"/>
          <w:u w:val="single"/>
        </w:rPr>
        <w:t>Proposal 4</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stockholder proposal regarding simple majority vote was approved based on the following votes:</w:t>
      </w:r>
    </w:p>
    <w:p>
      <w:pPr>
        <w:pStyle w:val="TextBody"/>
        <w:bidi w:val="0"/>
        <w:spacing w:before="0" w:after="0"/>
        <w:ind w:left="0" w:right="0" w:firstLine="360"/>
        <w:jc w:val="left"/>
        <w:rPr/>
      </w:pPr>
      <w:r>
        <w:rPr/>
      </w:r>
    </w:p>
    <w:tbl>
      <w:tblPr>
        <w:tblW w:w="6144" w:type="dxa"/>
        <w:jc w:val="left"/>
        <w:tblInd w:w="0" w:type="dxa"/>
        <w:tblLayout w:type="fixed"/>
        <w:tblCellMar>
          <w:top w:w="28" w:type="dxa"/>
          <w:left w:w="28" w:type="dxa"/>
          <w:bottom w:w="28" w:type="dxa"/>
          <w:right w:w="28" w:type="dxa"/>
        </w:tblCellMar>
      </w:tblPr>
      <w:tblGrid>
        <w:gridCol w:w="379"/>
        <w:gridCol w:w="333"/>
        <w:gridCol w:w="339"/>
        <w:gridCol w:w="109"/>
        <w:gridCol w:w="109"/>
        <w:gridCol w:w="109"/>
        <w:gridCol w:w="325"/>
        <w:gridCol w:w="325"/>
        <w:gridCol w:w="326"/>
        <w:gridCol w:w="109"/>
        <w:gridCol w:w="109"/>
        <w:gridCol w:w="109"/>
        <w:gridCol w:w="320"/>
        <w:gridCol w:w="320"/>
        <w:gridCol w:w="321"/>
        <w:gridCol w:w="109"/>
        <w:gridCol w:w="109"/>
        <w:gridCol w:w="109"/>
        <w:gridCol w:w="637"/>
        <w:gridCol w:w="637"/>
        <w:gridCol w:w="901"/>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BROKER NON-VOTES</w:t>
            </w:r>
          </w:p>
        </w:tc>
      </w:tr>
      <w:tr>
        <w:trPr/>
        <w:tc>
          <w:tcPr>
            <w:tcW w:w="10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11,034,121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7,512,137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18,004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604,436</w:t>
            </w:r>
          </w:p>
        </w:tc>
      </w:tr>
    </w:tbl>
    <w:p>
      <w:pPr>
        <w:pStyle w:val="TextBody"/>
        <w:bidi w:val="0"/>
        <w:spacing w:lineRule="auto" w:line="276" w:before="260" w:after="240"/>
        <w:jc w:val="left"/>
        <w:rPr>
          <w:rFonts w:ascii="Times New Roman;sans-serif" w:hAnsi="Times New Roman;sans-serif"/>
          <w:b/>
          <w:color w:val="000000"/>
          <w:sz w:val="20"/>
        </w:rPr>
      </w:pPr>
      <w:r>
        <w:rPr>
          <w:rFonts w:ascii="Times New Roman;sans-serif" w:hAnsi="Times New Roman;sans-serif"/>
          <w:b/>
          <w:color w:val="000000"/>
          <w:sz w:val="20"/>
        </w:rPr>
        <w:t xml:space="preserve">Item 9.01 Financial Statements and Exhibits. </w:t>
      </w:r>
    </w:p>
    <w:p>
      <w:pPr>
        <w:pStyle w:val="TextBody"/>
        <w:bidi w:val="0"/>
        <w:spacing w:lineRule="auto" w:line="288" w:before="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p>
      <w:pPr>
        <w:pStyle w:val="TextBody"/>
        <w:bidi w:val="0"/>
        <w:spacing w:before="80" w:after="283"/>
        <w:ind w:left="0" w:right="0" w:firstLine="54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furnished as part of this report.</w:t>
      </w:r>
    </w:p>
    <w:tbl>
      <w:tblPr>
        <w:tblW w:w="8334" w:type="dxa"/>
        <w:jc w:val="center"/>
        <w:tblInd w:w="0" w:type="dxa"/>
        <w:tblLayout w:type="fixed"/>
        <w:tblCellMar>
          <w:top w:w="28" w:type="dxa"/>
          <w:left w:w="28" w:type="dxa"/>
          <w:bottom w:w="28" w:type="dxa"/>
          <w:right w:w="28" w:type="dxa"/>
        </w:tblCellMar>
      </w:tblPr>
      <w:tblGrid>
        <w:gridCol w:w="124"/>
        <w:gridCol w:w="109"/>
        <w:gridCol w:w="109"/>
        <w:gridCol w:w="355"/>
        <w:gridCol w:w="355"/>
        <w:gridCol w:w="356"/>
        <w:gridCol w:w="109"/>
        <w:gridCol w:w="109"/>
        <w:gridCol w:w="109"/>
        <w:gridCol w:w="1928"/>
        <w:gridCol w:w="1928"/>
        <w:gridCol w:w="27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lineRule="auto" w:line="288" w:before="0" w:after="0"/>
        <w:ind w:left="0" w:right="0" w:firstLine="45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68" w:before="260" w:after="240"/>
        <w:ind w:left="0" w:right="0" w:firstLine="45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180" w:after="18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100" w:after="283"/>
        <w:jc w:val="center"/>
        <w:rPr/>
      </w:pPr>
      <w:r>
        <w:rPr/>
      </w:r>
    </w:p>
    <w:tbl>
      <w:tblPr>
        <w:tblW w:w="8009" w:type="dxa"/>
        <w:jc w:val="left"/>
        <w:tblInd w:w="0" w:type="dxa"/>
        <w:tblLayout w:type="fixed"/>
        <w:tblCellMar>
          <w:top w:w="28" w:type="dxa"/>
          <w:left w:w="28" w:type="dxa"/>
          <w:bottom w:w="28" w:type="dxa"/>
          <w:right w:w="28" w:type="dxa"/>
        </w:tblCellMar>
      </w:tblPr>
      <w:tblGrid>
        <w:gridCol w:w="629"/>
        <w:gridCol w:w="554"/>
        <w:gridCol w:w="557"/>
        <w:gridCol w:w="360"/>
        <w:gridCol w:w="360"/>
        <w:gridCol w:w="360"/>
        <w:gridCol w:w="360"/>
        <w:gridCol w:w="360"/>
        <w:gridCol w:w="360"/>
        <w:gridCol w:w="1193"/>
        <w:gridCol w:w="1193"/>
        <w:gridCol w:w="1723"/>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2025</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Dean A. Calloway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Dean A. Calloway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Senior Vice President, General Counsel &amp;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636</Words>
  <Characters>3561</Characters>
  <CharactersWithSpaces>4116</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