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65" w:lineRule="auto"/>
        <w:rPr>
          <w:sz w:val="20"/>
          <w:szCs w:val="20"/>
          <w:color w:val="auto"/>
        </w:rPr>
      </w:pPr>
      <w:r>
        <w:rPr>
          <w:rFonts w:ascii="Times New Roman" w:cs="Times New Roman" w:eastAsia="Times New Roman" w:hAnsi="Times New Roman"/>
          <w:sz w:val="17"/>
          <w:szCs w:val="17"/>
          <w:color w:val="0000FF"/>
        </w:rPr>
        <w:t>C/O ASBURY AUTOMOTIVE GROUP, INC. 2905 PREMIERE PARKWAY NW,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13,278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77,518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1,976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260.55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75,542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6, 2025. One-third of the performance share units granted on February 20, 2024 vested upon certification of the objectives having been met, which occurred on March 6, 2025, an additional one-third vests on February 20, 2026 and the remaining one-third vests on February 20, 2027.</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4707"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2025-03-10T15:11:26Z</dcterms:created>
  <dcterms:modified xsi:type="dcterms:W3CDTF">2025-03-10T15:11:26Z</dcterms:modified>
</cp:coreProperties>
</file>