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366395</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391160</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19685</wp:posOffset>
            </wp:positionV>
            <wp:extent cx="2840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80010</wp:posOffset>
            </wp:positionV>
            <wp:extent cx="2840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32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w:t>
      </w:r>
    </w:p>
    <w:p>
      <w:pPr>
        <w:ind w:left="1520" w:hanging="372"/>
        <w:spacing w:after="0"/>
        <w:tabs>
          <w:tab w:leader="none" w:pos="15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EXCHANGE ACT 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w:t>
      </w:r>
    </w:p>
    <w:p>
      <w:pPr>
        <w:ind w:left="1520" w:hanging="372"/>
        <w:spacing w:after="0"/>
        <w:tabs>
          <w:tab w:leader="none" w:pos="15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EXCHANGE ACT OF 1934</w:t>
      </w:r>
    </w:p>
    <w:p>
      <w:pPr>
        <w:spacing w:after="0" w:line="302" w:lineRule="exact"/>
        <w:rPr>
          <w:sz w:val="24"/>
          <w:szCs w:val="24"/>
          <w:color w:val="auto"/>
        </w:rPr>
      </w:pPr>
    </w:p>
    <w:p>
      <w:pPr>
        <w:ind w:left="412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Commission file number: 001-31262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90170</wp:posOffset>
            </wp:positionV>
            <wp:extent cx="2840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ASBURY AUTOMOTIVE GROUP,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109855</wp:posOffset>
            </wp:positionV>
            <wp:extent cx="2840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77" w:lineRule="exact"/>
        <w:rPr>
          <w:sz w:val="24"/>
          <w:szCs w:val="24"/>
          <w:color w:val="auto"/>
        </w:rPr>
      </w:pPr>
    </w:p>
    <w:tbl>
      <w:tblPr>
        <w:tblLayout w:type="fixed"/>
        <w:tblInd w:w="40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3800" w:type="dxa"/>
            <w:vAlign w:val="bottom"/>
            <w:gridSpan w:val="2"/>
          </w:tcPr>
          <w:p>
            <w:pPr>
              <w:jc w:val="center"/>
              <w:ind w:left="16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20" w:type="dxa"/>
            <w:vAlign w:val="bottom"/>
            <w:gridSpan w:val="2"/>
          </w:tcPr>
          <w:p>
            <w:pPr>
              <w:jc w:val="right"/>
              <w:ind w:right="1152"/>
              <w:spacing w:after="0"/>
              <w:rPr>
                <w:sz w:val="20"/>
                <w:szCs w:val="20"/>
                <w:color w:val="auto"/>
              </w:rPr>
            </w:pPr>
            <w:r>
              <w:rPr>
                <w:rFonts w:ascii="Times New Roman" w:cs="Times New Roman" w:eastAsia="Times New Roman" w:hAnsi="Times New Roman"/>
                <w:sz w:val="18"/>
                <w:szCs w:val="18"/>
                <w:b w:val="1"/>
                <w:bCs w:val="1"/>
                <w:color w:val="auto"/>
              </w:rPr>
              <w:t>01-0609375</w:t>
            </w:r>
          </w:p>
        </w:tc>
      </w:tr>
      <w:tr>
        <w:trPr>
          <w:trHeight w:val="125"/>
        </w:trPr>
        <w:tc>
          <w:tcPr>
            <w:tcW w:w="20" w:type="dxa"/>
            <w:vAlign w:val="bottom"/>
          </w:tcPr>
          <w:p>
            <w:pPr>
              <w:spacing w:after="0"/>
              <w:rPr>
                <w:sz w:val="10"/>
                <w:szCs w:val="10"/>
                <w:color w:val="auto"/>
              </w:rPr>
            </w:pPr>
          </w:p>
        </w:tc>
        <w:tc>
          <w:tcPr>
            <w:tcW w:w="3800" w:type="dxa"/>
            <w:vAlign w:val="bottom"/>
            <w:gridSpan w:val="2"/>
          </w:tcPr>
          <w:p>
            <w:pPr>
              <w:jc w:val="center"/>
              <w:ind w:left="1682"/>
              <w:spacing w:after="0" w:line="126"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34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1"/>
        </w:trPr>
        <w:tc>
          <w:tcPr>
            <w:tcW w:w="20" w:type="dxa"/>
            <w:vAlign w:val="bottom"/>
          </w:tcPr>
          <w:p>
            <w:pPr>
              <w:spacing w:after="0"/>
              <w:rPr>
                <w:sz w:val="14"/>
                <w:szCs w:val="14"/>
                <w:color w:val="auto"/>
              </w:rPr>
            </w:pPr>
          </w:p>
        </w:tc>
        <w:tc>
          <w:tcPr>
            <w:tcW w:w="3800" w:type="dxa"/>
            <w:vAlign w:val="bottom"/>
            <w:gridSpan w:val="2"/>
          </w:tcPr>
          <w:p>
            <w:pPr>
              <w:jc w:val="center"/>
              <w:ind w:left="1682"/>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92"/>
        </w:trPr>
        <w:tc>
          <w:tcPr>
            <w:tcW w:w="20" w:type="dxa"/>
            <w:vAlign w:val="bottom"/>
          </w:tcPr>
          <w:p>
            <w:pPr>
              <w:spacing w:after="0"/>
              <w:rPr>
                <w:sz w:val="24"/>
                <w:szCs w:val="24"/>
                <w:color w:val="auto"/>
              </w:rPr>
            </w:pPr>
          </w:p>
        </w:tc>
        <w:tc>
          <w:tcPr>
            <w:tcW w:w="38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w w:val="96"/>
              </w:rPr>
              <w:t>2905 Premiere Parkway NW, Suite 300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80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Duluth, Georgia</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20" w:type="dxa"/>
            <w:vAlign w:val="bottom"/>
            <w:gridSpan w:val="2"/>
          </w:tcPr>
          <w:p>
            <w:pPr>
              <w:jc w:val="right"/>
              <w:ind w:right="1352"/>
              <w:spacing w:after="0"/>
              <w:rPr>
                <w:sz w:val="20"/>
                <w:szCs w:val="20"/>
                <w:color w:val="auto"/>
              </w:rPr>
            </w:pPr>
            <w:r>
              <w:rPr>
                <w:rFonts w:ascii="Times New Roman" w:cs="Times New Roman" w:eastAsia="Times New Roman" w:hAnsi="Times New Roman"/>
                <w:sz w:val="18"/>
                <w:szCs w:val="18"/>
                <w:b w:val="1"/>
                <w:bCs w:val="1"/>
                <w:color w:val="auto"/>
              </w:rPr>
              <w:t>30097</w:t>
            </w:r>
          </w:p>
        </w:tc>
      </w:tr>
      <w:tr>
        <w:trPr>
          <w:trHeight w:val="161"/>
        </w:trPr>
        <w:tc>
          <w:tcPr>
            <w:tcW w:w="20" w:type="dxa"/>
            <w:vAlign w:val="bottom"/>
          </w:tcPr>
          <w:p>
            <w:pPr>
              <w:spacing w:after="0"/>
              <w:rPr>
                <w:sz w:val="14"/>
                <w:szCs w:val="14"/>
                <w:color w:val="auto"/>
              </w:rPr>
            </w:pPr>
          </w:p>
        </w:tc>
        <w:tc>
          <w:tcPr>
            <w:tcW w:w="3800" w:type="dxa"/>
            <w:vAlign w:val="bottom"/>
            <w:gridSpan w:val="2"/>
          </w:tcPr>
          <w:p>
            <w:pPr>
              <w:jc w:val="center"/>
              <w:ind w:left="1682"/>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28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gridSpan w:val="3"/>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(770) 418-8200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6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68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340" w:type="dxa"/>
            <w:vAlign w:val="bottom"/>
          </w:tcPr>
          <w:p>
            <w:pPr>
              <w:spacing w:after="0"/>
              <w:rPr>
                <w:sz w:val="2"/>
                <w:szCs w:val="2"/>
                <w:color w:val="auto"/>
              </w:rPr>
            </w:pPr>
          </w:p>
        </w:tc>
      </w:tr>
      <w:tr>
        <w:trPr>
          <w:trHeight w:val="335"/>
        </w:trPr>
        <w:tc>
          <w:tcPr>
            <w:tcW w:w="6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4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3800" w:type="dxa"/>
            <w:vAlign w:val="bottom"/>
            <w:gridSpan w:val="2"/>
          </w:tcPr>
          <w:p>
            <w:pPr>
              <w:jc w:val="center"/>
              <w:ind w:left="442"/>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Symbol(s)</w:t>
            </w:r>
          </w:p>
        </w:tc>
        <w:tc>
          <w:tcPr>
            <w:tcW w:w="4020" w:type="dxa"/>
            <w:vAlign w:val="bottom"/>
            <w:gridSpan w:val="2"/>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6"/>
              </w:rPr>
              <w:t>Name of each exchange on which registered</w:t>
            </w:r>
          </w:p>
        </w:tc>
      </w:tr>
      <w:tr>
        <w:trPr>
          <w:trHeight w:val="222"/>
        </w:trPr>
        <w:tc>
          <w:tcPr>
            <w:tcW w:w="20" w:type="dxa"/>
            <w:vAlign w:val="bottom"/>
          </w:tcPr>
          <w:p>
            <w:pPr>
              <w:spacing w:after="0"/>
              <w:rPr>
                <w:sz w:val="19"/>
                <w:szCs w:val="19"/>
                <w:color w:val="auto"/>
              </w:rPr>
            </w:pPr>
          </w:p>
        </w:tc>
        <w:tc>
          <w:tcPr>
            <w:tcW w:w="3800" w:type="dxa"/>
            <w:vAlign w:val="bottom"/>
            <w:tcBorders>
              <w:top w:val="single" w:sz="8" w:color="auto"/>
            </w:tcBorders>
            <w:gridSpan w:val="2"/>
          </w:tcPr>
          <w:p>
            <w:pPr>
              <w:jc w:val="center"/>
              <w:ind w:left="442"/>
              <w:spacing w:after="0"/>
              <w:rPr>
                <w:sz w:val="20"/>
                <w:szCs w:val="20"/>
                <w:color w:val="auto"/>
              </w:rPr>
            </w:pPr>
            <w:r>
              <w:rPr>
                <w:rFonts w:ascii="Times New Roman" w:cs="Times New Roman" w:eastAsia="Times New Roman" w:hAnsi="Times New Roman"/>
                <w:sz w:val="18"/>
                <w:szCs w:val="18"/>
                <w:color w:val="auto"/>
                <w:w w:val="97"/>
              </w:rPr>
              <w:t>Common stock, $0.01 par value per share</w:t>
            </w: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ABG</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jc w:val="center"/>
              <w:ind w:right="992"/>
              <w:spacing w:after="0"/>
              <w:rPr>
                <w:sz w:val="20"/>
                <w:szCs w:val="20"/>
                <w:color w:val="auto"/>
              </w:rPr>
            </w:pPr>
            <w:r>
              <w:rPr>
                <w:rFonts w:ascii="Times New Roman" w:cs="Times New Roman" w:eastAsia="Times New Roman" w:hAnsi="Times New Roman"/>
                <w:sz w:val="18"/>
                <w:szCs w:val="18"/>
                <w:color w:val="auto"/>
                <w:w w:val="95"/>
              </w:rPr>
              <w:t>New York Stock Exchange</w:t>
            </w:r>
          </w:p>
        </w:tc>
      </w:tr>
    </w:tbl>
    <w:p>
      <w:pPr>
        <w:spacing w:after="0" w:line="69" w:lineRule="exact"/>
        <w:rPr>
          <w:sz w:val="24"/>
          <w:szCs w:val="24"/>
          <w:color w:val="auto"/>
        </w:rPr>
      </w:pPr>
    </w:p>
    <w:p>
      <w:pPr>
        <w:ind w:right="100" w:firstLine="434"/>
        <w:spacing w:after="0" w:line="25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48" w:lineRule="exact"/>
        <w:rPr>
          <w:sz w:val="24"/>
          <w:szCs w:val="24"/>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1" w:lineRule="exact"/>
        <w:rPr>
          <w:sz w:val="24"/>
          <w:szCs w:val="24"/>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55"/>
        </w:trPr>
        <w:tc>
          <w:tcPr>
            <w:tcW w:w="2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480"/>
              <w:spacing w:after="0" w:line="211" w:lineRule="exact"/>
              <w:rPr>
                <w:sz w:val="20"/>
                <w:szCs w:val="20"/>
                <w:color w:val="auto"/>
              </w:rPr>
            </w:pPr>
            <w:r>
              <w:rPr>
                <w:rFonts w:ascii="MS PGothic" w:cs="MS PGothic" w:eastAsia="MS PGothic" w:hAnsi="MS PGothic"/>
                <w:sz w:val="21"/>
                <w:szCs w:val="21"/>
                <w:color w:val="auto"/>
              </w:rPr>
              <w:t>☒</w:t>
            </w:r>
          </w:p>
        </w:tc>
        <w:tc>
          <w:tcPr>
            <w:tcW w:w="5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368"/>
        </w:trPr>
        <w:tc>
          <w:tcPr>
            <w:tcW w:w="2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480"/>
              <w:spacing w:after="0" w:line="211" w:lineRule="exact"/>
              <w:rPr>
                <w:sz w:val="20"/>
                <w:szCs w:val="20"/>
                <w:color w:val="auto"/>
              </w:rPr>
            </w:pPr>
            <w:r>
              <w:rPr>
                <w:rFonts w:ascii="MS PGothic" w:cs="MS PGothic" w:eastAsia="MS PGothic" w:hAnsi="MS PGothic"/>
                <w:sz w:val="21"/>
                <w:szCs w:val="21"/>
                <w:color w:val="auto"/>
              </w:rPr>
              <w:t>☐</w:t>
            </w:r>
          </w:p>
        </w:tc>
        <w:tc>
          <w:tcPr>
            <w:tcW w:w="5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r>
      <w:tr>
        <w:trPr>
          <w:trHeight w:val="338"/>
        </w:trPr>
        <w:tc>
          <w:tcPr>
            <w:tcW w:w="26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Emerging Growth Company</w:t>
            </w:r>
          </w:p>
        </w:tc>
      </w:tr>
      <w:tr>
        <w:trPr>
          <w:trHeight w:val="902"/>
        </w:trPr>
        <w:tc>
          <w:tcPr>
            <w:tcW w:w="26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 w:lineRule="exact"/>
        <w:rPr>
          <w:sz w:val="20"/>
          <w:szCs w:val="20"/>
          <w:color w:val="auto"/>
        </w:rPr>
      </w:pPr>
    </w:p>
    <w:p>
      <w:pPr>
        <w:ind w:left="440"/>
        <w:spacing w:after="0" w:line="207" w:lineRule="exact"/>
        <w:tabs>
          <w:tab w:leader="none" w:pos="8560" w:val="left"/>
          <w:tab w:leader="none" w:pos="92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21" w:lineRule="exact"/>
        <w:rPr>
          <w:sz w:val="20"/>
          <w:szCs w:val="20"/>
          <w:color w:val="auto"/>
        </w:rPr>
      </w:pPr>
    </w:p>
    <w:p>
      <w:pPr>
        <w:ind w:right="440" w:firstLine="434"/>
        <w:spacing w:after="0" w:line="268"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The number of shares of common stock outstanding as of July 28, 2025 was 19,660,638.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724535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119380</wp:posOffset>
            </wp:positionV>
            <wp:extent cx="7118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wp:posOffset>
            </wp:positionV>
            <wp:extent cx="711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20" w:type="dxa"/>
            <w:vAlign w:val="bottom"/>
            <w:gridSpan w:val="11"/>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06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20" w:type="dxa"/>
            <w:vAlign w:val="bottom"/>
            <w:gridSpan w:val="11"/>
            <w:vMerge w:val="continue"/>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Borders>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4"/>
              </w:rPr>
              <w:t>Item 1.</w:t>
            </w:r>
          </w:p>
        </w:tc>
        <w:tc>
          <w:tcPr>
            <w:tcW w:w="500" w:type="dxa"/>
            <w:vAlign w:val="bottom"/>
            <w:gridSpan w:val="2"/>
          </w:tcPr>
          <w:p>
            <w:pPr>
              <w:spacing w:after="0"/>
              <w:rPr>
                <w:sz w:val="16"/>
                <w:szCs w:val="16"/>
                <w:color w:val="auto"/>
              </w:rPr>
            </w:pPr>
          </w:p>
        </w:tc>
        <w:tc>
          <w:tcPr>
            <w:tcW w:w="4120" w:type="dxa"/>
            <w:vAlign w:val="bottom"/>
            <w:tcBorders>
              <w:bottom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w w:val="97"/>
              </w:rPr>
              <w:t>Condensed Consolidated Financial Statements (unaudited)</w:t>
            </w:r>
          </w:p>
        </w:tc>
        <w:tc>
          <w:tcPr>
            <w:tcW w:w="5020" w:type="dxa"/>
            <w:vAlign w:val="bottom"/>
            <w:gridSpan w:val="9"/>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80" w:type="dxa"/>
            <w:vAlign w:val="bottom"/>
            <w:gridSpan w:val="10"/>
          </w:tcPr>
          <w:p>
            <w:pPr>
              <w:spacing w:after="0" w:line="204" w:lineRule="exact"/>
              <w:rPr>
                <w:sz w:val="20"/>
                <w:szCs w:val="20"/>
                <w:color w:val="auto"/>
              </w:rPr>
            </w:pPr>
            <w:r>
              <w:rPr>
                <w:rFonts w:ascii="Times New Roman" w:cs="Times New Roman" w:eastAsia="Times New Roman" w:hAnsi="Times New Roman"/>
                <w:sz w:val="18"/>
                <w:szCs w:val="18"/>
                <w:color w:val="0000FF"/>
                <w:w w:val="97"/>
              </w:rPr>
              <w:t>Condensed Consolidated Balance Sheets as of June 30, 2025 and December 31, 2024</w:t>
            </w:r>
          </w:p>
        </w:tc>
        <w:tc>
          <w:tcPr>
            <w:tcW w:w="2940" w:type="dxa"/>
            <w:vAlign w:val="bottom"/>
            <w:gridSpan w:val="6"/>
          </w:tcPr>
          <w:p>
            <w:pPr>
              <w:spacing w:after="0"/>
              <w:rPr>
                <w:sz w:val="17"/>
                <w:szCs w:val="17"/>
                <w:color w:val="auto"/>
              </w:rPr>
            </w:pPr>
          </w:p>
        </w:tc>
        <w:tc>
          <w:tcPr>
            <w:tcW w:w="600" w:type="dxa"/>
            <w:vAlign w:val="bottom"/>
            <w:gridSpan w:val="4"/>
          </w:tcPr>
          <w:p>
            <w:pPr>
              <w:jc w:val="center"/>
              <w:ind w:left="353"/>
              <w:spacing w:after="0" w:line="204" w:lineRule="exact"/>
              <w:rPr>
                <w:sz w:val="20"/>
                <w:szCs w:val="20"/>
                <w:color w:val="auto"/>
              </w:rPr>
            </w:pPr>
            <w:r>
              <w:rPr>
                <w:rFonts w:ascii="Times New Roman" w:cs="Times New Roman" w:eastAsia="Times New Roman" w:hAnsi="Times New Roman"/>
                <w:sz w:val="18"/>
                <w:szCs w:val="18"/>
                <w:color w:val="0000FF"/>
                <w:w w:val="88"/>
              </w:rPr>
              <w:t>4</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4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7"/>
              </w:rPr>
              <w:t>Condensed Consolidated Statements of Income for the Three and Six Months Ended June 30, 2025 and 2024</w:t>
            </w:r>
          </w:p>
        </w:tc>
        <w:tc>
          <w:tcPr>
            <w:tcW w:w="1280" w:type="dxa"/>
            <w:vAlign w:val="bottom"/>
            <w:gridSpan w:val="3"/>
          </w:tcPr>
          <w:p>
            <w:pPr>
              <w:spacing w:after="0"/>
              <w:rPr>
                <w:sz w:val="17"/>
                <w:szCs w:val="17"/>
                <w:color w:val="auto"/>
              </w:rPr>
            </w:pPr>
          </w:p>
        </w:tc>
        <w:tc>
          <w:tcPr>
            <w:tcW w:w="600" w:type="dxa"/>
            <w:vAlign w:val="bottom"/>
            <w:gridSpan w:val="4"/>
          </w:tcPr>
          <w:p>
            <w:pPr>
              <w:jc w:val="center"/>
              <w:ind w:left="353"/>
              <w:spacing w:after="0" w:line="204" w:lineRule="exact"/>
              <w:rPr>
                <w:sz w:val="20"/>
                <w:szCs w:val="20"/>
                <w:color w:val="auto"/>
              </w:rPr>
            </w:pPr>
            <w:r>
              <w:rPr>
                <w:rFonts w:ascii="Times New Roman" w:cs="Times New Roman" w:eastAsia="Times New Roman" w:hAnsi="Times New Roman"/>
                <w:sz w:val="18"/>
                <w:szCs w:val="18"/>
                <w:color w:val="0000FF"/>
                <w:w w:val="88"/>
              </w:rPr>
              <w:t>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5"/>
          </w:tcPr>
          <w:p>
            <w:pPr>
              <w:spacing w:after="0" w:line="204" w:lineRule="exact"/>
              <w:rPr>
                <w:sz w:val="20"/>
                <w:szCs w:val="20"/>
                <w:color w:val="auto"/>
              </w:rPr>
            </w:pPr>
            <w:r>
              <w:rPr>
                <w:rFonts w:ascii="Times New Roman" w:cs="Times New Roman" w:eastAsia="Times New Roman" w:hAnsi="Times New Roman"/>
                <w:sz w:val="18"/>
                <w:szCs w:val="18"/>
                <w:color w:val="0000FF"/>
                <w:w w:val="97"/>
              </w:rPr>
              <w:t>Condensed Consolidated Statements of Comprehensive Income for the Three and Six Months Ended June 30, 2025 and 2024</w:t>
            </w:r>
          </w:p>
        </w:tc>
        <w:tc>
          <w:tcPr>
            <w:tcW w:w="140" w:type="dxa"/>
            <w:vAlign w:val="bottom"/>
          </w:tcPr>
          <w:p>
            <w:pPr>
              <w:spacing w:after="0"/>
              <w:rPr>
                <w:sz w:val="17"/>
                <w:szCs w:val="17"/>
                <w:color w:val="auto"/>
              </w:rPr>
            </w:pPr>
          </w:p>
        </w:tc>
        <w:tc>
          <w:tcPr>
            <w:tcW w:w="600" w:type="dxa"/>
            <w:vAlign w:val="bottom"/>
            <w:gridSpan w:val="4"/>
          </w:tcPr>
          <w:p>
            <w:pPr>
              <w:jc w:val="center"/>
              <w:ind w:left="353"/>
              <w:spacing w:after="0" w:line="204" w:lineRule="exact"/>
              <w:rPr>
                <w:sz w:val="20"/>
                <w:szCs w:val="20"/>
                <w:color w:val="auto"/>
              </w:rPr>
            </w:pPr>
            <w:r>
              <w:rPr>
                <w:rFonts w:ascii="Times New Roman" w:cs="Times New Roman" w:eastAsia="Times New Roman" w:hAnsi="Times New Roman"/>
                <w:sz w:val="18"/>
                <w:szCs w:val="18"/>
                <w:color w:val="0000FF"/>
                <w:w w:val="88"/>
              </w:rPr>
              <w:t>6</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5"/>
          </w:tcPr>
          <w:p>
            <w:pPr>
              <w:spacing w:after="0" w:line="204" w:lineRule="exact"/>
              <w:rPr>
                <w:sz w:val="20"/>
                <w:szCs w:val="20"/>
                <w:color w:val="auto"/>
              </w:rPr>
            </w:pPr>
            <w:r>
              <w:rPr>
                <w:rFonts w:ascii="Times New Roman" w:cs="Times New Roman" w:eastAsia="Times New Roman" w:hAnsi="Times New Roman"/>
                <w:sz w:val="18"/>
                <w:szCs w:val="18"/>
                <w:color w:val="0000FF"/>
                <w:w w:val="99"/>
              </w:rPr>
              <w:t>Condensed Consolidated Statements of Shareholders' Equity for the Three and Six Months Ended June 30, 2025 and 2024</w:t>
            </w:r>
          </w:p>
        </w:tc>
        <w:tc>
          <w:tcPr>
            <w:tcW w:w="140" w:type="dxa"/>
            <w:vAlign w:val="bottom"/>
          </w:tcPr>
          <w:p>
            <w:pPr>
              <w:spacing w:after="0"/>
              <w:rPr>
                <w:sz w:val="17"/>
                <w:szCs w:val="17"/>
                <w:color w:val="auto"/>
              </w:rPr>
            </w:pPr>
          </w:p>
        </w:tc>
        <w:tc>
          <w:tcPr>
            <w:tcW w:w="600" w:type="dxa"/>
            <w:vAlign w:val="bottom"/>
            <w:gridSpan w:val="4"/>
          </w:tcPr>
          <w:p>
            <w:pPr>
              <w:jc w:val="center"/>
              <w:ind w:left="353"/>
              <w:spacing w:after="0" w:line="204" w:lineRule="exact"/>
              <w:rPr>
                <w:sz w:val="20"/>
                <w:szCs w:val="20"/>
                <w:color w:val="auto"/>
              </w:rPr>
            </w:pPr>
            <w:r>
              <w:rPr>
                <w:rFonts w:ascii="Times New Roman" w:cs="Times New Roman" w:eastAsia="Times New Roman" w:hAnsi="Times New Roman"/>
                <w:sz w:val="18"/>
                <w:szCs w:val="18"/>
                <w:color w:val="0000FF"/>
                <w:w w:val="88"/>
              </w:rPr>
              <w:t>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6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360" w:type="dxa"/>
            <w:vAlign w:val="bottom"/>
            <w:gridSpan w:val="2"/>
          </w:tcPr>
          <w:p>
            <w:pPr>
              <w:spacing w:after="0"/>
              <w:rPr>
                <w:sz w:val="17"/>
                <w:szCs w:val="17"/>
                <w:color w:val="auto"/>
              </w:rPr>
            </w:pPr>
          </w:p>
        </w:tc>
        <w:tc>
          <w:tcPr>
            <w:tcW w:w="600" w:type="dxa"/>
            <w:vAlign w:val="bottom"/>
            <w:gridSpan w:val="4"/>
          </w:tcPr>
          <w:p>
            <w:pPr>
              <w:jc w:val="center"/>
              <w:ind w:left="353"/>
              <w:spacing w:after="0" w:line="204" w:lineRule="exact"/>
              <w:rPr>
                <w:sz w:val="20"/>
                <w:szCs w:val="20"/>
                <w:color w:val="auto"/>
              </w:rPr>
            </w:pPr>
            <w:r>
              <w:rPr>
                <w:rFonts w:ascii="Times New Roman" w:cs="Times New Roman" w:eastAsia="Times New Roman" w:hAnsi="Times New Roman"/>
                <w:sz w:val="18"/>
                <w:szCs w:val="18"/>
                <w:color w:val="0000FF"/>
                <w:w w:val="88"/>
              </w:rPr>
              <w:t>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12"/>
          </w:tcPr>
          <w:p>
            <w:pPr>
              <w:spacing w:after="0" w:line="204"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740" w:type="dxa"/>
            <w:vAlign w:val="bottom"/>
            <w:gridSpan w:val="4"/>
          </w:tcPr>
          <w:p>
            <w:pPr>
              <w:spacing w:after="0"/>
              <w:rPr>
                <w:sz w:val="17"/>
                <w:szCs w:val="17"/>
                <w:color w:val="auto"/>
              </w:rPr>
            </w:pP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10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4"/>
              </w:rPr>
              <w:t>Item 2.</w:t>
            </w:r>
          </w:p>
        </w:tc>
        <w:tc>
          <w:tcPr>
            <w:tcW w:w="500" w:type="dxa"/>
            <w:vAlign w:val="bottom"/>
            <w:gridSpan w:val="2"/>
          </w:tcPr>
          <w:p>
            <w:pPr>
              <w:spacing w:after="0"/>
              <w:rPr>
                <w:sz w:val="17"/>
                <w:szCs w:val="17"/>
                <w:color w:val="auto"/>
              </w:rPr>
            </w:pPr>
          </w:p>
        </w:tc>
        <w:tc>
          <w:tcPr>
            <w:tcW w:w="6280" w:type="dxa"/>
            <w:vAlign w:val="bottom"/>
            <w:tcBorders>
              <w:bottom w:val="single" w:sz="8" w:color="0000FF"/>
            </w:tcBorders>
            <w:gridSpan w:val="12"/>
          </w:tcPr>
          <w:p>
            <w:pPr>
              <w:spacing w:after="0" w:line="204"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86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4" w:lineRule="exact"/>
              <w:rPr>
                <w:sz w:val="20"/>
                <w:szCs w:val="20"/>
                <w:color w:val="auto"/>
              </w:rPr>
            </w:pPr>
            <w:r>
              <w:rPr>
                <w:rFonts w:ascii="Times New Roman" w:cs="Times New Roman" w:eastAsia="Times New Roman" w:hAnsi="Times New Roman"/>
                <w:sz w:val="18"/>
                <w:szCs w:val="18"/>
                <w:color w:val="0000FF"/>
                <w:w w:val="99"/>
              </w:rPr>
              <w:t>28</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4"/>
              </w:rPr>
              <w:t>Item 3.</w:t>
            </w:r>
          </w:p>
        </w:tc>
        <w:tc>
          <w:tcPr>
            <w:tcW w:w="500" w:type="dxa"/>
            <w:vAlign w:val="bottom"/>
            <w:gridSpan w:val="2"/>
          </w:tcPr>
          <w:p>
            <w:pPr>
              <w:spacing w:after="0"/>
              <w:rPr>
                <w:sz w:val="17"/>
                <w:szCs w:val="17"/>
                <w:color w:val="auto"/>
              </w:rPr>
            </w:pPr>
          </w:p>
        </w:tc>
        <w:tc>
          <w:tcPr>
            <w:tcW w:w="4260" w:type="dxa"/>
            <w:vAlign w:val="bottom"/>
            <w:tcBorders>
              <w:bottom w:val="single" w:sz="8" w:color="0000FF"/>
            </w:tcBorders>
            <w:gridSpan w:val="10"/>
          </w:tcPr>
          <w:p>
            <w:pPr>
              <w:spacing w:after="0" w:line="204"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88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4" w:lineRule="exact"/>
              <w:rPr>
                <w:sz w:val="20"/>
                <w:szCs w:val="20"/>
                <w:color w:val="auto"/>
              </w:rPr>
            </w:pPr>
            <w:r>
              <w:rPr>
                <w:rFonts w:ascii="Times New Roman" w:cs="Times New Roman" w:eastAsia="Times New Roman" w:hAnsi="Times New Roman"/>
                <w:sz w:val="18"/>
                <w:szCs w:val="18"/>
                <w:color w:val="0000FF"/>
                <w:w w:val="99"/>
              </w:rPr>
              <w:t>53</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0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Item 4.</w:t>
            </w:r>
          </w:p>
        </w:tc>
        <w:tc>
          <w:tcPr>
            <w:tcW w:w="914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rPr>
              <w:t>Controls and Procedures</w:t>
            </w: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54</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420" w:type="dxa"/>
            <w:vAlign w:val="bottom"/>
            <w:gridSpan w:val="11"/>
          </w:tcPr>
          <w:p>
            <w:pPr>
              <w:ind w:left="17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4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500" w:type="dxa"/>
            <w:vAlign w:val="bottom"/>
            <w:gridSpan w:val="2"/>
          </w:tcPr>
          <w:p>
            <w:pPr>
              <w:spacing w:after="0"/>
              <w:rPr>
                <w:sz w:val="20"/>
                <w:szCs w:val="20"/>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00" w:type="dxa"/>
            <w:vAlign w:val="bottom"/>
            <w:gridSpan w:val="4"/>
          </w:tcPr>
          <w:p>
            <w:pPr>
              <w:jc w:val="center"/>
              <w:ind w:left="333"/>
              <w:spacing w:after="0"/>
              <w:rPr>
                <w:sz w:val="20"/>
                <w:szCs w:val="20"/>
                <w:color w:val="auto"/>
              </w:rPr>
            </w:pPr>
            <w:r>
              <w:rPr>
                <w:rFonts w:ascii="Times New Roman" w:cs="Times New Roman" w:eastAsia="Times New Roman" w:hAnsi="Times New Roman"/>
                <w:sz w:val="18"/>
                <w:szCs w:val="18"/>
                <w:color w:val="0000FF"/>
                <w:w w:val="99"/>
              </w:rPr>
              <w:t>55</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10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Item 1A.</w:t>
            </w:r>
          </w:p>
        </w:tc>
        <w:tc>
          <w:tcPr>
            <w:tcW w:w="914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55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62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8"/>
                <w:szCs w:val="18"/>
                <w:color w:val="0000FF"/>
              </w:rPr>
              <w:t>Item 2.</w:t>
            </w:r>
          </w:p>
        </w:tc>
        <w:tc>
          <w:tcPr>
            <w:tcW w:w="380" w:type="dxa"/>
            <w:vAlign w:val="bottom"/>
            <w:tcBorders>
              <w:bottom w:val="single" w:sz="8" w:color="0000FF"/>
            </w:tcBorders>
          </w:tcPr>
          <w:p>
            <w:pPr>
              <w:spacing w:after="0"/>
              <w:rPr>
                <w:sz w:val="17"/>
                <w:szCs w:val="17"/>
                <w:color w:val="auto"/>
              </w:rPr>
            </w:pPr>
          </w:p>
        </w:tc>
        <w:tc>
          <w:tcPr>
            <w:tcW w:w="4240" w:type="dxa"/>
            <w:vAlign w:val="bottom"/>
            <w:tcBorders>
              <w:bottom w:val="single" w:sz="8" w:color="0000FF"/>
            </w:tcBorders>
            <w:gridSpan w:val="9"/>
          </w:tcPr>
          <w:p>
            <w:pPr>
              <w:spacing w:after="0" w:line="204" w:lineRule="exact"/>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900" w:type="dxa"/>
            <w:vAlign w:val="bottom"/>
            <w:gridSpan w:val="8"/>
          </w:tcPr>
          <w:p>
            <w:pPr>
              <w:spacing w:after="0"/>
              <w:rPr>
                <w:sz w:val="17"/>
                <w:szCs w:val="17"/>
                <w:color w:val="auto"/>
              </w:rPr>
            </w:pP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55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5.</w:t>
            </w:r>
          </w:p>
        </w:tc>
        <w:tc>
          <w:tcPr>
            <w:tcW w:w="500" w:type="dxa"/>
            <w:vAlign w:val="bottom"/>
            <w:gridSpan w:val="2"/>
          </w:tcPr>
          <w:p>
            <w:pPr>
              <w:spacing w:after="0"/>
              <w:rPr>
                <w:sz w:val="17"/>
                <w:szCs w:val="17"/>
                <w:color w:val="auto"/>
              </w:rPr>
            </w:pPr>
          </w:p>
        </w:tc>
        <w:tc>
          <w:tcPr>
            <w:tcW w:w="914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rPr>
              <w:t>Other Information</w:t>
            </w: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55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4"/>
              </w:rPr>
              <w:t>Item 6.</w:t>
            </w:r>
          </w:p>
        </w:tc>
        <w:tc>
          <w:tcPr>
            <w:tcW w:w="500" w:type="dxa"/>
            <w:vAlign w:val="bottom"/>
            <w:gridSpan w:val="2"/>
          </w:tcPr>
          <w:p>
            <w:pPr>
              <w:spacing w:after="0"/>
              <w:rPr>
                <w:sz w:val="17"/>
                <w:szCs w:val="17"/>
                <w:color w:val="auto"/>
              </w:rPr>
            </w:pPr>
          </w:p>
        </w:tc>
        <w:tc>
          <w:tcPr>
            <w:tcW w:w="1300" w:type="dxa"/>
            <w:vAlign w:val="bottom"/>
            <w:tcBorders>
              <w:top w:val="single" w:sz="8" w:color="0000FF"/>
            </w:tcBorders>
            <w:gridSpan w:val="5"/>
          </w:tcPr>
          <w:p>
            <w:pPr>
              <w:spacing w:after="0" w:line="204" w:lineRule="exact"/>
              <w:rPr>
                <w:sz w:val="20"/>
                <w:szCs w:val="20"/>
                <w:color w:val="auto"/>
              </w:rPr>
            </w:pPr>
            <w:r>
              <w:rPr>
                <w:rFonts w:ascii="Times New Roman" w:cs="Times New Roman" w:eastAsia="Times New Roman" w:hAnsi="Times New Roman"/>
                <w:sz w:val="18"/>
                <w:szCs w:val="18"/>
                <w:color w:val="0000FF"/>
              </w:rPr>
              <w:t>Exhibits</w:t>
            </w:r>
          </w:p>
        </w:tc>
        <w:tc>
          <w:tcPr>
            <w:tcW w:w="7840" w:type="dxa"/>
            <w:vAlign w:val="bottom"/>
            <w:gridSpan w:val="12"/>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line="204" w:lineRule="exact"/>
              <w:rPr>
                <w:sz w:val="20"/>
                <w:szCs w:val="20"/>
                <w:color w:val="auto"/>
              </w:rPr>
            </w:pPr>
            <w:r>
              <w:rPr>
                <w:rFonts w:ascii="Times New Roman" w:cs="Times New Roman" w:eastAsia="Times New Roman" w:hAnsi="Times New Roman"/>
                <w:sz w:val="18"/>
                <w:szCs w:val="18"/>
                <w:color w:val="0000FF"/>
                <w:w w:val="99"/>
              </w:rPr>
              <w:t>56</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4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57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5"/>
        </w:trPr>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par value and share data)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5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6"/>
        </w:trPr>
        <w:tc>
          <w:tcPr>
            <w:tcW w:w="7680" w:type="dxa"/>
            <w:vAlign w:val="bottom"/>
            <w:tcBorders>
              <w:top w:val="single" w:sz="8" w:color="CCEEFF"/>
            </w:tcBorders>
            <w:shd w:val="clear" w:color="auto" w:fill="CCEEFF"/>
          </w:tcPr>
          <w:p>
            <w:pPr>
              <w:ind w:left="35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Contracts-in-transit,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2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0" w:type="dxa"/>
            <w:vAlign w:val="bottom"/>
          </w:tcPr>
          <w:p>
            <w:pPr>
              <w:spacing w:after="0"/>
              <w:rPr>
                <w:sz w:val="1"/>
                <w:szCs w:val="1"/>
                <w:color w:val="auto"/>
              </w:rPr>
            </w:pPr>
          </w:p>
        </w:tc>
      </w:tr>
      <w:tr>
        <w:trPr>
          <w:trHeight w:val="22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17"/>
        </w:trPr>
        <w:tc>
          <w:tcPr>
            <w:tcW w:w="76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2,044.7</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FRANCHISE RIGHTS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0" w:type="dxa"/>
            <w:vAlign w:val="bottom"/>
          </w:tcPr>
          <w:p>
            <w:pPr>
              <w:spacing w:after="0"/>
              <w:rPr>
                <w:sz w:val="1"/>
                <w:szCs w:val="1"/>
                <w:color w:val="auto"/>
              </w:rPr>
            </w:pPr>
          </w:p>
        </w:tc>
      </w:tr>
      <w:tr>
        <w:trPr>
          <w:trHeight w:val="22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42"/>
        </w:trPr>
        <w:tc>
          <w:tcPr>
            <w:tcW w:w="76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Floor plan notes payable—trade, net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Floor plan notes payable—non-trade,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0" w:type="dxa"/>
            <w:vAlign w:val="bottom"/>
          </w:tcPr>
          <w:p>
            <w:pPr>
              <w:spacing w:after="0"/>
              <w:rPr>
                <w:sz w:val="1"/>
                <w:szCs w:val="1"/>
                <w:color w:val="auto"/>
              </w:rPr>
            </w:pPr>
          </w:p>
        </w:tc>
      </w:tr>
      <w:tr>
        <w:trPr>
          <w:trHeight w:val="22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revenue—current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2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 associated with assets held for sale</w:t>
            </w: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7"/>
        </w:trPr>
        <w:tc>
          <w:tcPr>
            <w:tcW w:w="7680" w:type="dxa"/>
            <w:vAlign w:val="bottom"/>
            <w:tcBorders>
              <w:top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3,023.9</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68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Preferred stock, $.01 par value; 10,000,000 shares authorized; none issued</w:t>
            </w:r>
          </w:p>
        </w:tc>
        <w:tc>
          <w:tcPr>
            <w:tcW w:w="26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4"/>
        </w:trPr>
        <w:tc>
          <w:tcPr>
            <w:tcW w:w="7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 outstanding</w:t>
            </w:r>
          </w:p>
        </w:tc>
        <w:tc>
          <w:tcPr>
            <w:tcW w:w="260" w:type="dxa"/>
            <w:vAlign w:val="bottom"/>
            <w:shd w:val="clear" w:color="auto" w:fill="CCEEFF"/>
          </w:tcPr>
          <w:p>
            <w:pPr>
              <w:spacing w:after="0"/>
              <w:rPr>
                <w:sz w:val="12"/>
                <w:szCs w:val="12"/>
                <w:color w:val="auto"/>
              </w:rPr>
            </w:pPr>
          </w:p>
        </w:tc>
        <w:tc>
          <w:tcPr>
            <w:tcW w:w="15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768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68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w w:val="97"/>
              </w:rPr>
              <w:t>Common stock, $.01 par value; 90,000,000 shares authorized; 41,768,966 and 41,649,426 shares issued,</w:t>
            </w:r>
          </w:p>
        </w:tc>
        <w:tc>
          <w:tcPr>
            <w:tcW w:w="2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44"/>
        </w:trPr>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including shares held in treasury, respectively</w:t>
            </w: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7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0" w:type="dxa"/>
            <w:vAlign w:val="bottom"/>
          </w:tcPr>
          <w:p>
            <w:pPr>
              <w:spacing w:after="0"/>
              <w:rPr>
                <w:sz w:val="1"/>
                <w:szCs w:val="1"/>
                <w:color w:val="auto"/>
              </w:rPr>
            </w:pPr>
          </w:p>
        </w:tc>
      </w:tr>
      <w:tr>
        <w:trPr>
          <w:trHeight w:val="22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3,218.9</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cost; 22,108,904 and 22,065,478 shares, respectively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0" w:type="dxa"/>
            <w:vAlign w:val="bottom"/>
          </w:tcPr>
          <w:p>
            <w:pPr>
              <w:spacing w:after="0"/>
              <w:rPr>
                <w:sz w:val="1"/>
                <w:szCs w:val="1"/>
                <w:color w:val="auto"/>
              </w:rPr>
            </w:pPr>
          </w:p>
        </w:tc>
      </w:tr>
      <w:tr>
        <w:trPr>
          <w:trHeight w:val="224"/>
        </w:trPr>
        <w:tc>
          <w:tcPr>
            <w:tcW w:w="7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3,502.1</w:t>
            </w:r>
          </w:p>
        </w:tc>
        <w:tc>
          <w:tcPr>
            <w:tcW w:w="0" w:type="dxa"/>
            <w:vAlign w:val="bottom"/>
          </w:tcPr>
          <w:p>
            <w:pPr>
              <w:spacing w:after="0"/>
              <w:rPr>
                <w:sz w:val="1"/>
                <w:szCs w:val="1"/>
                <w:color w:val="auto"/>
              </w:rPr>
            </w:pPr>
          </w:p>
        </w:tc>
      </w:tr>
      <w:tr>
        <w:trPr>
          <w:trHeight w:val="217"/>
        </w:trPr>
        <w:tc>
          <w:tcPr>
            <w:tcW w:w="76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20" w:type="dxa"/>
            <w:vAlign w:val="bottom"/>
          </w:tcPr>
          <w:p>
            <w:pPr>
              <w:spacing w:after="0"/>
              <w:rPr>
                <w:sz w:val="18"/>
                <w:szCs w:val="18"/>
                <w:color w:val="auto"/>
              </w:rPr>
            </w:pPr>
          </w:p>
        </w:tc>
        <w:tc>
          <w:tcPr>
            <w:tcW w:w="27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5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05"/>
        </w:trPr>
        <w:tc>
          <w:tcPr>
            <w:tcW w:w="57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5"/>
        </w:trPr>
        <w:tc>
          <w:tcPr>
            <w:tcW w:w="57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2,303.9</w:t>
            </w:r>
          </w:p>
        </w:tc>
        <w:tc>
          <w:tcPr>
            <w:tcW w:w="14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2,164.9</w:t>
            </w:r>
          </w:p>
        </w:tc>
        <w:tc>
          <w:tcPr>
            <w:tcW w:w="14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4,442.0</w:t>
            </w:r>
          </w:p>
        </w:tc>
        <w:tc>
          <w:tcPr>
            <w:tcW w:w="14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4,229.1</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2,664.9</w:t>
            </w: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8,447.4</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3,911.2</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2,532.0</w:t>
            </w: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7"/>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7,045.5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6,966.7</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w:t>
            </w:r>
          </w:p>
        </w:tc>
        <w:tc>
          <w:tcPr>
            <w:tcW w:w="0" w:type="dxa"/>
            <w:vAlign w:val="bottom"/>
          </w:tcPr>
          <w:p>
            <w:pPr>
              <w:spacing w:after="0"/>
              <w:rPr>
                <w:sz w:val="1"/>
                <w:szCs w:val="1"/>
                <w:color w:val="auto"/>
              </w:rPr>
            </w:pPr>
          </w:p>
        </w:tc>
      </w:tr>
      <w:tr>
        <w:trPr>
          <w:trHeight w:val="22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7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4"/>
        </w:trPr>
        <w:tc>
          <w:tcPr>
            <w:tcW w:w="5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Restricted stock</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Performance share units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7"/>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119"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3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Six Months Ended June</w:t>
            </w:r>
          </w:p>
        </w:tc>
      </w:tr>
      <w:tr>
        <w:trPr>
          <w:trHeight w:val="210"/>
        </w:trPr>
        <w:tc>
          <w:tcPr>
            <w:tcW w:w="6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4"/>
        </w:trPr>
        <w:tc>
          <w:tcPr>
            <w:tcW w:w="6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2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4"/>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fair value of cash flow swaps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4"/>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benefit (expense) associated with cash flow swaps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4"/>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Unrealized gains (losses) on available-for-sale debt securities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4"/>
        </w:trPr>
        <w:tc>
          <w:tcPr>
            <w:tcW w:w="6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Income tax (expense) benefit associated with available-for-sale debt securities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SHAREHOLDERS' EQUITY</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60"/>
          </w:cols>
          <w:pgMar w:left="320" w:top="11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Balances, December 31, 2024</w:t>
      </w:r>
    </w:p>
    <w:p>
      <w:pPr>
        <w:spacing w:after="0" w:line="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Net income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Change in fair value of cash flow swaps, net</w:t>
      </w:r>
    </w:p>
    <w:p>
      <w:pPr>
        <w:ind w:left="100"/>
        <w:spacing w:after="0" w:line="222" w:lineRule="auto"/>
        <w:rPr>
          <w:sz w:val="20"/>
          <w:szCs w:val="20"/>
          <w:color w:val="auto"/>
        </w:rPr>
      </w:pPr>
      <w:r>
        <w:rPr>
          <w:rFonts w:ascii="Times New Roman" w:cs="Times New Roman" w:eastAsia="Times New Roman" w:hAnsi="Times New Roman"/>
          <w:sz w:val="14"/>
          <w:szCs w:val="14"/>
          <w:color w:val="auto"/>
        </w:rPr>
        <w:t>of reclassification adjustment and $3.5 million tax benefit</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Unrealized gain on changes in fair value of debt</w:t>
      </w:r>
    </w:p>
    <w:p>
      <w:pPr>
        <w:ind w:left="100" w:right="120"/>
        <w:spacing w:after="0" w:line="222" w:lineRule="auto"/>
        <w:rPr>
          <w:sz w:val="20"/>
          <w:szCs w:val="20"/>
          <w:color w:val="auto"/>
        </w:rPr>
      </w:pPr>
      <w:r>
        <w:rPr>
          <w:rFonts w:ascii="Times New Roman" w:cs="Times New Roman" w:eastAsia="Times New Roman" w:hAnsi="Times New Roman"/>
          <w:sz w:val="14"/>
          <w:szCs w:val="14"/>
          <w:color w:val="auto"/>
        </w:rPr>
        <w:t>securities, net of reclassification adjustment and $0.9 million tax expense</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Issuance of common stock, net of forfeitures,</w:t>
      </w:r>
    </w:p>
    <w:p>
      <w:pPr>
        <w:ind w:left="100" w:right="560"/>
        <w:spacing w:after="0" w:line="222" w:lineRule="auto"/>
        <w:rPr>
          <w:sz w:val="20"/>
          <w:szCs w:val="20"/>
          <w:color w:val="auto"/>
        </w:rPr>
      </w:pPr>
      <w:r>
        <w:rPr>
          <w:rFonts w:ascii="Times New Roman" w:cs="Times New Roman" w:eastAsia="Times New Roman" w:hAnsi="Times New Roman"/>
          <w:sz w:val="14"/>
          <w:szCs w:val="14"/>
          <w:color w:val="auto"/>
        </w:rPr>
        <w:t>in connection with share-based payment arrangements</w:t>
      </w:r>
    </w:p>
    <w:p>
      <w:pPr>
        <w:spacing w:after="0" w:line="15" w:lineRule="exact"/>
        <w:rPr>
          <w:sz w:val="20"/>
          <w:szCs w:val="20"/>
          <w:color w:val="auto"/>
        </w:rPr>
      </w:pPr>
    </w:p>
    <w:p>
      <w:pPr>
        <w:ind w:left="100" w:right="40"/>
        <w:spacing w:after="0" w:line="248" w:lineRule="auto"/>
        <w:rPr>
          <w:sz w:val="20"/>
          <w:szCs w:val="20"/>
          <w:color w:val="auto"/>
        </w:rPr>
      </w:pPr>
      <w:r>
        <w:rPr>
          <w:rFonts w:ascii="Times New Roman" w:cs="Times New Roman" w:eastAsia="Times New Roman" w:hAnsi="Times New Roman"/>
          <w:sz w:val="14"/>
          <w:szCs w:val="14"/>
          <w:color w:val="auto"/>
        </w:rPr>
        <w:t>Repurchase of common stock associated with net share settlement of employee share-based awards</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Balances, March 31, 2025</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Net income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Change in fair value of cash flow swaps, net</w:t>
      </w:r>
    </w:p>
    <w:p>
      <w:pPr>
        <w:ind w:left="100"/>
        <w:spacing w:after="0" w:line="222" w:lineRule="auto"/>
        <w:rPr>
          <w:sz w:val="20"/>
          <w:szCs w:val="20"/>
          <w:color w:val="auto"/>
        </w:rPr>
      </w:pPr>
      <w:r>
        <w:rPr>
          <w:rFonts w:ascii="Times New Roman" w:cs="Times New Roman" w:eastAsia="Times New Roman" w:hAnsi="Times New Roman"/>
          <w:sz w:val="14"/>
          <w:szCs w:val="14"/>
          <w:color w:val="auto"/>
        </w:rPr>
        <w:t>of reclassification adjustment and $2.1 million tax benefit</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Unrealized gain on changes in fair value of debt</w:t>
      </w:r>
    </w:p>
    <w:p>
      <w:pPr>
        <w:ind w:left="100" w:right="120"/>
        <w:spacing w:after="0" w:line="222" w:lineRule="auto"/>
        <w:rPr>
          <w:sz w:val="20"/>
          <w:szCs w:val="20"/>
          <w:color w:val="auto"/>
        </w:rPr>
      </w:pPr>
      <w:r>
        <w:rPr>
          <w:rFonts w:ascii="Times New Roman" w:cs="Times New Roman" w:eastAsia="Times New Roman" w:hAnsi="Times New Roman"/>
          <w:sz w:val="14"/>
          <w:szCs w:val="14"/>
          <w:color w:val="auto"/>
        </w:rPr>
        <w:t>securities, net of reclassification adjustment and $0.3 million tax expense</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Issuance of common stock, net of forfeitures,</w:t>
      </w:r>
    </w:p>
    <w:p>
      <w:pPr>
        <w:ind w:left="100" w:right="560"/>
        <w:spacing w:after="0" w:line="222" w:lineRule="auto"/>
        <w:rPr>
          <w:sz w:val="20"/>
          <w:szCs w:val="20"/>
          <w:color w:val="auto"/>
        </w:rPr>
      </w:pPr>
      <w:r>
        <w:rPr>
          <w:rFonts w:ascii="Times New Roman" w:cs="Times New Roman" w:eastAsia="Times New Roman" w:hAnsi="Times New Roman"/>
          <w:sz w:val="14"/>
          <w:szCs w:val="14"/>
          <w:color w:val="auto"/>
        </w:rPr>
        <w:t>in connection with share-based payment arrangements</w:t>
      </w:r>
    </w:p>
    <w:p>
      <w:pPr>
        <w:spacing w:after="0" w:line="15" w:lineRule="exact"/>
        <w:rPr>
          <w:sz w:val="20"/>
          <w:szCs w:val="20"/>
          <w:color w:val="auto"/>
        </w:rPr>
      </w:pPr>
    </w:p>
    <w:p>
      <w:pPr>
        <w:ind w:left="100" w:right="40"/>
        <w:spacing w:after="0" w:line="248" w:lineRule="auto"/>
        <w:rPr>
          <w:sz w:val="20"/>
          <w:szCs w:val="20"/>
          <w:color w:val="auto"/>
        </w:rPr>
      </w:pPr>
      <w:r>
        <w:rPr>
          <w:rFonts w:ascii="Times New Roman" w:cs="Times New Roman" w:eastAsia="Times New Roman" w:hAnsi="Times New Roman"/>
          <w:sz w:val="14"/>
          <w:szCs w:val="14"/>
          <w:color w:val="auto"/>
        </w:rPr>
        <w:t>Repurchase of common stock associated with net share settlement of employee share-based awards</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Balances, June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0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4"/>
                <w:szCs w:val="14"/>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0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restart"/>
          </w:tcPr>
          <w:p>
            <w:pPr>
              <w:jc w:val="right"/>
              <w:ind w:right="190"/>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5"/>
                <w:szCs w:val="5"/>
                <w:color w:val="auto"/>
              </w:rPr>
            </w:pPr>
          </w:p>
        </w:tc>
        <w:tc>
          <w:tcPr>
            <w:tcW w:w="860" w:type="dxa"/>
            <w:vAlign w:val="bottom"/>
            <w:vMerge w:val="restart"/>
          </w:tcPr>
          <w:p>
            <w:pPr>
              <w:jc w:val="right"/>
              <w:ind w:right="210"/>
              <w:spacing w:after="0" w:line="119"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vMerge w:val="restart"/>
          </w:tcPr>
          <w:p>
            <w:pPr>
              <w:jc w:val="center"/>
              <w:ind w:right="9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08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
                <w:szCs w:val="2"/>
                <w:color w:val="auto"/>
              </w:rPr>
            </w:pPr>
          </w:p>
        </w:tc>
        <w:tc>
          <w:tcPr>
            <w:tcW w:w="6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0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2"/>
                <w:szCs w:val="2"/>
                <w:color w:val="auto"/>
              </w:rPr>
            </w:pPr>
          </w:p>
        </w:tc>
        <w:tc>
          <w:tcPr>
            <w:tcW w:w="74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2"/>
        </w:trPr>
        <w:tc>
          <w:tcPr>
            <w:tcW w:w="10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41,649,426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1,305.1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3,218.9</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22,065,478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56.8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3,502.1</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132.1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0" w:type="dxa"/>
            <w:vAlign w:val="bottom"/>
          </w:tcPr>
          <w:p>
            <w:pPr>
              <w:spacing w:after="0"/>
              <w:rPr>
                <w:sz w:val="1"/>
                <w:szCs w:val="1"/>
                <w:color w:val="auto"/>
              </w:rPr>
            </w:pPr>
          </w:p>
        </w:tc>
      </w:tr>
      <w:tr>
        <w:trPr>
          <w:trHeight w:val="474"/>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474"/>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4"/>
        </w:trPr>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132.1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88"/>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tcPr>
          <w:p>
            <w:pPr>
              <w:spacing w:after="0"/>
              <w:rPr>
                <w:sz w:val="16"/>
                <w:szCs w:val="16"/>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474"/>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117,992</w:t>
            </w:r>
          </w:p>
        </w:tc>
        <w:tc>
          <w:tcPr>
            <w:tcW w:w="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9"/>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42,780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4"/>
        </w:trPr>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41,767,418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1,314.2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3,351.0</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22,108,258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49.6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3,623.5</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152.8</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0" w:type="dxa"/>
            <w:vAlign w:val="bottom"/>
          </w:tcPr>
          <w:p>
            <w:pPr>
              <w:spacing w:after="0"/>
              <w:rPr>
                <w:sz w:val="1"/>
                <w:szCs w:val="1"/>
                <w:color w:val="auto"/>
              </w:rPr>
            </w:pPr>
          </w:p>
        </w:tc>
      </w:tr>
      <w:tr>
        <w:trPr>
          <w:trHeight w:val="474"/>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474"/>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4"/>
        </w:trPr>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152.8</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0" w:type="dxa"/>
            <w:vAlign w:val="bottom"/>
          </w:tcPr>
          <w:p>
            <w:pPr>
              <w:spacing w:after="0"/>
              <w:rPr>
                <w:sz w:val="1"/>
                <w:szCs w:val="1"/>
                <w:color w:val="auto"/>
              </w:rPr>
            </w:pPr>
          </w:p>
        </w:tc>
      </w:tr>
      <w:tr>
        <w:trPr>
          <w:trHeight w:val="188"/>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spacing w:after="0"/>
              <w:rPr>
                <w:sz w:val="16"/>
                <w:szCs w:val="16"/>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474"/>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1,548</w:t>
            </w:r>
          </w:p>
        </w:tc>
        <w:tc>
          <w:tcPr>
            <w:tcW w:w="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9"/>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646</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4"/>
        </w:trPr>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41,768,966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1,320.4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3,503.7</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22,108,904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44.3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3,777.0</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-3709035</wp:posOffset>
            </wp:positionV>
            <wp:extent cx="7026910" cy="150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6910" cy="15049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-3433445</wp:posOffset>
            </wp:positionV>
            <wp:extent cx="7026910" cy="125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6910" cy="12509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-3007360</wp:posOffset>
            </wp:positionV>
            <wp:extent cx="7026910" cy="300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6910" cy="30099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-2573020</wp:posOffset>
            </wp:positionV>
            <wp:extent cx="7026910" cy="125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6910" cy="12509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-2146935</wp:posOffset>
            </wp:positionV>
            <wp:extent cx="7026910" cy="208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6910" cy="20891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-1787525</wp:posOffset>
            </wp:positionV>
            <wp:extent cx="7026910" cy="125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6910" cy="12509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-1536700</wp:posOffset>
            </wp:positionV>
            <wp:extent cx="7026910" cy="300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6910" cy="30099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-935355</wp:posOffset>
            </wp:positionV>
            <wp:extent cx="7026910" cy="133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6910" cy="13398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-676275</wp:posOffset>
            </wp:positionV>
            <wp:extent cx="7026910" cy="300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6910" cy="30099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-166370</wp:posOffset>
            </wp:positionV>
            <wp:extent cx="7026910" cy="150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6910" cy="150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60"/>
            <w:col w:w="8180"/>
          </w:cols>
          <w:pgMar w:left="320" w:top="119" w:right="41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Balances, December 31, 2023</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Net income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Change in fair value of cash flow swaps, net</w:t>
      </w:r>
    </w:p>
    <w:p>
      <w:pPr>
        <w:ind w:left="60"/>
        <w:spacing w:after="0" w:line="222" w:lineRule="auto"/>
        <w:rPr>
          <w:sz w:val="20"/>
          <w:szCs w:val="20"/>
          <w:color w:val="auto"/>
        </w:rPr>
      </w:pPr>
      <w:r>
        <w:rPr>
          <w:rFonts w:ascii="Times New Roman" w:cs="Times New Roman" w:eastAsia="Times New Roman" w:hAnsi="Times New Roman"/>
          <w:sz w:val="14"/>
          <w:szCs w:val="14"/>
          <w:color w:val="auto"/>
        </w:rPr>
        <w:t>of reclassification adjustment and $2.5 million tax expense</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Unrealized loss on changes in fair value of debt</w:t>
      </w:r>
    </w:p>
    <w:p>
      <w:pPr>
        <w:ind w:left="60" w:right="120"/>
        <w:spacing w:after="0" w:line="222" w:lineRule="auto"/>
        <w:rPr>
          <w:sz w:val="20"/>
          <w:szCs w:val="20"/>
          <w:color w:val="auto"/>
        </w:rPr>
      </w:pPr>
      <w:r>
        <w:rPr>
          <w:rFonts w:ascii="Times New Roman" w:cs="Times New Roman" w:eastAsia="Times New Roman" w:hAnsi="Times New Roman"/>
          <w:sz w:val="14"/>
          <w:szCs w:val="14"/>
          <w:color w:val="auto"/>
        </w:rPr>
        <w:t>securities, net of reclassification adjustment and $0.6 million tax benefit</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Issuance of common stock, net of forfeitures,</w:t>
      </w:r>
    </w:p>
    <w:p>
      <w:pPr>
        <w:ind w:left="60" w:right="560"/>
        <w:spacing w:after="0" w:line="222" w:lineRule="auto"/>
        <w:rPr>
          <w:sz w:val="20"/>
          <w:szCs w:val="20"/>
          <w:color w:val="auto"/>
        </w:rPr>
      </w:pPr>
      <w:r>
        <w:rPr>
          <w:rFonts w:ascii="Times New Roman" w:cs="Times New Roman" w:eastAsia="Times New Roman" w:hAnsi="Times New Roman"/>
          <w:sz w:val="14"/>
          <w:szCs w:val="14"/>
          <w:color w:val="auto"/>
        </w:rPr>
        <w:t>in connection with share-based payment arrangements</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 repurchases</w:t>
      </w:r>
    </w:p>
    <w:p>
      <w:pPr>
        <w:spacing w:after="0" w:line="36" w:lineRule="exact"/>
        <w:rPr>
          <w:sz w:val="20"/>
          <w:szCs w:val="20"/>
          <w:color w:val="auto"/>
        </w:rPr>
      </w:pPr>
    </w:p>
    <w:p>
      <w:pPr>
        <w:ind w:left="60" w:right="40"/>
        <w:spacing w:after="0" w:line="245" w:lineRule="auto"/>
        <w:rPr>
          <w:sz w:val="20"/>
          <w:szCs w:val="20"/>
          <w:color w:val="auto"/>
        </w:rPr>
      </w:pPr>
      <w:r>
        <w:rPr>
          <w:rFonts w:ascii="Times New Roman" w:cs="Times New Roman" w:eastAsia="Times New Roman" w:hAnsi="Times New Roman"/>
          <w:sz w:val="14"/>
          <w:szCs w:val="14"/>
          <w:color w:val="auto"/>
        </w:rPr>
        <w:t>Repurchase of common stock associated with net share settlement of employee share-based awards</w:t>
      </w:r>
    </w:p>
    <w:p>
      <w:pPr>
        <w:ind w:left="60" w:right="1180"/>
        <w:spacing w:after="0" w:line="323" w:lineRule="auto"/>
        <w:rPr>
          <w:sz w:val="20"/>
          <w:szCs w:val="20"/>
          <w:color w:val="auto"/>
        </w:rPr>
      </w:pPr>
      <w:r>
        <w:rPr>
          <w:rFonts w:ascii="Times New Roman" w:cs="Times New Roman" w:eastAsia="Times New Roman" w:hAnsi="Times New Roman"/>
          <w:sz w:val="14"/>
          <w:szCs w:val="14"/>
          <w:color w:val="auto"/>
        </w:rPr>
        <w:t xml:space="preserve">Retirement of common stock </w:t>
      </w:r>
      <w:r>
        <w:rPr>
          <w:rFonts w:ascii="Times New Roman" w:cs="Times New Roman" w:eastAsia="Times New Roman" w:hAnsi="Times New Roman"/>
          <w:sz w:val="14"/>
          <w:szCs w:val="14"/>
          <w:b w:val="1"/>
          <w:bCs w:val="1"/>
          <w:color w:val="auto"/>
        </w:rPr>
        <w:t>Balances, March 31, 2024</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Net income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Change in fair value of cash flow swaps, net</w:t>
      </w:r>
    </w:p>
    <w:p>
      <w:pPr>
        <w:ind w:left="60"/>
        <w:spacing w:after="0" w:line="222" w:lineRule="auto"/>
        <w:rPr>
          <w:sz w:val="20"/>
          <w:szCs w:val="20"/>
          <w:color w:val="auto"/>
        </w:rPr>
      </w:pPr>
      <w:r>
        <w:rPr>
          <w:rFonts w:ascii="Times New Roman" w:cs="Times New Roman" w:eastAsia="Times New Roman" w:hAnsi="Times New Roman"/>
          <w:sz w:val="14"/>
          <w:szCs w:val="14"/>
          <w:color w:val="auto"/>
        </w:rPr>
        <w:t>of reclassification adjustment and $0.1 million tax benefit</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Unrealized loss on changes in fair value of debt</w:t>
      </w:r>
    </w:p>
    <w:p>
      <w:pPr>
        <w:ind w:left="60" w:right="120"/>
        <w:spacing w:after="0" w:line="222" w:lineRule="auto"/>
        <w:rPr>
          <w:sz w:val="20"/>
          <w:szCs w:val="20"/>
          <w:color w:val="auto"/>
        </w:rPr>
      </w:pPr>
      <w:r>
        <w:rPr>
          <w:rFonts w:ascii="Times New Roman" w:cs="Times New Roman" w:eastAsia="Times New Roman" w:hAnsi="Times New Roman"/>
          <w:sz w:val="14"/>
          <w:szCs w:val="14"/>
          <w:color w:val="auto"/>
        </w:rPr>
        <w:t>securities, net of reclassification adjustment and $0.3 million tax benefit</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Issuance of common stock, net of forfeitures,</w:t>
      </w:r>
    </w:p>
    <w:p>
      <w:pPr>
        <w:ind w:left="60" w:right="560"/>
        <w:spacing w:after="0" w:line="222" w:lineRule="auto"/>
        <w:rPr>
          <w:sz w:val="20"/>
          <w:szCs w:val="20"/>
          <w:color w:val="auto"/>
        </w:rPr>
      </w:pPr>
      <w:r>
        <w:rPr>
          <w:rFonts w:ascii="Times New Roman" w:cs="Times New Roman" w:eastAsia="Times New Roman" w:hAnsi="Times New Roman"/>
          <w:sz w:val="14"/>
          <w:szCs w:val="14"/>
          <w:color w:val="auto"/>
        </w:rPr>
        <w:t>in connection with share-based payment arrangements</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 repurchases</w:t>
      </w:r>
    </w:p>
    <w:p>
      <w:pPr>
        <w:spacing w:after="0" w:line="36" w:lineRule="exact"/>
        <w:rPr>
          <w:sz w:val="20"/>
          <w:szCs w:val="20"/>
          <w:color w:val="auto"/>
        </w:rPr>
      </w:pPr>
    </w:p>
    <w:p>
      <w:pPr>
        <w:ind w:left="60" w:right="40"/>
        <w:spacing w:after="0" w:line="245" w:lineRule="auto"/>
        <w:rPr>
          <w:sz w:val="20"/>
          <w:szCs w:val="20"/>
          <w:color w:val="auto"/>
        </w:rPr>
      </w:pPr>
      <w:r>
        <w:rPr>
          <w:rFonts w:ascii="Times New Roman" w:cs="Times New Roman" w:eastAsia="Times New Roman" w:hAnsi="Times New Roman"/>
          <w:sz w:val="14"/>
          <w:szCs w:val="14"/>
          <w:color w:val="auto"/>
        </w:rPr>
        <w:t>Repurchase of common stock associated with net share settlement of employee share-based awards</w:t>
      </w:r>
    </w:p>
    <w:p>
      <w:pPr>
        <w:ind w:left="60" w:right="1180"/>
        <w:spacing w:after="0" w:line="346" w:lineRule="auto"/>
        <w:rPr>
          <w:sz w:val="20"/>
          <w:szCs w:val="20"/>
          <w:color w:val="auto"/>
        </w:rPr>
      </w:pPr>
      <w:r>
        <w:rPr>
          <w:rFonts w:ascii="Times New Roman" w:cs="Times New Roman" w:eastAsia="Times New Roman" w:hAnsi="Times New Roman"/>
          <w:sz w:val="14"/>
          <w:szCs w:val="14"/>
          <w:color w:val="auto"/>
        </w:rPr>
        <w:t xml:space="preserve">Retirement of common stock </w:t>
      </w:r>
      <w:r>
        <w:rPr>
          <w:rFonts w:ascii="Times New Roman" w:cs="Times New Roman" w:eastAsia="Times New Roman" w:hAnsi="Times New Roman"/>
          <w:sz w:val="14"/>
          <w:szCs w:val="14"/>
          <w:b w:val="1"/>
          <w:bCs w:val="1"/>
          <w:color w:val="auto"/>
        </w:rPr>
        <w:t>Balances,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0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40" w:type="dxa"/>
            <w:vAlign w:val="bottom"/>
          </w:tcPr>
          <w:p>
            <w:pPr>
              <w:spacing w:after="0"/>
              <w:rPr>
                <w:sz w:val="14"/>
                <w:szCs w:val="14"/>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restart"/>
          </w:tcPr>
          <w:p>
            <w:pPr>
              <w:jc w:val="right"/>
              <w:ind w:right="210"/>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5"/>
                <w:szCs w:val="5"/>
                <w:color w:val="auto"/>
              </w:rPr>
            </w:pPr>
          </w:p>
        </w:tc>
        <w:tc>
          <w:tcPr>
            <w:tcW w:w="880" w:type="dxa"/>
            <w:vAlign w:val="bottom"/>
            <w:vMerge w:val="restart"/>
          </w:tcPr>
          <w:p>
            <w:pPr>
              <w:jc w:val="right"/>
              <w:ind w:right="230"/>
              <w:spacing w:after="0" w:line="119"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vMerge w:val="restart"/>
          </w:tcPr>
          <w:p>
            <w:pPr>
              <w:jc w:val="center"/>
              <w:ind w:right="11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10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2"/>
                <w:szCs w:val="2"/>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2"/>
        </w:trPr>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42,352,001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1,288.4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2,961.5</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22,018,537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3,244.1</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147.1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147.1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0" w:type="dxa"/>
            <w:vAlign w:val="bottom"/>
          </w:tcPr>
          <w:p>
            <w:pPr>
              <w:spacing w:after="0"/>
              <w:rPr>
                <w:sz w:val="1"/>
                <w:szCs w:val="1"/>
                <w:color w:val="auto"/>
              </w:rPr>
            </w:pPr>
          </w:p>
        </w:tc>
      </w:tr>
      <w:tr>
        <w:trPr>
          <w:trHeight w:val="188"/>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123,845</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239,790</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2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329"/>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45,399</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7"/>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(239,790)</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(47.1)</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(239,790)</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42,236,056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1,296.1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3,061.5</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22,063,936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3,346.9</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88"/>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841</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192,599</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329"/>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262</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7"/>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(192,599)</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(40.9)</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(192,599)</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2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42,044,298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1,299.5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3,048.7</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22,064,198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64.7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3,330.7</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-4210685</wp:posOffset>
            </wp:positionV>
            <wp:extent cx="7077075" cy="150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7075" cy="1504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-3935095</wp:posOffset>
            </wp:positionV>
            <wp:extent cx="7077075" cy="125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-3509010</wp:posOffset>
            </wp:positionV>
            <wp:extent cx="7077075" cy="300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7075" cy="30099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-3074035</wp:posOffset>
            </wp:positionV>
            <wp:extent cx="7077075" cy="125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-2647950</wp:posOffset>
            </wp:positionV>
            <wp:extent cx="7077075" cy="125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-2313940</wp:posOffset>
            </wp:positionV>
            <wp:extent cx="7077075" cy="125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-2038350</wp:posOffset>
            </wp:positionV>
            <wp:extent cx="7077075" cy="125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-1787525</wp:posOffset>
            </wp:positionV>
            <wp:extent cx="7077075" cy="300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7075" cy="30099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-1186180</wp:posOffset>
            </wp:positionV>
            <wp:extent cx="7077075" cy="133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7075" cy="13398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-927100</wp:posOffset>
            </wp:positionV>
            <wp:extent cx="7077075" cy="300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77075" cy="30099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-501015</wp:posOffset>
            </wp:positionV>
            <wp:extent cx="7077075" cy="208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77075" cy="20891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-166370</wp:posOffset>
            </wp:positionV>
            <wp:extent cx="7077075" cy="150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77075" cy="150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120"/>
            <w:col w:w="8200"/>
          </w:cols>
          <w:pgMar w:left="320" w:top="11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4"/>
        </w:trPr>
        <w:tc>
          <w:tcPr>
            <w:tcW w:w="89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FLOW FROM OPERATING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Loaner vehicle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divestitures,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right-of-use asset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adjustments,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 and divestitures—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Contracts-in-transit,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Floor plan notes payable—trade,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4"/>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assets and liabilities,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expenditures—excluding real estate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expenditures—real estate</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previously leased real estate</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dealership divestitures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debt securities—available-for-sale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the sale of debt securities—available-for-sale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7"/>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Floor plan borrowings—non-trade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4,834.1</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Floor plan repayments—non-trade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(5,081.3)</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Floor plan repayments—divestitures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revolving credit facility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171"/>
        </w:trPr>
        <w:tc>
          <w:tcPr>
            <w:tcW w:w="890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Repurchases of common stock, associated with net share settlements of</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44"/>
        </w:trPr>
        <w:tc>
          <w:tcPr>
            <w:tcW w:w="89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share-based awards</w:t>
            </w:r>
          </w:p>
        </w:tc>
        <w:tc>
          <w:tcPr>
            <w:tcW w:w="26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8900" w:type="dxa"/>
            <w:vAlign w:val="bottom"/>
            <w:vMerge w:val="continue"/>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4"/>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42"/>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 11 "Supplemental Cash Flow Information" for further details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jc w:val="center"/>
        <w:ind w:left="340" w:right="2740"/>
        <w:spacing w:after="0" w:line="263" w:lineRule="auto"/>
        <w:rPr>
          <w:sz w:val="20"/>
          <w:szCs w:val="20"/>
          <w:color w:val="auto"/>
        </w:rPr>
      </w:pPr>
      <w:r>
        <w:rPr>
          <w:rFonts w:ascii="Times New Roman" w:cs="Times New Roman" w:eastAsia="Times New Roman" w:hAnsi="Times New Roman"/>
          <w:sz w:val="18"/>
          <w:szCs w:val="18"/>
          <w:b w:val="1"/>
          <w:bCs w:val="1"/>
          <w:color w:val="auto"/>
        </w:rPr>
        <w:t>ASBURY AUTOMOTIVE GROUP, INC. NOTES TO CONDENSED CONSOLIDATED FINANCIAL STATEMENTS (Unaudited)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SUMMARY OF SIGNIFICANT ACCOUNTING POLICIES</w:t>
      </w:r>
    </w:p>
    <w:p>
      <w:pPr>
        <w:spacing w:after="0" w:line="163" w:lineRule="exact"/>
        <w:rPr>
          <w:sz w:val="20"/>
          <w:szCs w:val="20"/>
          <w:color w:val="auto"/>
        </w:rPr>
      </w:pPr>
    </w:p>
    <w:p>
      <w:pPr>
        <w:ind w:right="200" w:firstLine="276"/>
        <w:spacing w:after="0" w:line="268" w:lineRule="auto"/>
        <w:rPr>
          <w:sz w:val="20"/>
          <w:szCs w:val="20"/>
          <w:color w:val="auto"/>
        </w:rPr>
      </w:pPr>
      <w:r>
        <w:rPr>
          <w:rFonts w:ascii="Times New Roman" w:cs="Times New Roman" w:eastAsia="Times New Roman" w:hAnsi="Times New Roman"/>
          <w:sz w:val="18"/>
          <w:szCs w:val="18"/>
          <w:color w:val="auto"/>
        </w:rPr>
        <w:t>Asbury Automotive Group, Inc. ("Asbury" or the "Company"), a Delaware corporation organized in 2002, is one of the largest automotive retailers in the United States. Our store operations are conducted by our subsidiaries.</w:t>
      </w:r>
    </w:p>
    <w:p>
      <w:pPr>
        <w:spacing w:after="0" w:line="117" w:lineRule="exact"/>
        <w:rPr>
          <w:sz w:val="20"/>
          <w:szCs w:val="20"/>
          <w:color w:val="auto"/>
        </w:rPr>
      </w:pPr>
    </w:p>
    <w:p>
      <w:pPr>
        <w:ind w:right="40" w:firstLine="276"/>
        <w:spacing w:after="0" w:line="248" w:lineRule="auto"/>
        <w:rPr>
          <w:sz w:val="20"/>
          <w:szCs w:val="20"/>
          <w:color w:val="auto"/>
        </w:rPr>
      </w:pPr>
      <w:r>
        <w:rPr>
          <w:rFonts w:ascii="Times New Roman" w:cs="Times New Roman" w:eastAsia="Times New Roman" w:hAnsi="Times New Roman"/>
          <w:sz w:val="18"/>
          <w:szCs w:val="18"/>
          <w:color w:val="auto"/>
        </w:rPr>
        <w:t>As of June 30, 2025, we owned and operated 189 new vehicle franchises (146 dealership locations), representing 31 brands of automobiles and 37 collision centers in 13 states. For the six months ended June 30, 2025, our new vehicle revenue brand mix consisted of 30% luxury, 40% imports and 30% domestic brands. Our stores offer an extensive range of automotive products and services, including new and used vehicles; parts and service, which includes repair and maintenance services, replacement parts and collision repair services (collectively referred to as "parts and services" or "P&amp;S"); and finance and insurance ("F&amp;I") products, including arranging vehicle financing through third parties and aftermarket products, such as extended service contracts, guaranteed asset protection ("GAP") debt cancellation and prepaid maintenance. The F&amp;I products are provided by Total Care Auto, Powered by Landcar ("TCA") and independent third parties. The Company reflects its operations in two reportable segments: Dealerships and TCA.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3" w:lineRule="exact"/>
        <w:rPr>
          <w:sz w:val="20"/>
          <w:szCs w:val="20"/>
          <w:color w:val="auto"/>
        </w:rPr>
      </w:pPr>
    </w:p>
    <w:p>
      <w:pPr>
        <w:ind w:right="140" w:firstLine="276"/>
        <w:spacing w:after="0" w:line="25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("GAAP"), and reflect the consolidated accounts of the Company and our wholly owned subsidiaries. All intercompany transactions have been eliminated in consolidation. If necessary, reclassifications of amounts previously reported have been made to the accompanying condensed consolidated financial statements in order to conform to current presentation.</w:t>
      </w:r>
    </w:p>
    <w:p>
      <w:pPr>
        <w:spacing w:after="0" w:line="131" w:lineRule="exact"/>
        <w:rPr>
          <w:sz w:val="20"/>
          <w:szCs w:val="20"/>
          <w:color w:val="auto"/>
        </w:rPr>
      </w:pPr>
    </w:p>
    <w:p>
      <w:pPr>
        <w:ind w:firstLine="276"/>
        <w:spacing w:after="0" w:line="252"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statement of the condensed consolidated financial statements as of June 30, 2025, and for the three and six months ended June 30, 2025 and 2024, have been included, unless otherwise indicated. Amounts presented in the condensed consolidated financial statements have been calculated using non-rounded amounts for all periods presented and therefore certain amounts may not compute.</w:t>
      </w:r>
    </w:p>
    <w:p>
      <w:pPr>
        <w:spacing w:after="0" w:line="131" w:lineRule="exact"/>
        <w:rPr>
          <w:sz w:val="20"/>
          <w:szCs w:val="20"/>
          <w:color w:val="auto"/>
        </w:rPr>
      </w:pPr>
    </w:p>
    <w:p>
      <w:pPr>
        <w:ind w:right="220" w:firstLine="276"/>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2025 are not necessarily indicative of the results that may be expected for any other interim period, or any full year period. Our condensed consolidated financial statements should be read together with our audited consolidated financial statements contained in our Annual Report on Form 10-K for the year ended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3" w:lineRule="exact"/>
        <w:rPr>
          <w:sz w:val="20"/>
          <w:szCs w:val="20"/>
          <w:color w:val="auto"/>
        </w:rPr>
      </w:pPr>
    </w:p>
    <w:p>
      <w:pPr>
        <w:ind w:firstLine="276"/>
        <w:spacing w:after="0" w:line="24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periods presented. Actual results could differ materially from these estimates. Estimates and assumptions are reviewed quarterly and the effects of any revisions are reflected in the consolidated financial statements in the period they are determined to be necessary. Estimates made in the accompanying condensed consolidated financial statements include, but are not limited to, those relating to inventory valuation reserves, reserves for chargebacks against revenue recognized from the sale of F&amp;I products, reserves for self-insurance programs, and certain assumptions related to goodwill and dealership franchise rights intangible assets.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63" w:lineRule="exact"/>
        <w:rPr>
          <w:sz w:val="20"/>
          <w:szCs w:val="20"/>
          <w:color w:val="auto"/>
        </w:rPr>
      </w:pPr>
    </w:p>
    <w:p>
      <w:pPr>
        <w:ind w:right="260" w:firstLine="237"/>
        <w:spacing w:after="0" w:line="252" w:lineRule="auto"/>
        <w:rPr>
          <w:sz w:val="20"/>
          <w:szCs w:val="20"/>
          <w:color w:val="auto"/>
        </w:rPr>
      </w:pPr>
      <w:r>
        <w:rPr>
          <w:rFonts w:ascii="Times New Roman" w:cs="Times New Roman" w:eastAsia="Times New Roman" w:hAnsi="Times New Roman"/>
          <w:sz w:val="18"/>
          <w:szCs w:val="18"/>
          <w:color w:val="auto"/>
        </w:rPr>
        <w:t>Share repurchases may be made from time-to-time in open market transactions or through privately negotiated transactions under the authorization approved by the Board of Directors. Periodically, the Company may retire repurchased shares of common stock previously held by the Company as treasury stock. In accordance with our accounting policy, we allocate any excess share repurchase price over par value between additional paid-in capital, which is limited to amounts initially recorded for the same issue, and retained earnings.</w:t>
      </w:r>
    </w:p>
    <w:p>
      <w:pPr>
        <w:spacing w:after="0" w:line="131" w:lineRule="exact"/>
        <w:rPr>
          <w:sz w:val="20"/>
          <w:szCs w:val="20"/>
          <w:color w:val="auto"/>
        </w:rPr>
      </w:pPr>
    </w:p>
    <w:p>
      <w:pPr>
        <w:ind w:right="60" w:firstLine="237"/>
        <w:spacing w:after="0" w:line="256" w:lineRule="auto"/>
        <w:rPr>
          <w:sz w:val="20"/>
          <w:szCs w:val="20"/>
          <w:color w:val="auto"/>
        </w:rPr>
      </w:pPr>
      <w:r>
        <w:rPr>
          <w:rFonts w:ascii="Times New Roman" w:cs="Times New Roman" w:eastAsia="Times New Roman" w:hAnsi="Times New Roman"/>
          <w:sz w:val="18"/>
          <w:szCs w:val="18"/>
          <w:color w:val="auto"/>
        </w:rPr>
        <w:t>There were no share repurchases or retirements during the three and six months ended June 30, 2025. During the three and six months ended June 30, 2024, the Company repurchased and retired 192,599 and 432,389 shares of our common stock under our share repurchase program, respectively. The cash paid for these share repurchases was $93.2 million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firstLine="237"/>
        <w:spacing w:after="0" w:line="252" w:lineRule="auto"/>
        <w:rPr>
          <w:sz w:val="20"/>
          <w:szCs w:val="20"/>
          <w:color w:val="auto"/>
        </w:rPr>
      </w:pPr>
      <w:r>
        <w:rPr>
          <w:rFonts w:ascii="Times New Roman" w:cs="Times New Roman" w:eastAsia="Times New Roman" w:hAnsi="Times New Roman"/>
          <w:sz w:val="18"/>
          <w:szCs w:val="18"/>
          <w:color w:val="auto"/>
        </w:rPr>
        <w:t>On May 15, 2024, the Company announced that its Board of Directors approved an increase of $256.2 million in the Company's common share repurchase authorization to $400.0 million (the "New Share Repurchase Authorization"). As of June 30, 2025, the Company had $275.9 million remaining on its share repurchase authorization. The share repurchase authorization does not require the Company to repurchase any specific number of shares, and may be modified, suspended, or terminated at any time without further notice.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63" w:lineRule="exact"/>
        <w:rPr>
          <w:sz w:val="20"/>
          <w:szCs w:val="20"/>
          <w:color w:val="auto"/>
        </w:rPr>
      </w:pPr>
    </w:p>
    <w:p>
      <w:pPr>
        <w:ind w:right="60" w:firstLine="237"/>
        <w:spacing w:after="0" w:line="247"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common shares outstanding during the period. Diluted earnings per share is computed by dividing net income by the weighted-average common shares and common share equivalents outstanding during the period. The Company excluded 7,829 and 145 restricted share units and 11 and no performance share units issued under the Asbury Automotive Group, Inc. 2019 Equity and Incentive Compensation Plan from its computation of diluted earnings per share for the three months ended June 30, 2025 and 2024, respectively, because they were anti-dilutive. During the six months ended June 30, 2025 and 2024, the Company excluded 7,630 and 2,865 restricted share units and 14 and 23 performance share units issued under the Asbury Automotive Group, Inc. 2019 Equity and Incentive Compensation Plan from its computation of diluted earnings per share, respectively, because they were anti-dilutive. For all periods presented, there were no adjustments to the numerator necessary to compute diluted earnings per share.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1" w:lineRule="exact"/>
        <w:rPr>
          <w:sz w:val="20"/>
          <w:szCs w:val="20"/>
          <w:color w:val="auto"/>
        </w:rPr>
      </w:pPr>
    </w:p>
    <w:p>
      <w:pPr>
        <w:ind w:right="20" w:firstLine="237"/>
        <w:spacing w:after="0" w:line="250" w:lineRule="auto"/>
        <w:rPr>
          <w:sz w:val="20"/>
          <w:szCs w:val="20"/>
          <w:color w:val="auto"/>
        </w:rPr>
      </w:pPr>
      <w:r>
        <w:rPr>
          <w:rFonts w:ascii="Times New Roman" w:cs="Times New Roman" w:eastAsia="Times New Roman" w:hAnsi="Times New Roman"/>
          <w:sz w:val="18"/>
          <w:szCs w:val="18"/>
          <w:color w:val="auto"/>
        </w:rPr>
        <w:t xml:space="preserve">The Financial Accounting Standards Board ("FASB") issued Accounting Standards Update ("ASU") 2024-03, </w:t>
      </w:r>
      <w:r>
        <w:rPr>
          <w:rFonts w:ascii="Times New Roman" w:cs="Times New Roman" w:eastAsia="Times New Roman" w:hAnsi="Times New Roman"/>
          <w:sz w:val="18"/>
          <w:szCs w:val="18"/>
          <w:i w:val="1"/>
          <w:iCs w:val="1"/>
          <w:color w:val="auto"/>
        </w:rPr>
        <w:t>Disaggregation –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in November 2024, which requires additional disclosure of the nature of expenses included in the income statement. The new standard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specific types of expenses included in the expense captions presented on the face of the income statement as well as disclosures about selling expenses. The guidance is effective for annual periods beginning after December 15, 2026 and should be applied prospectively with the option of retrospective application. We are evaluating the impact of this new guidance on our consolidated financial statements.</w:t>
      </w:r>
    </w:p>
    <w:p>
      <w:pPr>
        <w:spacing w:after="0" w:line="133" w:lineRule="exact"/>
        <w:rPr>
          <w:sz w:val="20"/>
          <w:szCs w:val="20"/>
          <w:color w:val="auto"/>
        </w:rPr>
      </w:pPr>
    </w:p>
    <w:p>
      <w:pPr>
        <w:ind w:right="220" w:firstLine="276"/>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final guidance in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primarily expands the disclosures related to the effective tax rate reconciliation and income taxes paid. The guidance is effective for annual periods beginning after December 15, 2024 and should be applied prospectively with the option of retrospective application. We do not expect the adoption of this accounting standard to have a significant impact on our consolidated financial statements, but it will require certain additional disclosures.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0" w:right="8820" w:hanging="235"/>
        <w:spacing w:after="0" w:line="481" w:lineRule="auto"/>
        <w:tabs>
          <w:tab w:leader="none" w:pos="178"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REVENUE RECOGNITION </w:t>
      </w:r>
      <w:r>
        <w:rPr>
          <w:rFonts w:ascii="Times New Roman" w:cs="Times New Roman" w:eastAsia="Times New Roman" w:hAnsi="Times New Roman"/>
          <w:sz w:val="16"/>
          <w:szCs w:val="16"/>
          <w:i w:val="1"/>
          <w:iCs w:val="1"/>
          <w:color w:val="auto"/>
        </w:rPr>
        <w:t>Disaggregation of Revenue</w:t>
      </w:r>
    </w:p>
    <w:p>
      <w:pPr>
        <w:spacing w:after="0" w:line="1"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Revenue from contracts with customers consists of the following:</w:t>
      </w:r>
    </w:p>
    <w:p>
      <w:pPr>
        <w:spacing w:after="0" w:line="256"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8300" w:type="dxa"/>
            <w:vAlign w:val="bottom"/>
          </w:tcPr>
          <w:p>
            <w:pPr>
              <w:spacing w:after="0"/>
              <w:rPr>
                <w:sz w:val="18"/>
                <w:szCs w:val="18"/>
                <w:color w:val="auto"/>
              </w:rPr>
            </w:pPr>
          </w:p>
        </w:tc>
        <w:tc>
          <w:tcPr>
            <w:tcW w:w="26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 June 30,</w:t>
            </w:r>
          </w:p>
        </w:tc>
      </w:tr>
      <w:tr>
        <w:trPr>
          <w:trHeight w:val="205"/>
        </w:trPr>
        <w:tc>
          <w:tcPr>
            <w:tcW w:w="8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4"/>
        </w:trPr>
        <w:tc>
          <w:tcPr>
            <w:tcW w:w="8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40" w:type="dxa"/>
            <w:vAlign w:val="bottom"/>
          </w:tcPr>
          <w:p>
            <w:pPr>
              <w:spacing w:after="0"/>
              <w:rPr>
                <w:sz w:val="17"/>
                <w:szCs w:val="17"/>
                <w:color w:val="auto"/>
              </w:rPr>
            </w:pPr>
          </w:p>
        </w:tc>
      </w:tr>
      <w:tr>
        <w:trPr>
          <w:trHeight w:val="22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4"/>
        </w:trPr>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vehicle</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2,303.9</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2,164.9</w:t>
            </w:r>
          </w:p>
        </w:tc>
      </w:tr>
      <w:tr>
        <w:trPr>
          <w:trHeight w:val="224"/>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Used vehicle retail</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w:t>
            </w:r>
          </w:p>
        </w:tc>
      </w:tr>
      <w:tr>
        <w:trPr>
          <w:trHeight w:val="224"/>
        </w:trPr>
        <w:tc>
          <w:tcPr>
            <w:tcW w:w="83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Used vehicle wholesale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17"/>
        </w:trPr>
        <w:tc>
          <w:tcPr>
            <w:tcW w:w="8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 and used vehicle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3,472.9</w:t>
            </w:r>
          </w:p>
        </w:tc>
      </w:tr>
      <w:tr>
        <w:trPr>
          <w:trHeight w:val="224"/>
        </w:trPr>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vehicle parts and accessories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24"/>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Vehicle repair and maintenance services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17"/>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Parts and services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r>
      <w:tr>
        <w:trPr>
          <w:trHeight w:val="224"/>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1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4,373.1</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4,246.2</w:t>
            </w:r>
          </w:p>
        </w:tc>
      </w:tr>
      <w:tr>
        <w:trPr>
          <w:trHeight w:val="20"/>
        </w:trPr>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477"/>
        </w:trPr>
        <w:tc>
          <w:tcPr>
            <w:tcW w:w="8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8"/>
              </w:rPr>
              <w:t>For the Six Months Ended June 30,</w:t>
            </w:r>
          </w:p>
        </w:tc>
      </w:tr>
      <w:tr>
        <w:trPr>
          <w:trHeight w:val="205"/>
        </w:trPr>
        <w:tc>
          <w:tcPr>
            <w:tcW w:w="8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4"/>
        </w:trPr>
        <w:tc>
          <w:tcPr>
            <w:tcW w:w="8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40" w:type="dxa"/>
            <w:vAlign w:val="bottom"/>
          </w:tcPr>
          <w:p>
            <w:pPr>
              <w:spacing w:after="0"/>
              <w:rPr>
                <w:sz w:val="17"/>
                <w:szCs w:val="17"/>
                <w:color w:val="auto"/>
              </w:rPr>
            </w:pPr>
          </w:p>
        </w:tc>
      </w:tr>
      <w:tr>
        <w:trPr>
          <w:trHeight w:val="22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4"/>
        </w:trPr>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vehicle</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4,442.0</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4,229.1</w:t>
            </w:r>
          </w:p>
        </w:tc>
      </w:tr>
      <w:tr>
        <w:trPr>
          <w:trHeight w:val="224"/>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Used vehicle retail</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w:t>
            </w:r>
          </w:p>
        </w:tc>
      </w:tr>
      <w:tr>
        <w:trPr>
          <w:trHeight w:val="224"/>
        </w:trPr>
        <w:tc>
          <w:tcPr>
            <w:tcW w:w="83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Used vehicle wholesale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w:t>
            </w:r>
          </w:p>
        </w:tc>
      </w:tr>
      <w:tr>
        <w:trPr>
          <w:trHeight w:val="217"/>
        </w:trPr>
        <w:tc>
          <w:tcPr>
            <w:tcW w:w="8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 and used vehicle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6,894.1</w:t>
            </w:r>
          </w:p>
        </w:tc>
      </w:tr>
      <w:tr>
        <w:trPr>
          <w:trHeight w:val="224"/>
        </w:trPr>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vehicle parts and accessories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24"/>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Vehicle repair and maintenance services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r>
      <w:tr>
        <w:trPr>
          <w:trHeight w:val="217"/>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Parts and service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w:t>
            </w:r>
          </w:p>
        </w:tc>
      </w:tr>
      <w:tr>
        <w:trPr>
          <w:trHeight w:val="224"/>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r>
      <w:tr>
        <w:trPr>
          <w:trHeight w:val="21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8,447.4</w:t>
            </w:r>
          </w:p>
        </w:tc>
      </w:tr>
      <w:tr>
        <w:trPr>
          <w:trHeight w:val="20"/>
        </w:trPr>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63" w:lineRule="exact"/>
        <w:rPr>
          <w:sz w:val="20"/>
          <w:szCs w:val="20"/>
          <w:color w:val="auto"/>
        </w:rPr>
      </w:pPr>
    </w:p>
    <w:p>
      <w:pPr>
        <w:ind w:right="380" w:firstLine="316"/>
        <w:spacing w:after="0" w:line="252" w:lineRule="auto"/>
        <w:rPr>
          <w:sz w:val="20"/>
          <w:szCs w:val="20"/>
          <w:color w:val="auto"/>
        </w:rPr>
      </w:pPr>
      <w:r>
        <w:rPr>
          <w:rFonts w:ascii="Times New Roman" w:cs="Times New Roman" w:eastAsia="Times New Roman" w:hAnsi="Times New Roman"/>
          <w:sz w:val="18"/>
          <w:szCs w:val="18"/>
          <w:color w:val="auto"/>
        </w:rPr>
        <w:t>Changes in contract assets during the period are reflected in the table below. Contract assets related to vehicle repair and maintenance services are transferred to receivables when a repair order is completed and invoiced to the customer. Certain incremental sales commissions payable to obtain an F&amp;I revenue contract with a customer have been capitalized and are amortized using the same pattern of recognition applicable to the associated F&amp;I revenue contract.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620" w:type="dxa"/>
        <w:tblCellMar>
          <w:top w:w="0" w:type="dxa"/>
          <w:left w:w="0" w:type="dxa"/>
          <w:bottom w:w="0" w:type="dxa"/>
          <w:right w:w="0" w:type="dxa"/>
        </w:tblCellMar>
      </w:tblPr>
      <w:tr>
        <w:trPr>
          <w:trHeight w:val="184"/>
        </w:trPr>
        <w:tc>
          <w:tcPr>
            <w:tcW w:w="184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7"/>
              </w:rPr>
              <w:t>Vehicle Repair and</w:t>
            </w:r>
          </w:p>
        </w:tc>
        <w:tc>
          <w:tcPr>
            <w:tcW w:w="1920" w:type="dxa"/>
            <w:vAlign w:val="bottom"/>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7"/>
              </w:rPr>
              <w:t>Finance and</w:t>
            </w:r>
          </w:p>
        </w:tc>
        <w:tc>
          <w:tcPr>
            <w:tcW w:w="1500" w:type="dxa"/>
            <w:vAlign w:val="bottom"/>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w w:val="97"/>
              </w:rPr>
              <w:t>Deferred Sales</w:t>
            </w:r>
          </w:p>
        </w:tc>
        <w:tc>
          <w:tcPr>
            <w:tcW w:w="13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8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Maintenance Services</w:t>
            </w:r>
          </w:p>
        </w:tc>
        <w:tc>
          <w:tcPr>
            <w:tcW w:w="1920" w:type="dxa"/>
            <w:vAlign w:val="bottom"/>
            <w:tcBorders>
              <w:bottom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rPr>
              <w:t>Insurance, net</w:t>
            </w:r>
          </w:p>
        </w:tc>
        <w:tc>
          <w:tcPr>
            <w:tcW w:w="150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w w:val="99"/>
              </w:rPr>
              <w:t>Commissions</w:t>
            </w: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920" w:type="dxa"/>
            <w:vAlign w:val="bottom"/>
          </w:tcPr>
          <w:p>
            <w:pPr>
              <w:ind w:left="10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ind w:left="20"/>
        <w:spacing w:after="0"/>
        <w:tabs>
          <w:tab w:leader="none" w:pos="4600" w:val="left"/>
        </w:tabs>
        <w:rPr>
          <w:sz w:val="20"/>
          <w:szCs w:val="20"/>
          <w:color w:val="auto"/>
        </w:rPr>
      </w:pPr>
      <w:r>
        <w:rPr>
          <w:rFonts w:ascii="Times New Roman" w:cs="Times New Roman" w:eastAsia="Times New Roman" w:hAnsi="Times New Roman"/>
          <w:sz w:val="18"/>
          <w:szCs w:val="18"/>
          <w:color w:val="auto"/>
        </w:rPr>
        <w:t>Contract Assets, January 1, 2025</w:t>
      </w:r>
      <w:r>
        <w:rPr>
          <w:sz w:val="20"/>
          <w:szCs w:val="20"/>
          <w:color w:val="auto"/>
        </w:rPr>
        <w:tab/>
      </w:r>
      <w:r>
        <w:rPr>
          <w:rFonts w:ascii="Times New Roman" w:cs="Times New Roman" w:eastAsia="Times New Roman" w:hAnsi="Times New Roman"/>
          <w:sz w:val="18"/>
          <w:szCs w:val="18"/>
          <w:color w:val="auto"/>
        </w:rPr>
        <w:t>$</w:t>
      </w:r>
    </w:p>
    <w:p>
      <w:pPr>
        <w:spacing w:after="0" w:line="18" w:lineRule="exact"/>
        <w:rPr>
          <w:sz w:val="20"/>
          <w:szCs w:val="20"/>
          <w:color w:val="auto"/>
        </w:rPr>
      </w:pPr>
    </w:p>
    <w:p>
      <w:pPr>
        <w:ind w:left="220" w:right="660"/>
        <w:spacing w:after="0" w:line="228" w:lineRule="auto"/>
        <w:rPr>
          <w:sz w:val="20"/>
          <w:szCs w:val="20"/>
          <w:color w:val="auto"/>
        </w:rPr>
      </w:pPr>
      <w:r>
        <w:rPr>
          <w:rFonts w:ascii="Times New Roman" w:cs="Times New Roman" w:eastAsia="Times New Roman" w:hAnsi="Times New Roman"/>
          <w:sz w:val="18"/>
          <w:szCs w:val="18"/>
          <w:color w:val="auto"/>
        </w:rPr>
        <w:t>Transferred to receivables from contract assets recognized at the beginning of the period</w:t>
      </w:r>
    </w:p>
    <w:p>
      <w:pPr>
        <w:spacing w:after="0" w:line="10" w:lineRule="exact"/>
        <w:rPr>
          <w:sz w:val="20"/>
          <w:szCs w:val="20"/>
          <w:color w:val="auto"/>
        </w:rPr>
      </w:pPr>
    </w:p>
    <w:p>
      <w:pPr>
        <w:ind w:left="220" w:right="900"/>
        <w:spacing w:after="0" w:line="231" w:lineRule="auto"/>
        <w:rPr>
          <w:sz w:val="20"/>
          <w:szCs w:val="20"/>
          <w:color w:val="auto"/>
        </w:rPr>
      </w:pPr>
      <w:r>
        <w:rPr>
          <w:rFonts w:ascii="Times New Roman" w:cs="Times New Roman" w:eastAsia="Times New Roman" w:hAnsi="Times New Roman"/>
          <w:sz w:val="18"/>
          <w:szCs w:val="18"/>
          <w:color w:val="auto"/>
        </w:rPr>
        <w:t>Amortization of costs incurred to obtain a contract with a customer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Costs incurred to obtain a contract with a customer</w:t>
      </w:r>
    </w:p>
    <w:p>
      <w:pPr>
        <w:spacing w:after="0" w:line="21" w:lineRule="exact"/>
        <w:rPr>
          <w:sz w:val="20"/>
          <w:szCs w:val="20"/>
          <w:color w:val="auto"/>
        </w:rPr>
      </w:pPr>
    </w:p>
    <w:p>
      <w:pPr>
        <w:ind w:left="220" w:right="1240"/>
        <w:spacing w:after="0" w:line="228" w:lineRule="auto"/>
        <w:rPr>
          <w:sz w:val="20"/>
          <w:szCs w:val="20"/>
          <w:color w:val="auto"/>
        </w:rPr>
      </w:pPr>
      <w:r>
        <w:rPr>
          <w:rFonts w:ascii="Times New Roman" w:cs="Times New Roman" w:eastAsia="Times New Roman" w:hAnsi="Times New Roman"/>
          <w:sz w:val="18"/>
          <w:szCs w:val="18"/>
          <w:color w:val="auto"/>
        </w:rPr>
        <w:t>Increases related to revenue recognized, inclusive of adjustments to constraint, during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w:t>
            </w:r>
          </w:p>
        </w:tc>
        <w:tc>
          <w:tcPr>
            <w:tcW w:w="7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7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90.1</w:t>
            </w:r>
          </w:p>
        </w:tc>
        <w:tc>
          <w:tcPr>
            <w:tcW w:w="5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405"/>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(17.8)</w:t>
            </w:r>
          </w:p>
        </w:tc>
        <w:tc>
          <w:tcPr>
            <w:tcW w:w="7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403"/>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8"/>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408"/>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72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-1060450</wp:posOffset>
            </wp:positionV>
            <wp:extent cx="7135495" cy="142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-659130</wp:posOffset>
            </wp:positionV>
            <wp:extent cx="7135495" cy="259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25908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-257810</wp:posOffset>
            </wp:positionV>
            <wp:extent cx="7135495" cy="259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40" w:space="720"/>
            <w:col w:w="538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March 31, 2025</w:t>
            </w:r>
          </w:p>
        </w:tc>
        <w:tc>
          <w:tcPr>
            <w:tcW w:w="6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4"/>
        </w:trPr>
        <w:tc>
          <w:tcPr>
            <w:tcW w:w="46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224"/>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 (current), March 31, 2025</w:t>
            </w:r>
          </w:p>
        </w:tc>
        <w:tc>
          <w:tcPr>
            <w:tcW w:w="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1"/>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Assets (long-term), March 31, 2025</w:t>
            </w: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4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1"/>
        </w:trPr>
        <w:tc>
          <w:tcPr>
            <w:tcW w:w="462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Transferred to receivables from contract assets recognized at</w:t>
            </w:r>
          </w:p>
        </w:tc>
        <w:tc>
          <w:tcPr>
            <w:tcW w:w="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7"/>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beginning of the period</w:t>
            </w: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4"/>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costs to obtain a contract with a customer</w:t>
            </w:r>
          </w:p>
        </w:tc>
        <w:tc>
          <w:tcPr>
            <w:tcW w:w="6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4"/>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Costs incurred to obtain a contract with a customer</w:t>
            </w:r>
          </w:p>
        </w:tc>
        <w:tc>
          <w:tcPr>
            <w:tcW w:w="6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171"/>
        </w:trPr>
        <w:tc>
          <w:tcPr>
            <w:tcW w:w="462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Increases related to revenue recognized, inclusive of</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7"/>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constraint, during the period</w:t>
            </w: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June 30, 2025</w:t>
            </w:r>
          </w:p>
        </w:tc>
        <w:tc>
          <w:tcPr>
            <w:tcW w:w="66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4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49"/>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Assets (current), June 30, 2025</w:t>
            </w: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196"/>
        </w:trPr>
        <w:tc>
          <w:tcPr>
            <w:tcW w:w="4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Contract Assets (long-term), June 30, 2025</w:t>
            </w:r>
          </w:p>
        </w:tc>
        <w:tc>
          <w:tcPr>
            <w:tcW w:w="660" w:type="dxa"/>
            <w:vAlign w:val="bottom"/>
            <w:tcBorders>
              <w:top w:val="single" w:sz="8" w:color="auto"/>
              <w:bottom w:val="single" w:sz="8" w:color="auto"/>
            </w:tcBorders>
          </w:tcPr>
          <w:p>
            <w:pPr>
              <w:jc w:val="right"/>
              <w:ind w:right="4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74.0</w:t>
            </w:r>
          </w:p>
        </w:tc>
      </w:tr>
      <w:tr>
        <w:trPr>
          <w:trHeight w:val="20"/>
        </w:trPr>
        <w:tc>
          <w:tcPr>
            <w:tcW w:w="4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63" w:lineRule="exact"/>
        <w:rPr>
          <w:sz w:val="20"/>
          <w:szCs w:val="20"/>
          <w:color w:val="auto"/>
        </w:rPr>
      </w:pPr>
    </w:p>
    <w:p>
      <w:pPr>
        <w:jc w:val="both"/>
        <w:ind w:right="320" w:firstLine="316"/>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reflects $796.2 million and $766.0 million of deferred revenue as of June 30, 2025 and December 31, 2024, respectively. Approximately $140.3 million of deferred revenue at December 31, 2024 was recorded in finance and insurance, net revenue in the condensed consolidated statements of income during the six months ended June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DIVESTITURES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Herb Chambers Acquisition</w:t>
      </w:r>
    </w:p>
    <w:p>
      <w:pPr>
        <w:spacing w:after="0" w:line="163" w:lineRule="exact"/>
        <w:rPr>
          <w:sz w:val="20"/>
          <w:szCs w:val="20"/>
          <w:color w:val="auto"/>
        </w:rPr>
      </w:pPr>
    </w:p>
    <w:p>
      <w:pPr>
        <w:ind w:right="580" w:firstLine="276"/>
        <w:spacing w:after="0" w:line="268" w:lineRule="auto"/>
        <w:rPr>
          <w:sz w:val="20"/>
          <w:szCs w:val="20"/>
          <w:color w:val="auto"/>
        </w:rPr>
      </w:pPr>
      <w:r>
        <w:rPr>
          <w:rFonts w:ascii="Times New Roman" w:cs="Times New Roman" w:eastAsia="Times New Roman" w:hAnsi="Times New Roman"/>
          <w:sz w:val="18"/>
          <w:szCs w:val="18"/>
          <w:color w:val="auto"/>
        </w:rPr>
        <w:t>On July 21, 2025, we completed the acquisition of The Herb Chambers Companies (collectively, the "Businesses"). The Herb Chambers acquisition continues Asbury's expansion in the northeast region of the United States.</w:t>
      </w:r>
    </w:p>
    <w:p>
      <w:pPr>
        <w:spacing w:after="0" w:line="117" w:lineRule="exact"/>
        <w:rPr>
          <w:sz w:val="20"/>
          <w:szCs w:val="20"/>
          <w:color w:val="auto"/>
        </w:rPr>
      </w:pPr>
    </w:p>
    <w:p>
      <w:pPr>
        <w:ind w:right="40" w:firstLine="276"/>
        <w:spacing w:after="0" w:line="249" w:lineRule="auto"/>
        <w:rPr>
          <w:sz w:val="20"/>
          <w:szCs w:val="20"/>
          <w:color w:val="auto"/>
        </w:rPr>
      </w:pPr>
      <w:r>
        <w:rPr>
          <w:rFonts w:ascii="Times New Roman" w:cs="Times New Roman" w:eastAsia="Times New Roman" w:hAnsi="Times New Roman"/>
          <w:sz w:val="18"/>
          <w:szCs w:val="18"/>
          <w:color w:val="auto"/>
        </w:rPr>
        <w:t>As a result of the Herb Chamber acquisition, we acquired substantially all of the assets including the real property related thereto, for a total preliminary purchase price of approximately $1.82 billion which includes $750.0 million for goodwill and franchise rights, approximately $610.0 million for real estate and leasehold improvements and approximately $460.0 million for new vehicles, used vehicles, service loaner vehicles, fixed assets and parts and supplies. The acquisition was financed by borrowings under our new vehicle floor plan and used vehicle floor plan facilities and borrowings under a real estate facility. The preliminary purchase price was paid in cash. The Businesses comprise 33 dealerships, 52 franchises and three collision centers. The Businesses will form part of our Dealerships segment.</w:t>
      </w:r>
    </w:p>
    <w:p>
      <w:pPr>
        <w:spacing w:after="0" w:line="133" w:lineRule="exact"/>
        <w:rPr>
          <w:sz w:val="20"/>
          <w:szCs w:val="20"/>
          <w:color w:val="auto"/>
        </w:rPr>
      </w:pPr>
    </w:p>
    <w:p>
      <w:pPr>
        <w:ind w:right="20" w:firstLine="276"/>
        <w:spacing w:after="0" w:line="241" w:lineRule="auto"/>
        <w:rPr>
          <w:sz w:val="20"/>
          <w:szCs w:val="20"/>
          <w:color w:val="auto"/>
        </w:rPr>
      </w:pPr>
      <w:r>
        <w:rPr>
          <w:rFonts w:ascii="Times New Roman" w:cs="Times New Roman" w:eastAsia="Times New Roman" w:hAnsi="Times New Roman"/>
          <w:sz w:val="18"/>
          <w:szCs w:val="18"/>
          <w:color w:val="auto"/>
        </w:rPr>
        <w:t>We are in the process of finalizing the accounting for the Herb Chambers acquisition. However, due to the limited time, we have not completed our analysis of identifying and estimating the fair value of assets acquired and liabilities assumed. The Company expects to provide preliminary purchase price allocation information within its consolidated interim financial</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as of and for the three and nine months ended September 30, 2025, to be filed in its Quarterly Report on Form 10-Q for the period then ended.</w:t>
      </w:r>
    </w:p>
    <w:p>
      <w:pPr>
        <w:spacing w:after="0" w:line="148" w:lineRule="exact"/>
        <w:rPr>
          <w:sz w:val="20"/>
          <w:szCs w:val="20"/>
          <w:color w:val="auto"/>
        </w:rPr>
      </w:pPr>
    </w:p>
    <w:p>
      <w:pPr>
        <w:ind w:right="180" w:firstLine="276"/>
        <w:spacing w:after="0" w:line="268" w:lineRule="auto"/>
        <w:rPr>
          <w:sz w:val="20"/>
          <w:szCs w:val="20"/>
          <w:color w:val="auto"/>
        </w:rPr>
      </w:pPr>
      <w:r>
        <w:rPr>
          <w:rFonts w:ascii="Times New Roman" w:cs="Times New Roman" w:eastAsia="Times New Roman" w:hAnsi="Times New Roman"/>
          <w:sz w:val="18"/>
          <w:szCs w:val="18"/>
          <w:color w:val="auto"/>
        </w:rPr>
        <w:t>The Company recorded $5.1 million of acquisition related costs during the six months ended June 30, 2025. These costs are included in selling, general, and administrative expenses in the condensed consolidated statements of income.</w:t>
      </w:r>
    </w:p>
    <w:p>
      <w:pPr>
        <w:spacing w:after="0" w:line="117" w:lineRule="exact"/>
        <w:rPr>
          <w:sz w:val="20"/>
          <w:szCs w:val="20"/>
          <w:color w:val="auto"/>
        </w:rPr>
      </w:pPr>
    </w:p>
    <w:p>
      <w:pPr>
        <w:ind w:right="60" w:firstLine="276"/>
        <w:spacing w:after="0" w:line="268" w:lineRule="auto"/>
        <w:rPr>
          <w:sz w:val="20"/>
          <w:szCs w:val="20"/>
          <w:color w:val="auto"/>
        </w:rPr>
      </w:pPr>
      <w:r>
        <w:rPr>
          <w:rFonts w:ascii="Times New Roman" w:cs="Times New Roman" w:eastAsia="Times New Roman" w:hAnsi="Times New Roman"/>
          <w:sz w:val="18"/>
          <w:szCs w:val="18"/>
          <w:color w:val="auto"/>
        </w:rPr>
        <w:t>Goodwill and manufacturer franchise rights associated with our Dealerships segment acquisitions are deductible for federal and state income tax purposes ratably over a 15-year period.</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were no acquisitions during the six months ended June 30, 2025 and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63" w:lineRule="exact"/>
        <w:rPr>
          <w:sz w:val="20"/>
          <w:szCs w:val="20"/>
          <w:color w:val="auto"/>
        </w:rPr>
      </w:pPr>
    </w:p>
    <w:p>
      <w:pPr>
        <w:ind w:right="140" w:firstLine="276"/>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2025, we sold two Toyota franchises (two dealership locations) in San Diego, California, and Los Angeles, California, one Nissan franchise (one dealership location) in Denver, Colorado, one Volvo franchise (one dealership location) in Greenville, South Carolina, and three franchises in Salt Lake City, Utah, comprising one Chevrolet franchise (one dealership location), one Chrysler Jeep Dodge Ram franchise (one dealership location) and one Ford franchise (one dealership location). The Company recorded a pre-tax gain totaling $10.1 million, which is presented in our accompanying condensed consolidated statements of income as a gain on dealership divestitures, net.</w:t>
      </w:r>
    </w:p>
    <w:p>
      <w:pPr>
        <w:spacing w:after="0" w:line="133" w:lineRule="exact"/>
        <w:rPr>
          <w:sz w:val="20"/>
          <w:szCs w:val="20"/>
          <w:color w:val="auto"/>
        </w:rPr>
      </w:pPr>
    </w:p>
    <w:p>
      <w:pPr>
        <w:jc w:val="both"/>
        <w:ind w:firstLine="276"/>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2024, we sold one Lexus franchise (one dealership location) in Wilmington, Delaware due to OEM requirements in connection with the Koons acquisition, one Nissan franchise (one dealership location) in Denver, Colorado, and one Nissan franchise (one dealership location) in Atlanta, Georgia. The Company recorded a pre-tax gain totaling $3.6 million, which is presented in our accompanying condensed consolidated statement of income as a gain on dealership divestitures, net.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receivables</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Manufacturer receivables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Less—Allowance for credit losses</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80" w:type="dxa"/>
            <w:vAlign w:val="bottom"/>
          </w:tcPr>
          <w:p>
            <w:pPr>
              <w:spacing w:after="0"/>
              <w:rPr>
                <w:sz w:val="24"/>
                <w:szCs w:val="24"/>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8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gridSpan w:val="5"/>
          </w:tcPr>
          <w:p>
            <w:pPr>
              <w:ind w:left="11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5"/>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vehicles</w:t>
            </w:r>
          </w:p>
        </w:tc>
        <w:tc>
          <w:tcPr>
            <w:tcW w:w="2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0" w:type="dxa"/>
            <w:vAlign w:val="bottom"/>
          </w:tcPr>
          <w:p>
            <w:pPr>
              <w:spacing w:after="0"/>
              <w:rPr>
                <w:sz w:val="1"/>
                <w:szCs w:val="1"/>
                <w:color w:val="auto"/>
              </w:rPr>
            </w:pPr>
          </w:p>
        </w:tc>
      </w:tr>
      <w:tr>
        <w:trPr>
          <w:trHeight w:val="22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Used vehicles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24"/>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accessories</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7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inventories, net (a)</w:t>
            </w:r>
          </w:p>
        </w:tc>
        <w:tc>
          <w:tcPr>
            <w:tcW w:w="28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Inventories, net as of June 30, 2025 and December 31, 2024, excluded $49.4 million and $58.7 million classified as assets held for sale, respectively.</w:t>
      </w:r>
    </w:p>
    <w:p>
      <w:pPr>
        <w:spacing w:after="0" w:line="104" w:lineRule="exact"/>
        <w:rPr>
          <w:sz w:val="20"/>
          <w:szCs w:val="20"/>
          <w:color w:val="auto"/>
        </w:rPr>
      </w:pPr>
    </w:p>
    <w:p>
      <w:pPr>
        <w:ind w:right="100" w:firstLine="276"/>
        <w:spacing w:after="0" w:line="252" w:lineRule="auto"/>
        <w:rPr>
          <w:sz w:val="20"/>
          <w:szCs w:val="20"/>
          <w:color w:val="auto"/>
        </w:rPr>
      </w:pPr>
      <w:r>
        <w:rPr>
          <w:rFonts w:ascii="Times New Roman" w:cs="Times New Roman" w:eastAsia="Times New Roman" w:hAnsi="Times New Roman"/>
          <w:sz w:val="18"/>
          <w:szCs w:val="18"/>
          <w:color w:val="auto"/>
        </w:rPr>
        <w:t>The lower of cost and net realizable value reserves reduced total inventory cost by $9.3 million and $9.7 million, respectively, as of June 30, 2025 and December 31, 2024. As of June 30, 2025 and December 31, 2024, certain automobile manufacturer incentives reduced new vehicle inventory cost by $13.7 million and $13.8 million, respectively, and reduced new vehicle cost of sales for the three months ended June 30, 2025 and 2024 by $32.3 million and $27.0 million, respectively. For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six months ended June 30, 2025 and 2024, new vehicle cost of sales was reduced by $61.4 million and $53.3 million,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ASSETS AND LIABILITIES HELD FOR SALE</w:t>
      </w:r>
    </w:p>
    <w:p>
      <w:pPr>
        <w:spacing w:after="0" w:line="163" w:lineRule="exact"/>
        <w:rPr>
          <w:sz w:val="20"/>
          <w:szCs w:val="20"/>
          <w:color w:val="auto"/>
        </w:rPr>
      </w:pPr>
    </w:p>
    <w:p>
      <w:pPr>
        <w:ind w:right="200" w:firstLine="237"/>
        <w:spacing w:after="0" w:line="268" w:lineRule="auto"/>
        <w:rPr>
          <w:sz w:val="20"/>
          <w:szCs w:val="20"/>
          <w:color w:val="auto"/>
        </w:rPr>
      </w:pPr>
      <w:r>
        <w:rPr>
          <w:rFonts w:ascii="Times New Roman" w:cs="Times New Roman" w:eastAsia="Times New Roman" w:hAnsi="Times New Roman"/>
          <w:sz w:val="18"/>
          <w:szCs w:val="18"/>
          <w:color w:val="auto"/>
        </w:rPr>
        <w:t>Assets and liabilities classified as held for sale include (i) assets and liabilities associated with pending dealership disposals and (ii) real estate that we are actively marketing to sell.</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assets held for sale and liabilities associated with assets held for sale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r>
      <w:tr>
        <w:trPr>
          <w:trHeight w:val="205"/>
        </w:trPr>
        <w:tc>
          <w:tcPr>
            <w:tcW w:w="7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4"/>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4"/>
          </w:tcPr>
          <w:p>
            <w:pPr>
              <w:jc w:val="right"/>
              <w:ind w:right="127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4"/>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4"/>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Loaners,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24"/>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Franchise rights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7"/>
        </w:trPr>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2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4"/>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7"/>
        </w:trPr>
        <w:tc>
          <w:tcPr>
            <w:tcW w:w="73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liabilities associated with assets held for sale</w:t>
            </w:r>
          </w:p>
        </w:tc>
        <w:tc>
          <w:tcPr>
            <w:tcW w:w="2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2"/>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held for sale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right="280" w:firstLine="237"/>
        <w:spacing w:after="0" w:line="268" w:lineRule="auto"/>
        <w:rPr>
          <w:sz w:val="20"/>
          <w:szCs w:val="20"/>
          <w:color w:val="auto"/>
        </w:rPr>
      </w:pPr>
      <w:r>
        <w:rPr>
          <w:rFonts w:ascii="Times New Roman" w:cs="Times New Roman" w:eastAsia="Times New Roman" w:hAnsi="Times New Roman"/>
          <w:sz w:val="18"/>
          <w:szCs w:val="18"/>
          <w:color w:val="auto"/>
        </w:rPr>
        <w:t>As of June 30, 2025, assets held for sale consisted of five franchises (five dealership locations) in addition to two real estate properties. In July 2025, the Company completed the sale of four franchises (four dealership locations).</w:t>
      </w:r>
    </w:p>
    <w:p>
      <w:pPr>
        <w:spacing w:after="0" w:line="117" w:lineRule="exact"/>
        <w:rPr>
          <w:sz w:val="20"/>
          <w:szCs w:val="20"/>
          <w:color w:val="auto"/>
        </w:rPr>
      </w:pPr>
    </w:p>
    <w:p>
      <w:pPr>
        <w:ind w:firstLine="237"/>
        <w:spacing w:after="0" w:line="250" w:lineRule="auto"/>
        <w:rPr>
          <w:sz w:val="20"/>
          <w:szCs w:val="20"/>
          <w:color w:val="auto"/>
        </w:rPr>
      </w:pPr>
      <w:r>
        <w:rPr>
          <w:rFonts w:ascii="Times New Roman" w:cs="Times New Roman" w:eastAsia="Times New Roman" w:hAnsi="Times New Roman"/>
          <w:sz w:val="18"/>
          <w:szCs w:val="18"/>
          <w:color w:val="auto"/>
        </w:rPr>
        <w:t>In March 2025, the Company recognized a $14.3 million pre-tax non-cash franchise rights impairment charge in connection with five dealerships that were classified as assets held for sale in March 2025. The quantitative assessment for each disposal group included a comparison of the estimated fair value to the carrying value of the disposal group less costs to sell. The Company determined the estimated fair value of each disposal group based on estimated sales proceeds less costs to sell. These franchise rights impairment charges are reflected in asset impairments in our condensed consolidated statements of income for the six months ended June 30, 2025.</w:t>
      </w:r>
    </w:p>
    <w:p>
      <w:pPr>
        <w:spacing w:after="0" w:line="133" w:lineRule="exact"/>
        <w:rPr>
          <w:sz w:val="20"/>
          <w:szCs w:val="20"/>
          <w:color w:val="auto"/>
        </w:rPr>
      </w:pPr>
    </w:p>
    <w:p>
      <w:pPr>
        <w:ind w:right="260" w:firstLine="237"/>
        <w:spacing w:after="0" w:line="268" w:lineRule="auto"/>
        <w:rPr>
          <w:sz w:val="20"/>
          <w:szCs w:val="20"/>
          <w:color w:val="auto"/>
        </w:rPr>
      </w:pPr>
      <w:r>
        <w:rPr>
          <w:rFonts w:ascii="Times New Roman" w:cs="Times New Roman" w:eastAsia="Times New Roman" w:hAnsi="Times New Roman"/>
          <w:sz w:val="18"/>
          <w:szCs w:val="18"/>
          <w:color w:val="auto"/>
        </w:rPr>
        <w:t>As of December 31, 2024, assets held for sale consisted of seven franchises (six dealership locations) in addition to one real estate property not currently used in our operations.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163" w:lineRule="exact"/>
        <w:rPr>
          <w:sz w:val="20"/>
          <w:szCs w:val="20"/>
          <w:color w:val="auto"/>
        </w:rPr>
      </w:pPr>
    </w:p>
    <w:p>
      <w:pPr>
        <w:ind w:right="140" w:firstLine="237"/>
        <w:spacing w:after="0" w:line="268" w:lineRule="auto"/>
        <w:rPr>
          <w:sz w:val="20"/>
          <w:szCs w:val="20"/>
          <w:color w:val="auto"/>
        </w:rPr>
      </w:pPr>
      <w:r>
        <w:rPr>
          <w:rFonts w:ascii="Times New Roman" w:cs="Times New Roman" w:eastAsia="Times New Roman" w:hAnsi="Times New Roman"/>
          <w:sz w:val="18"/>
          <w:szCs w:val="18"/>
          <w:color w:val="auto"/>
        </w:rPr>
        <w:t>Our investment portfolio is primarily funded by product premiums from the sale of our TCA F&amp;I products. The amortized cost, gross unrealized gains and losses and estimated fair values of debt securities available-for-sale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As of June 30, 2025</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80" w:type="dxa"/>
            <w:vAlign w:val="bottom"/>
          </w:tcPr>
          <w:p>
            <w:pPr>
              <w:spacing w:after="0"/>
              <w:rPr>
                <w:sz w:val="13"/>
                <w:szCs w:val="13"/>
                <w:color w:val="auto"/>
              </w:rPr>
            </w:pPr>
          </w:p>
        </w:tc>
        <w:tc>
          <w:tcPr>
            <w:tcW w:w="1020" w:type="dxa"/>
            <w:vAlign w:val="bottom"/>
            <w:vMerge w:val="restart"/>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6140" w:type="dxa"/>
            <w:vAlign w:val="bottom"/>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17"/>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6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As of December 31, 2024</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80" w:type="dxa"/>
            <w:vAlign w:val="bottom"/>
          </w:tcPr>
          <w:p>
            <w:pPr>
              <w:spacing w:after="0"/>
              <w:rPr>
                <w:sz w:val="13"/>
                <w:szCs w:val="13"/>
                <w:color w:val="auto"/>
              </w:rPr>
            </w:pPr>
          </w:p>
        </w:tc>
        <w:tc>
          <w:tcPr>
            <w:tcW w:w="1020" w:type="dxa"/>
            <w:vAlign w:val="bottom"/>
            <w:vMerge w:val="restart"/>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6140" w:type="dxa"/>
            <w:vAlign w:val="bottom"/>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17"/>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60" w:firstLine="276"/>
        <w:spacing w:after="0" w:line="256" w:lineRule="auto"/>
        <w:rPr>
          <w:sz w:val="20"/>
          <w:szCs w:val="20"/>
          <w:color w:val="auto"/>
        </w:rPr>
      </w:pPr>
      <w:r>
        <w:rPr>
          <w:rFonts w:ascii="Times New Roman" w:cs="Times New Roman" w:eastAsia="Times New Roman" w:hAnsi="Times New Roman"/>
          <w:sz w:val="18"/>
          <w:szCs w:val="18"/>
          <w:color w:val="auto"/>
        </w:rPr>
        <w:t>As of June 30, 2025 and December 31, 2024, the Company had $3.0 million and $2.8 million of accrued interest receivable, respectively, which is included in other current assets on the condensed consolidated balance sheets. The Company does not consider accrued interest receivable in the carrying amount of financial assets held at amortized cost basis or in the allowance for credit losses.</w:t>
      </w:r>
    </w:p>
    <w:p>
      <w:pPr>
        <w:spacing w:after="0" w:line="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summary of amortized costs and fair value of investments by time to maturity,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As of June 30, 2025</w:t>
            </w:r>
          </w:p>
        </w:tc>
      </w:tr>
      <w:tr>
        <w:trPr>
          <w:trHeight w:val="205"/>
        </w:trPr>
        <w:tc>
          <w:tcPr>
            <w:tcW w:w="8740" w:type="dxa"/>
            <w:vAlign w:val="bottom"/>
          </w:tcPr>
          <w:p>
            <w:pPr>
              <w:spacing w:after="0"/>
              <w:rPr>
                <w:sz w:val="17"/>
                <w:szCs w:val="17"/>
                <w:color w:val="auto"/>
              </w:rPr>
            </w:pPr>
          </w:p>
        </w:tc>
        <w:tc>
          <w:tcPr>
            <w:tcW w:w="13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4"/>
        </w:trPr>
        <w:tc>
          <w:tcPr>
            <w:tcW w:w="8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gridSpan w:val="4"/>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4"/>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1-5 years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4"/>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6-10 years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4"/>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7"/>
        </w:trPr>
        <w:tc>
          <w:tcPr>
            <w:tcW w:w="8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by maturity</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24"/>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42"/>
        </w:trPr>
        <w:tc>
          <w:tcPr>
            <w:tcW w:w="8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100" w:firstLine="237"/>
        <w:spacing w:after="0" w:line="256" w:lineRule="auto"/>
        <w:rPr>
          <w:sz w:val="20"/>
          <w:szCs w:val="20"/>
          <w:color w:val="auto"/>
        </w:rPr>
      </w:pPr>
      <w:r>
        <w:rPr>
          <w:rFonts w:ascii="Times New Roman" w:cs="Times New Roman" w:eastAsia="Times New Roman" w:hAnsi="Times New Roman"/>
          <w:sz w:val="18"/>
          <w:szCs w:val="18"/>
          <w:color w:val="auto"/>
        </w:rPr>
        <w:t>There were $0.1 million gross losses and $0.2 million gross gains realized related to the sale of available-for-sale debt securities carried at fair value for the three months ended June 30, 2025. There were $0.2 million gross losses and $0.4 million gross gains realized related to the sale of available-for-sale debt securities carried at fair value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firstLine="237"/>
        <w:spacing w:after="0" w:line="256" w:lineRule="auto"/>
        <w:rPr>
          <w:sz w:val="20"/>
          <w:szCs w:val="20"/>
          <w:color w:val="auto"/>
        </w:rPr>
      </w:pPr>
      <w:r>
        <w:rPr>
          <w:rFonts w:ascii="Times New Roman" w:cs="Times New Roman" w:eastAsia="Times New Roman" w:hAnsi="Times New Roman"/>
          <w:sz w:val="18"/>
          <w:szCs w:val="18"/>
          <w:color w:val="auto"/>
        </w:rPr>
        <w:t>There were no gross losses and $0.2 million gross gains realized related to the sale of available-for-sale debt securities carried at fair value for the three months ended June 30, 2024. There were no gross losses and $0.3 million gross gains realized related to the sale of available-for-sale debt securities carried at fair value for the six months ended June 30, 2024.</w:t>
      </w:r>
    </w:p>
    <w:p>
      <w:pPr>
        <w:spacing w:after="0" w:line="127" w:lineRule="exact"/>
        <w:rPr>
          <w:sz w:val="20"/>
          <w:szCs w:val="20"/>
          <w:color w:val="auto"/>
        </w:rPr>
      </w:pPr>
    </w:p>
    <w:p>
      <w:pPr>
        <w:jc w:val="both"/>
        <w:ind w:right="60" w:firstLine="237"/>
        <w:spacing w:after="0" w:line="252" w:lineRule="auto"/>
        <w:rPr>
          <w:sz w:val="20"/>
          <w:szCs w:val="20"/>
          <w:color w:val="auto"/>
        </w:rPr>
      </w:pPr>
      <w:r>
        <w:rPr>
          <w:rFonts w:ascii="Times New Roman" w:cs="Times New Roman" w:eastAsia="Times New Roman" w:hAnsi="Times New Roman"/>
          <w:sz w:val="18"/>
          <w:szCs w:val="18"/>
          <w:color w:val="auto"/>
        </w:rPr>
        <w:t>The following tables summarize the amount of unrealized losses, defined as the amount by which the amortized cost exceeds fair value, and the related fair value of investments with unrealized losses. The investments were segregated into two categories: those that have been in a continuous unrealized loss position for less than 12 months and those that have been in a continuous unrealized loss position for 12 or more months. The reference point for determining how long an investment was in an unrealized loss position was June 30,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As of June 30, 2025</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7"/>
                <w:szCs w:val="17"/>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Greater than 12 Months</w:t>
            </w:r>
          </w:p>
        </w:tc>
        <w:tc>
          <w:tcPr>
            <w:tcW w:w="1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4"/>
              <w:spacing w:after="0" w:line="15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74"/>
              <w:spacing w:after="0" w:line="152"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4"/>
              <w:spacing w:after="0" w:line="15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04"/>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As of December 31, 2024</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7"/>
                <w:szCs w:val="17"/>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Greater than 12 Months</w:t>
            </w:r>
          </w:p>
        </w:tc>
        <w:tc>
          <w:tcPr>
            <w:tcW w:w="1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4"/>
              <w:spacing w:after="0" w:line="15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74"/>
              <w:spacing w:after="0" w:line="152"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4"/>
              <w:spacing w:after="0" w:line="15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04"/>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80" w:firstLine="276"/>
        <w:spacing w:after="0" w:line="250" w:lineRule="auto"/>
        <w:rPr>
          <w:sz w:val="20"/>
          <w:szCs w:val="20"/>
          <w:color w:val="auto"/>
        </w:rPr>
      </w:pPr>
      <w:r>
        <w:rPr>
          <w:rFonts w:ascii="Times New Roman" w:cs="Times New Roman" w:eastAsia="Times New Roman" w:hAnsi="Times New Roman"/>
          <w:sz w:val="18"/>
          <w:szCs w:val="18"/>
          <w:color w:val="auto"/>
        </w:rPr>
        <w:t>The Company reviews the investment securities portfolio at the security level on a quarterly basis for potential credit losses, which takes into consideration numerous factors including changes in credit ratings. The decline in fair value identified in the tables above are a result of widening market spreads and not a result of credit quality. Additionally, the Company has determined it has both the intent and ability to hold these investments until the market price recovers or until maturity and does not believe it will be required to sell the securities before maturity. Accordingly, no credit losses were recognized on these securities during the three and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FLOOR PLAN NOTES PAYABLE</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Floor plan notes payable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40" w:type="dxa"/>
            <w:vAlign w:val="bottom"/>
            <w:tcBorders>
              <w:bottom w:val="single" w:sz="8" w:color="auto"/>
            </w:tcBorders>
          </w:tcPr>
          <w:p>
            <w:pPr>
              <w:spacing w:after="0"/>
              <w:rPr>
                <w:sz w:val="18"/>
                <w:szCs w:val="18"/>
                <w:color w:val="auto"/>
              </w:rPr>
            </w:pPr>
          </w:p>
        </w:tc>
      </w:tr>
      <w:tr>
        <w:trPr>
          <w:trHeight w:val="205"/>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4"/>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4"/>
          </w:tcPr>
          <w:p>
            <w:pPr>
              <w:jc w:val="right"/>
              <w:ind w:right="127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payable—trade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r>
      <w:tr>
        <w:trPr>
          <w:trHeight w:val="22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Floor plan notes payable offset account</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2"/>
        </w:trPr>
        <w:tc>
          <w:tcPr>
            <w:tcW w:w="7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Floor plan notes payable—trade, net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payable—new non-trade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 plan notes payable—used non-trade</w:t>
            </w:r>
          </w:p>
        </w:tc>
        <w:tc>
          <w:tcPr>
            <w:tcW w:w="2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 offset account</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17"/>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Floor plan notes payable—non-trade, net</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20" w:firstLine="237"/>
        <w:spacing w:after="0" w:line="256" w:lineRule="auto"/>
        <w:rPr>
          <w:sz w:val="20"/>
          <w:szCs w:val="20"/>
          <w:color w:val="auto"/>
        </w:rPr>
      </w:pPr>
      <w:r>
        <w:rPr>
          <w:rFonts w:ascii="Times New Roman" w:cs="Times New Roman" w:eastAsia="Times New Roman" w:hAnsi="Times New Roman"/>
          <w:sz w:val="18"/>
          <w:szCs w:val="18"/>
          <w:color w:val="auto"/>
        </w:rPr>
        <w:t>We have floor plan offset accounts that allow us to offset our floor plan notes payable balances outstanding with transfers of cash to reduce the amount of outstanding floor plan notes payable that would otherwise accrue interest, while retaining the ability to transfer amounts from the offset account into our operating cash accounts within the same day.</w:t>
      </w:r>
    </w:p>
    <w:p>
      <w:pPr>
        <w:spacing w:after="0" w:line="127" w:lineRule="exact"/>
        <w:rPr>
          <w:sz w:val="20"/>
          <w:szCs w:val="20"/>
          <w:color w:val="auto"/>
        </w:rPr>
      </w:pPr>
    </w:p>
    <w:p>
      <w:pPr>
        <w:ind w:right="120" w:firstLine="237"/>
        <w:spacing w:after="0" w:line="252" w:lineRule="auto"/>
        <w:rPr>
          <w:sz w:val="20"/>
          <w:szCs w:val="20"/>
          <w:color w:val="auto"/>
        </w:rPr>
      </w:pPr>
      <w:r>
        <w:rPr>
          <w:rFonts w:ascii="Times New Roman" w:cs="Times New Roman" w:eastAsia="Times New Roman" w:hAnsi="Times New Roman"/>
          <w:sz w:val="18"/>
          <w:szCs w:val="18"/>
          <w:color w:val="auto"/>
        </w:rPr>
        <w:t>We have the ability to convert a portion of our availability under the revolving credit facility to the new vehicle floor plan facility or the used vehicle floor plan facility. The maximum amount we are allowed to convert is determined based on our aggregate revolving commitment under the revolving credit facility, less $50.0 million. In addition, we are able to convert any amounts moved to the new vehicle floor plan facility or used vehicle floor plan facility back to the revolving credit facility.</w:t>
      </w:r>
    </w:p>
    <w:p>
      <w:pPr>
        <w:spacing w:after="0" w:line="131" w:lineRule="exact"/>
        <w:rPr>
          <w:sz w:val="20"/>
          <w:szCs w:val="20"/>
          <w:color w:val="auto"/>
        </w:rPr>
      </w:pPr>
    </w:p>
    <w:p>
      <w:pPr>
        <w:ind w:right="20" w:firstLine="237"/>
        <w:spacing w:after="0" w:line="252" w:lineRule="auto"/>
        <w:rPr>
          <w:sz w:val="20"/>
          <w:szCs w:val="20"/>
          <w:color w:val="auto"/>
        </w:rPr>
      </w:pPr>
      <w:r>
        <w:rPr>
          <w:rFonts w:ascii="Times New Roman" w:cs="Times New Roman" w:eastAsia="Times New Roman" w:hAnsi="Times New Roman"/>
          <w:sz w:val="18"/>
          <w:szCs w:val="18"/>
          <w:color w:val="auto"/>
        </w:rPr>
        <w:t>In addition to our new and used vehicle floor plan facilities, we have loaner vehicle floor plan facilities with Bank of America and certain original equipment manufacturers (“OEMs”). Loaner vehicles notes payable related to Bank of America as of June 30, 2025 and December 31, 2024 were $57.0 million and $56.7 million, respectively. Loaner vehicles notes payable related to OEMs as of June 30, 2025 and December 31, 2024 were $172.2 million and $161.5 million, respec0tively.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to 2023 Senior Credit Facility</w:t>
      </w:r>
    </w:p>
    <w:p>
      <w:pPr>
        <w:spacing w:after="0" w:line="163" w:lineRule="exact"/>
        <w:rPr>
          <w:sz w:val="20"/>
          <w:szCs w:val="20"/>
          <w:color w:val="auto"/>
        </w:rPr>
      </w:pPr>
    </w:p>
    <w:p>
      <w:pPr>
        <w:ind w:right="160" w:firstLine="237"/>
        <w:spacing w:after="0" w:line="256" w:lineRule="auto"/>
        <w:rPr>
          <w:sz w:val="20"/>
          <w:szCs w:val="20"/>
          <w:color w:val="auto"/>
        </w:rPr>
      </w:pPr>
      <w:r>
        <w:rPr>
          <w:rFonts w:ascii="Times New Roman" w:cs="Times New Roman" w:eastAsia="Times New Roman" w:hAnsi="Times New Roman"/>
          <w:sz w:val="18"/>
          <w:szCs w:val="18"/>
          <w:color w:val="auto"/>
        </w:rPr>
        <w:t>On April 9, 2025, the Company obtained an amendment (the “Amendment”) to the Fourth Amended and Restated Credit Agreement (the "2023 Senior Credit Facility"), dated as of October 20, 2023, by and among the Company, as a borrower, certain of its subsidiaries, as vehicle borrowers, Bank of America, N.A., ("Bank of America") as administrative agent, and the other lenders party thereto.</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Amendment, among other things, provides for the following, subject to satisfaction of certain other customary conditions in each case:</w:t>
      </w:r>
    </w:p>
    <w:p>
      <w:pPr>
        <w:spacing w:after="0" w:line="240" w:lineRule="exact"/>
        <w:rPr>
          <w:sz w:val="20"/>
          <w:szCs w:val="20"/>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aggregate commitments under the revolving credit facility, from $500.0 million to $925.0 million; and</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aggregate commitments under the new vehicle floor plan facility, from $1.93 billion to $2.25 billion.</w:t>
      </w:r>
    </w:p>
    <w:p>
      <w:pPr>
        <w:spacing w:after="0" w:line="223" w:lineRule="exact"/>
        <w:rPr>
          <w:sz w:val="20"/>
          <w:szCs w:val="20"/>
          <w:color w:val="auto"/>
        </w:rPr>
      </w:pPr>
    </w:p>
    <w:p>
      <w:pPr>
        <w:ind w:right="560" w:firstLine="237"/>
        <w:spacing w:after="0" w:line="268" w:lineRule="auto"/>
        <w:rPr>
          <w:sz w:val="20"/>
          <w:szCs w:val="20"/>
          <w:color w:val="auto"/>
        </w:rPr>
      </w:pPr>
      <w:r>
        <w:rPr>
          <w:rFonts w:ascii="Times New Roman" w:cs="Times New Roman" w:eastAsia="Times New Roman" w:hAnsi="Times New Roman"/>
          <w:sz w:val="18"/>
          <w:szCs w:val="18"/>
          <w:color w:val="auto"/>
        </w:rPr>
        <w:t>The increases under the Amendment were effective concurrently with the consummation of the acquisition of the Herb Chambers Dealerships which occurred on July 21, 2025.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40" w:type="dxa"/>
            <w:vAlign w:val="bottom"/>
            <w:tcBorders>
              <w:bottom w:val="single" w:sz="8" w:color="auto"/>
            </w:tcBorders>
          </w:tcPr>
          <w:p>
            <w:pPr>
              <w:spacing w:after="0"/>
              <w:rPr>
                <w:sz w:val="18"/>
                <w:szCs w:val="18"/>
                <w:color w:val="auto"/>
              </w:rPr>
            </w:pPr>
          </w:p>
        </w:tc>
      </w:tr>
      <w:tr>
        <w:trPr>
          <w:trHeight w:val="205"/>
        </w:trPr>
        <w:tc>
          <w:tcPr>
            <w:tcW w:w="4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4"/>
        </w:trPr>
        <w:tc>
          <w:tcPr>
            <w:tcW w:w="4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4"/>
          </w:tcPr>
          <w:p>
            <w:pPr>
              <w:jc w:val="right"/>
              <w:ind w:right="127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 Senior Notes due 2028</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r>
      <w:tr>
        <w:trPr>
          <w:trHeight w:val="22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4.625% Senior Notes due 2029</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4"/>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 Senior Notes due 2030</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2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5.00% Senior Notes due 2032</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4"/>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notes payable bearing interest at fixed rates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Facility</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BofA Real Estate Facility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America Facility</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Master Loan Facility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2015</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Wells Fargo Master Loan Facility</w:t>
            </w:r>
          </w:p>
        </w:tc>
        <w:tc>
          <w:tcPr>
            <w:tcW w:w="2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4"/>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liability</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7"/>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debt outstanding</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3,158.5</w:t>
            </w:r>
          </w:p>
        </w:tc>
      </w:tr>
      <w:tr>
        <w:trPr>
          <w:trHeight w:val="224"/>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Add—unamortized premium on 4.50% Senior Notes due 2028</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Add—unamortized premium on 4.75% Senior Notes due 2030</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7"/>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3,138.6</w:t>
            </w:r>
          </w:p>
        </w:tc>
      </w:tr>
      <w:tr>
        <w:trPr>
          <w:trHeight w:val="224"/>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Less—current portion, net of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17"/>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3,023.9</w:t>
            </w:r>
          </w:p>
        </w:tc>
      </w:tr>
      <w:tr>
        <w:trPr>
          <w:trHeight w:val="20"/>
        </w:trPr>
        <w:tc>
          <w:tcPr>
            <w:tcW w:w="4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Real Estate Facility</w:t>
      </w:r>
    </w:p>
    <w:p>
      <w:pPr>
        <w:spacing w:after="0" w:line="98" w:lineRule="exact"/>
        <w:rPr>
          <w:sz w:val="20"/>
          <w:szCs w:val="20"/>
          <w:color w:val="auto"/>
        </w:rPr>
      </w:pPr>
    </w:p>
    <w:p>
      <w:pPr>
        <w:ind w:right="40" w:firstLine="237"/>
        <w:spacing w:after="0" w:line="289" w:lineRule="auto"/>
        <w:rPr>
          <w:sz w:val="20"/>
          <w:szCs w:val="20"/>
          <w:color w:val="auto"/>
        </w:rPr>
      </w:pPr>
      <w:r>
        <w:rPr>
          <w:rFonts w:ascii="Times New Roman" w:cs="Times New Roman" w:eastAsia="Times New Roman" w:hAnsi="Times New Roman"/>
          <w:sz w:val="16"/>
          <w:szCs w:val="16"/>
          <w:color w:val="auto"/>
        </w:rPr>
        <w:t>On July 21, 2025, certain subsidiaries of Asbury Automotive Group, Inc. (the “Company”) borrowed $546.5 million (the “2025 Real Estate Facility”) under a real estate term loan credit agreement, dated as of July 21, 2025 (the “Real Estate Credit Agreement”) by and among the Company, certain of the Company’s subsidiaries that own or lease the real estate financed thereunder, as borrowers, Wells Fargo Bank, National Association (“Wells Fargo”), as administrative agent, and the various financial institutions parties thereto, as lenders (the “Lenders”). The Real Estate Facility matures ten years from the initial funding date (the “Maturity Date”). The Company used the proceeds from these borrowings, together with other available funds, to finance the Herb Chambers acquisition.</w:t>
      </w:r>
    </w:p>
    <w:p>
      <w:pPr>
        <w:spacing w:after="0" w:line="182" w:lineRule="exact"/>
        <w:rPr>
          <w:sz w:val="20"/>
          <w:szCs w:val="20"/>
          <w:color w:val="auto"/>
        </w:rPr>
      </w:pPr>
    </w:p>
    <w:p>
      <w:pPr>
        <w:ind w:right="40" w:firstLine="237"/>
        <w:spacing w:after="0" w:line="249" w:lineRule="auto"/>
        <w:rPr>
          <w:sz w:val="20"/>
          <w:szCs w:val="20"/>
          <w:color w:val="auto"/>
        </w:rPr>
      </w:pPr>
      <w:r>
        <w:rPr>
          <w:rFonts w:ascii="Times New Roman" w:cs="Times New Roman" w:eastAsia="Times New Roman" w:hAnsi="Times New Roman"/>
          <w:sz w:val="18"/>
          <w:szCs w:val="18"/>
          <w:color w:val="auto"/>
        </w:rPr>
        <w:t>Term loans under the 2025 Real Estate Facility bear interest, at our option, based on (1) SOFR plus 2% per annum or (2) the Base Rate (as described below) plus 1% per annum. The Base Rate is the highest of (a) the Prime Rate, (b) the Federal Funds Rate plus .50% and (c) Term SOFR for a one month tenor in effect on such date plus 1%. We will be required to make 118 consecutive monthly principal payments, commencing September 1, 2025, with a balloon repayment of the outstanding principal amount of loans due on the Maturity Date. Borrowings under the 2025 Real Estate Facility are guaranteed by the Company and certain of the Company’s subsidiaries, and are collateralized by first priority liens, subject to certain permitted exceptions, on all of the real property financed thereunder.</w:t>
      </w:r>
    </w:p>
    <w:p>
      <w:pPr>
        <w:spacing w:after="0" w:line="212" w:lineRule="exact"/>
        <w:rPr>
          <w:sz w:val="20"/>
          <w:szCs w:val="20"/>
          <w:color w:val="auto"/>
        </w:rPr>
      </w:pPr>
    </w:p>
    <w:p>
      <w:pPr>
        <w:ind w:right="20" w:firstLine="237"/>
        <w:spacing w:after="0" w:line="249" w:lineRule="auto"/>
        <w:rPr>
          <w:sz w:val="20"/>
          <w:szCs w:val="20"/>
          <w:color w:val="auto"/>
        </w:rPr>
      </w:pPr>
      <w:r>
        <w:rPr>
          <w:rFonts w:ascii="Times New Roman" w:cs="Times New Roman" w:eastAsia="Times New Roman" w:hAnsi="Times New Roman"/>
          <w:sz w:val="18"/>
          <w:szCs w:val="18"/>
          <w:color w:val="auto"/>
        </w:rPr>
        <w:t>The representations, warranties and covenants in the Real Estate Credit Agreement are customary for financing transactions of this nature, including, among others, a requirement to comply with a minimum consolidated fixed charge coverage ratio and maximum consolidated total lease adjusted leverage ratio, in each case as set out in the Real Estate Credit Agreement. In addition, certain other covenants could restrict our ability to incur additional debt, pay dividends or acquire or dispose of assets. The Real Estate Credit Agreement also provides for events of default that are customary for financing transactions of this nature, including cross-defaults to other material indebtedness. Upon the occurrence of an event of default, we could be required by the Real Estate Credit Agreement to immediately repay all amounts outstanding thereunder.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FINANCIAL INSTRUMENTS AND FAIR VALUE</w:t>
      </w:r>
    </w:p>
    <w:p>
      <w:pPr>
        <w:spacing w:after="0" w:line="163" w:lineRule="exact"/>
        <w:rPr>
          <w:sz w:val="20"/>
          <w:szCs w:val="20"/>
          <w:color w:val="auto"/>
        </w:rPr>
      </w:pPr>
    </w:p>
    <w:p>
      <w:pPr>
        <w:ind w:right="240" w:firstLine="276"/>
        <w:spacing w:after="0" w:line="268" w:lineRule="auto"/>
        <w:rPr>
          <w:sz w:val="20"/>
          <w:szCs w:val="20"/>
          <w:color w:val="auto"/>
        </w:rPr>
      </w:pPr>
      <w:r>
        <w:rPr>
          <w:rFonts w:ascii="Times New Roman" w:cs="Times New Roman" w:eastAsia="Times New Roman" w:hAnsi="Times New Roman"/>
          <w:sz w:val="18"/>
          <w:szCs w:val="18"/>
          <w:color w:val="auto"/>
        </w:rPr>
        <w:t>In determining fair value, we use various valuation approaches, including market and income approaches. Accounting standards establish a hierarchy for inputs used in measuring fair value that maximizes the use of observable inputs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minimizes the use of unobservable inputs by requiring that the most observable inputs be used when available. Observable inputs are inputs that market participants would use in pricing the asset or liability developed based on market data obtained from independent sources. Unobservable inputs are inputs that reflect our assumptions about the assumptions that market participants would use in pricing the asset or liability, developed based on the best information available in the circumstances. The hierarchy is broken down into three levels based on the reliability of inputs as follows: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61"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 Assets and liabilities utilizing Level 2 inputs include interest rate swap instruments, exchange-traded debt securities that are not actively traded or do not have a high trading volume, mortgage notes payable and certain real estate properties on a non-recurring basis.</w:t>
      </w:r>
    </w:p>
    <w:p>
      <w:pPr>
        <w:spacing w:after="0" w:line="127" w:lineRule="exact"/>
        <w:rPr>
          <w:sz w:val="20"/>
          <w:szCs w:val="20"/>
          <w:color w:val="auto"/>
        </w:rPr>
      </w:pPr>
    </w:p>
    <w:p>
      <w:pPr>
        <w:ind w:right="40" w:firstLine="237"/>
        <w:spacing w:after="0" w:line="256" w:lineRule="auto"/>
        <w:rPr>
          <w:sz w:val="20"/>
          <w:szCs w:val="20"/>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 Asset and liability measurements utilizing Level 3 inputs include those used in estimating the fair value of certain non-financial assets and non-financial liabilities in purchase acquisitions and those used in the assessment of impairment for goodwill and intangible franchise rights.</w:t>
      </w:r>
    </w:p>
    <w:p>
      <w:pPr>
        <w:spacing w:after="0" w:line="127" w:lineRule="exact"/>
        <w:rPr>
          <w:sz w:val="20"/>
          <w:szCs w:val="20"/>
          <w:color w:val="auto"/>
        </w:rPr>
      </w:pPr>
    </w:p>
    <w:p>
      <w:pPr>
        <w:ind w:right="40" w:firstLine="276"/>
        <w:spacing w:after="0" w:line="250" w:lineRule="auto"/>
        <w:rPr>
          <w:sz w:val="20"/>
          <w:szCs w:val="20"/>
          <w:color w:val="auto"/>
        </w:rPr>
      </w:pPr>
      <w:r>
        <w:rPr>
          <w:rFonts w:ascii="Times New Roman" w:cs="Times New Roman" w:eastAsia="Times New Roman" w:hAnsi="Times New Roman"/>
          <w:sz w:val="18"/>
          <w:szCs w:val="18"/>
          <w:color w:val="auto"/>
        </w:rPr>
        <w:t>The availability of observable inputs can vary and is affected by a wide variety of factors. To the extent that valuation is based on models or inputs that are less observable or unobservable in the market, the determination of fair value requires more judgment. Accordingly, the degree of judgment required to determine fair value is greatest for instruments categorized in Level 3. In certain cases, the inputs used to measure fair value may fall into different levels of the fair value hierarchy. In such cases, for disclosure purposes, the level in the fair value hierarchy within which the fair value measurement is disclosed is determined based on the lowest level input that is significant to the fair value measurement.</w:t>
      </w:r>
    </w:p>
    <w:p>
      <w:pPr>
        <w:spacing w:after="0" w:line="133" w:lineRule="exact"/>
        <w:rPr>
          <w:sz w:val="20"/>
          <w:szCs w:val="20"/>
          <w:color w:val="auto"/>
        </w:rPr>
      </w:pPr>
    </w:p>
    <w:p>
      <w:pPr>
        <w:ind w:right="80" w:firstLine="276"/>
        <w:spacing w:after="0" w:line="252" w:lineRule="auto"/>
        <w:rPr>
          <w:sz w:val="20"/>
          <w:szCs w:val="20"/>
          <w:color w:val="auto"/>
        </w:rPr>
      </w:pPr>
      <w:r>
        <w:rPr>
          <w:rFonts w:ascii="Times New Roman" w:cs="Times New Roman" w:eastAsia="Times New Roman" w:hAnsi="Times New Roman"/>
          <w:sz w:val="18"/>
          <w:szCs w:val="18"/>
          <w:color w:val="auto"/>
        </w:rPr>
        <w:t>Fair value is a market-based exit price measure considered from the perspective of a market participant who holds the asset or owes the liability rather than an entity-specific measure. Therefore, even when market assumptions are not readily available, our assumptions are set to reflect those that market participants would use in pricing the asset or liability at the measurement date. We use inputs that are current as of the measurement date, including during periods of significant market fluctuations.</w:t>
      </w:r>
    </w:p>
    <w:p>
      <w:pPr>
        <w:spacing w:after="0" w:line="131" w:lineRule="exact"/>
        <w:rPr>
          <w:sz w:val="20"/>
          <w:szCs w:val="20"/>
          <w:color w:val="auto"/>
        </w:rPr>
      </w:pPr>
    </w:p>
    <w:p>
      <w:pPr>
        <w:ind w:firstLine="276"/>
        <w:spacing w:after="0" w:line="248" w:lineRule="auto"/>
        <w:rPr>
          <w:sz w:val="20"/>
          <w:szCs w:val="20"/>
          <w:color w:val="auto"/>
        </w:rPr>
      </w:pPr>
      <w:r>
        <w:rPr>
          <w:rFonts w:ascii="Times New Roman" w:cs="Times New Roman" w:eastAsia="Times New Roman" w:hAnsi="Times New Roman"/>
          <w:sz w:val="18"/>
          <w:szCs w:val="18"/>
          <w:color w:val="auto"/>
        </w:rPr>
        <w:t>Financial instruments consist primarily of cash and cash equivalents, investments, contracts-in-transit, accounts receivable, cash surrender value of corporate-owned life insurance policies, accounts payable, floor plan notes payable, subordinated long-term debt, mortgage notes payable and interest rate swap instruments. The carrying values of our financial instruments, with the exception of subordinated long-term debt and mortgage notes payable bearing interest at fixed rates, approximate fair value primarily due to (i) their short-term nature, (ii) recently completed market transactions, or (iii) existence of variable interest rates, which approximate market rates. The fair value of our subordinated long-term debt is based on reported market prices in an inactive market that reflect Level 2 inputs. We estimate the fair value of our mortgage notes payable using a present value technique based on current market interest rates for similar types of financial instruments that reflect Level 2 inputs.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right="60" w:firstLine="276"/>
        <w:spacing w:after="0" w:line="268" w:lineRule="auto"/>
        <w:rPr>
          <w:sz w:val="20"/>
          <w:szCs w:val="20"/>
          <w:color w:val="auto"/>
        </w:rPr>
      </w:pPr>
      <w:r>
        <w:rPr>
          <w:rFonts w:ascii="Times New Roman" w:cs="Times New Roman" w:eastAsia="Times New Roman" w:hAnsi="Times New Roman"/>
          <w:sz w:val="18"/>
          <w:szCs w:val="18"/>
          <w:color w:val="auto"/>
        </w:rPr>
        <w:t>A summary of the carrying values and fair values of our subordinated long-term debt notes and our mortgage notes payable bearing interest at fixed rates is as follows: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40" w:type="dxa"/>
            <w:vAlign w:val="bottom"/>
            <w:tcBorders>
              <w:bottom w:val="single" w:sz="8" w:color="auto"/>
            </w:tcBorders>
          </w:tcPr>
          <w:p>
            <w:pPr>
              <w:spacing w:after="0"/>
              <w:rPr>
                <w:sz w:val="18"/>
                <w:szCs w:val="18"/>
                <w:color w:val="auto"/>
              </w:rPr>
            </w:pPr>
          </w:p>
        </w:tc>
      </w:tr>
      <w:tr>
        <w:trPr>
          <w:trHeight w:val="205"/>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4"/>
          </w:tcPr>
          <w:p>
            <w:pPr>
              <w:jc w:val="right"/>
              <w:ind w:right="127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05"/>
        </w:trPr>
        <w:tc>
          <w:tcPr>
            <w:tcW w:w="1240" w:type="dxa"/>
            <w:vAlign w:val="bottom"/>
            <w:tcBorders>
              <w:left w:val="single" w:sz="8" w:color="CCEEFF"/>
              <w:bottom w:val="single" w:sz="8" w:color="auto"/>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w w:val="94"/>
              </w:rPr>
              <w:t>Carrying Value:</w:t>
            </w:r>
          </w:p>
        </w:tc>
        <w:tc>
          <w:tcPr>
            <w:tcW w:w="64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4.50% Senior Notes due 2028</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24"/>
        </w:trPr>
        <w:tc>
          <w:tcPr>
            <w:tcW w:w="7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4.625% Senior Notes due 2029</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4.75% Senior Notes due 2030</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r>
      <w:tr>
        <w:trPr>
          <w:trHeight w:val="224"/>
        </w:trPr>
        <w:tc>
          <w:tcPr>
            <w:tcW w:w="7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Senior Notes due 2032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r>
      <w:tr>
        <w:trPr>
          <w:trHeight w:val="224"/>
        </w:trPr>
        <w:tc>
          <w:tcPr>
            <w:tcW w:w="76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Mortgage notes payable bearing interest at fixed rates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42"/>
        </w:trPr>
        <w:tc>
          <w:tcPr>
            <w:tcW w:w="7680" w:type="dxa"/>
            <w:vAlign w:val="bottom"/>
            <w:tcBorders>
              <w:left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carrying value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84"/>
        </w:trPr>
        <w:tc>
          <w:tcPr>
            <w:tcW w:w="7680" w:type="dxa"/>
            <w:vAlign w:val="bottom"/>
            <w:tcBorders>
              <w:left w:val="single" w:sz="8" w:color="CCEEFF"/>
            </w:tcBorders>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39"/>
        </w:trPr>
        <w:tc>
          <w:tcPr>
            <w:tcW w:w="860" w:type="dxa"/>
            <w:vAlign w:val="bottom"/>
            <w:tcBorders>
              <w:left w:val="single" w:sz="8" w:color="CCEEFF"/>
            </w:tcBorders>
            <w:shd w:val="clear" w:color="auto" w:fill="000000"/>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4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4.50% Senior Notes due 2028</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r>
      <w:tr>
        <w:trPr>
          <w:trHeight w:val="224"/>
        </w:trPr>
        <w:tc>
          <w:tcPr>
            <w:tcW w:w="7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4.625% Senior Notes due 2029</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4.75% Senior Notes due 2030</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r>
      <w:tr>
        <w:trPr>
          <w:trHeight w:val="224"/>
        </w:trPr>
        <w:tc>
          <w:tcPr>
            <w:tcW w:w="7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Senior Notes due 2032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r>
      <w:tr>
        <w:trPr>
          <w:trHeight w:val="224"/>
        </w:trPr>
        <w:tc>
          <w:tcPr>
            <w:tcW w:w="76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Mortgage notes payable bearing interest at fixed rates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42"/>
        </w:trPr>
        <w:tc>
          <w:tcPr>
            <w:tcW w:w="7680" w:type="dxa"/>
            <w:vAlign w:val="bottom"/>
            <w:tcBorders>
              <w:left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fair value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63" w:lineRule="exact"/>
        <w:rPr>
          <w:sz w:val="20"/>
          <w:szCs w:val="20"/>
          <w:color w:val="auto"/>
        </w:rPr>
      </w:pPr>
    </w:p>
    <w:p>
      <w:pPr>
        <w:ind w:right="280" w:firstLine="237"/>
        <w:spacing w:after="0" w:line="268" w:lineRule="auto"/>
        <w:rPr>
          <w:sz w:val="20"/>
          <w:szCs w:val="20"/>
          <w:color w:val="auto"/>
        </w:rPr>
      </w:pPr>
      <w:r>
        <w:rPr>
          <w:rFonts w:ascii="Times New Roman" w:cs="Times New Roman" w:eastAsia="Times New Roman" w:hAnsi="Times New Roman"/>
          <w:sz w:val="18"/>
          <w:szCs w:val="18"/>
          <w:color w:val="auto"/>
        </w:rPr>
        <w:t>We currently have five interest rate swap agreements. These swaps are designed to provide a hedge against changes in variable rate cash flows regarding fluctuations in the SOFR rate.</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attributes of each swap as of June 30,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Inception Date</w:t>
            </w:r>
          </w:p>
        </w:tc>
        <w:tc>
          <w:tcPr>
            <w:tcW w:w="2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Notional Principal at Inception</w:t>
            </w:r>
          </w:p>
        </w:tc>
        <w:tc>
          <w:tcPr>
            <w:tcW w:w="160" w:type="dxa"/>
            <w:vAlign w:val="bottom"/>
          </w:tcPr>
          <w:p>
            <w:pPr>
              <w:spacing w:after="0"/>
              <w:rPr>
                <w:sz w:val="16"/>
                <w:szCs w:val="16"/>
                <w:color w:val="auto"/>
              </w:rPr>
            </w:pPr>
          </w:p>
        </w:tc>
        <w:tc>
          <w:tcPr>
            <w:tcW w:w="210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8"/>
              </w:rPr>
              <w:t>Notional Value as of June 30,</w:t>
            </w:r>
          </w:p>
        </w:tc>
        <w:tc>
          <w:tcPr>
            <w:tcW w:w="23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Notional Principal at Maturity</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Maturity Date</w:t>
            </w:r>
          </w:p>
        </w:tc>
        <w:tc>
          <w:tcPr>
            <w:tcW w:w="0" w:type="dxa"/>
            <w:vAlign w:val="bottom"/>
          </w:tcPr>
          <w:p>
            <w:pPr>
              <w:spacing w:after="0"/>
              <w:rPr>
                <w:sz w:val="1"/>
                <w:szCs w:val="1"/>
                <w:color w:val="auto"/>
              </w:rPr>
            </w:pPr>
          </w:p>
        </w:tc>
      </w:tr>
      <w:tr>
        <w:trPr>
          <w:trHeight w:val="210"/>
        </w:trPr>
        <w:tc>
          <w:tcPr>
            <w:tcW w:w="2260" w:type="dxa"/>
            <w:vAlign w:val="bottom"/>
            <w:gridSpan w:val="2"/>
            <w:vMerge w:val="continue"/>
          </w:tcPr>
          <w:p>
            <w:pPr>
              <w:spacing w:after="0"/>
              <w:rPr>
                <w:sz w:val="18"/>
                <w:szCs w:val="18"/>
                <w:color w:val="auto"/>
              </w:rPr>
            </w:pPr>
          </w:p>
        </w:tc>
        <w:tc>
          <w:tcPr>
            <w:tcW w:w="2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360" w:type="dxa"/>
            <w:vAlign w:val="bottom"/>
            <w:gridSpan w:val="3"/>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9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60" w:type="dxa"/>
            <w:vAlign w:val="bottom"/>
            <w:gridSpan w:val="2"/>
            <w:shd w:val="clear" w:color="auto" w:fill="BFE4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January 2022</w:t>
            </w:r>
          </w:p>
        </w:tc>
        <w:tc>
          <w:tcPr>
            <w:tcW w:w="9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251.3</w:t>
            </w:r>
          </w:p>
        </w:tc>
        <w:tc>
          <w:tcPr>
            <w:tcW w:w="980" w:type="dxa"/>
            <w:vAlign w:val="bottom"/>
            <w:shd w:val="clear" w:color="auto" w:fill="BFE4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December 2026</w:t>
            </w:r>
          </w:p>
        </w:tc>
        <w:tc>
          <w:tcPr>
            <w:tcW w:w="0" w:type="dxa"/>
            <w:vAlign w:val="bottom"/>
          </w:tcPr>
          <w:p>
            <w:pPr>
              <w:spacing w:after="0"/>
              <w:rPr>
                <w:sz w:val="1"/>
                <w:szCs w:val="1"/>
                <w:color w:val="auto"/>
              </w:rPr>
            </w:pPr>
          </w:p>
        </w:tc>
      </w:tr>
      <w:tr>
        <w:trPr>
          <w:trHeight w:val="224"/>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January 2022</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250.0</w:t>
            </w:r>
          </w:p>
        </w:tc>
        <w:tc>
          <w:tcPr>
            <w:tcW w:w="9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2031</w:t>
            </w:r>
          </w:p>
        </w:tc>
        <w:tc>
          <w:tcPr>
            <w:tcW w:w="0" w:type="dxa"/>
            <w:vAlign w:val="bottom"/>
          </w:tcPr>
          <w:p>
            <w:pPr>
              <w:spacing w:after="0"/>
              <w:rPr>
                <w:sz w:val="1"/>
                <w:szCs w:val="1"/>
                <w:color w:val="auto"/>
              </w:rPr>
            </w:pPr>
          </w:p>
        </w:tc>
      </w:tr>
      <w:tr>
        <w:trPr>
          <w:trHeight w:val="224"/>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2021</w:t>
            </w:r>
          </w:p>
        </w:tc>
        <w:tc>
          <w:tcPr>
            <w:tcW w:w="9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184.4</w:t>
            </w:r>
          </w:p>
        </w:tc>
        <w:tc>
          <w:tcPr>
            <w:tcW w:w="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154.9</w:t>
            </w:r>
          </w:p>
        </w:tc>
        <w:tc>
          <w:tcPr>
            <w:tcW w:w="980" w:type="dxa"/>
            <w:vAlign w:val="bottom"/>
            <w:shd w:val="clear" w:color="auto" w:fill="BFE4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May 2031</w:t>
            </w:r>
          </w:p>
        </w:tc>
        <w:tc>
          <w:tcPr>
            <w:tcW w:w="0" w:type="dxa"/>
            <w:vAlign w:val="bottom"/>
          </w:tcPr>
          <w:p>
            <w:pPr>
              <w:spacing w:after="0"/>
              <w:rPr>
                <w:sz w:val="1"/>
                <w:szCs w:val="1"/>
                <w:color w:val="auto"/>
              </w:rPr>
            </w:pPr>
          </w:p>
        </w:tc>
      </w:tr>
      <w:tr>
        <w:trPr>
          <w:trHeight w:val="224"/>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2020</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68.4</w:t>
            </w:r>
          </w:p>
        </w:tc>
        <w:tc>
          <w:tcPr>
            <w:tcW w:w="9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2028</w:t>
            </w:r>
          </w:p>
        </w:tc>
        <w:tc>
          <w:tcPr>
            <w:tcW w:w="0" w:type="dxa"/>
            <w:vAlign w:val="bottom"/>
          </w:tcPr>
          <w:p>
            <w:pPr>
              <w:spacing w:after="0"/>
              <w:rPr>
                <w:sz w:val="1"/>
                <w:szCs w:val="1"/>
                <w:color w:val="auto"/>
              </w:rPr>
            </w:pPr>
          </w:p>
        </w:tc>
      </w:tr>
      <w:tr>
        <w:trPr>
          <w:trHeight w:val="224"/>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2020</w:t>
            </w:r>
          </w:p>
        </w:tc>
        <w:tc>
          <w:tcPr>
            <w:tcW w:w="9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85.5</w:t>
            </w:r>
          </w:p>
        </w:tc>
        <w:tc>
          <w:tcPr>
            <w:tcW w:w="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60.0</w:t>
            </w:r>
          </w:p>
        </w:tc>
        <w:tc>
          <w:tcPr>
            <w:tcW w:w="980" w:type="dxa"/>
            <w:vAlign w:val="bottom"/>
            <w:shd w:val="clear" w:color="auto" w:fill="BFE4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November 2025</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320" w:firstLine="237"/>
        <w:spacing w:after="0" w:line="252" w:lineRule="auto"/>
        <w:rPr>
          <w:sz w:val="20"/>
          <w:szCs w:val="20"/>
          <w:color w:val="auto"/>
        </w:rPr>
      </w:pPr>
      <w:r>
        <w:rPr>
          <w:rFonts w:ascii="Times New Roman" w:cs="Times New Roman" w:eastAsia="Times New Roman" w:hAnsi="Times New Roman"/>
          <w:sz w:val="18"/>
          <w:szCs w:val="18"/>
          <w:color w:val="auto"/>
        </w:rPr>
        <w:t>The fair value of cash flow swaps is calculated as the present value of expected future cash flows, determined on the basis of forward interest rates and present value factors. Fair value estimates reflect a credit adjustment to the discount rate applied to all expected cash flows under the swaps. Other than this input, all other inputs used in the valuation for these swaps are designated to be Level 2 inputs. The fair value of our swaps as of June 30, 2025 and December 31, 2024 reflect a net asset of $54.4 million and $76.6 million,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20" w:firstLine="276"/>
        <w:spacing w:after="0" w:line="268" w:lineRule="auto"/>
        <w:rPr>
          <w:sz w:val="20"/>
          <w:szCs w:val="20"/>
          <w:color w:val="auto"/>
        </w:rPr>
      </w:pPr>
      <w:r>
        <w:rPr>
          <w:rFonts w:ascii="Times New Roman" w:cs="Times New Roman" w:eastAsia="Times New Roman" w:hAnsi="Times New Roman"/>
          <w:sz w:val="18"/>
          <w:szCs w:val="18"/>
          <w:color w:val="auto"/>
        </w:rPr>
        <w:t>The following table provides information regarding the fair value of our interest rate swap agreements and the impact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tcBorders>
              <w:bottom w:val="single" w:sz="8" w:color="auto"/>
            </w:tcBorders>
          </w:tcPr>
          <w:p>
            <w:pPr>
              <w:spacing w:after="0"/>
              <w:rPr>
                <w:sz w:val="18"/>
                <w:szCs w:val="18"/>
                <w:color w:val="auto"/>
              </w:rPr>
            </w:pPr>
          </w:p>
        </w:tc>
      </w:tr>
      <w:tr>
        <w:trPr>
          <w:trHeight w:val="205"/>
        </w:trPr>
        <w:tc>
          <w:tcPr>
            <w:tcW w:w="8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04"/>
        </w:trPr>
        <w:tc>
          <w:tcPr>
            <w:tcW w:w="8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60" w:type="dxa"/>
            <w:vAlign w:val="bottom"/>
          </w:tcPr>
          <w:p>
            <w:pPr>
              <w:spacing w:after="0"/>
              <w:rPr>
                <w:sz w:val="17"/>
                <w:szCs w:val="17"/>
                <w:color w:val="auto"/>
              </w:rPr>
            </w:pPr>
          </w:p>
        </w:tc>
      </w:tr>
      <w:tr>
        <w:trPr>
          <w:trHeight w:val="225"/>
        </w:trPr>
        <w:tc>
          <w:tcPr>
            <w:tcW w:w="84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FE4FF"/>
          </w:tcPr>
          <w:p>
            <w:pPr>
              <w:ind w:left="80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BFE4FF"/>
          </w:tcPr>
          <w:p>
            <w:pPr>
              <w:spacing w:after="0"/>
              <w:rPr>
                <w:sz w:val="19"/>
                <w:szCs w:val="19"/>
                <w:color w:val="auto"/>
              </w:rPr>
            </w:pPr>
          </w:p>
        </w:tc>
        <w:tc>
          <w:tcPr>
            <w:tcW w:w="6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4"/>
        </w:trPr>
        <w:tc>
          <w:tcPr>
            <w:tcW w:w="848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BFE4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42"/>
        </w:trPr>
        <w:tc>
          <w:tcPr>
            <w:tcW w:w="8480" w:type="dxa"/>
            <w:vAlign w:val="bottom"/>
            <w:tcBorders>
              <w:bottom w:val="single" w:sz="8" w:color="BFE4FF"/>
            </w:tcBorders>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Total fair value</w:t>
            </w:r>
          </w:p>
        </w:tc>
        <w:tc>
          <w:tcPr>
            <w:tcW w:w="1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BFE4FF"/>
          </w:tcPr>
          <w:p>
            <w:pPr>
              <w:ind w:left="80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bottom w:val="single" w:sz="8" w:color="BFE4FF"/>
            </w:tcBorders>
            <w:shd w:val="clear" w:color="auto" w:fill="BFE4FF"/>
          </w:tcPr>
          <w:p>
            <w:pPr>
              <w:spacing w:after="0"/>
              <w:rPr>
                <w:sz w:val="20"/>
                <w:szCs w:val="20"/>
                <w:color w:val="auto"/>
              </w:rPr>
            </w:pPr>
          </w:p>
        </w:tc>
        <w:tc>
          <w:tcPr>
            <w:tcW w:w="660" w:type="dxa"/>
            <w:vAlign w:val="bottom"/>
            <w:tcBorders>
              <w:bottom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0"/>
        </w:trPr>
        <w:tc>
          <w:tcPr>
            <w:tcW w:w="848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1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660" w:type="dxa"/>
            <w:vAlign w:val="bottom"/>
            <w:tcBorders>
              <w:top w:val="single" w:sz="8" w:color="BFE4FF"/>
              <w:bottom w:val="single" w:sz="8" w:color="auto"/>
            </w:tcBorders>
          </w:tcPr>
          <w:p>
            <w:pPr>
              <w:spacing w:after="0" w:line="20" w:lineRule="exact"/>
              <w:rPr>
                <w:sz w:val="1"/>
                <w:szCs w:val="1"/>
                <w:color w:val="auto"/>
              </w:rPr>
            </w:pPr>
          </w:p>
        </w:tc>
        <w:tc>
          <w:tcPr>
            <w:tcW w:w="660" w:type="dxa"/>
            <w:vAlign w:val="bottom"/>
            <w:tcBorders>
              <w:top w:val="single" w:sz="8" w:color="BFE4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120" w:firstLine="237"/>
        <w:spacing w:after="0" w:line="252" w:lineRule="auto"/>
        <w:rPr>
          <w:sz w:val="20"/>
          <w:szCs w:val="20"/>
          <w:color w:val="auto"/>
        </w:rPr>
      </w:pPr>
      <w:r>
        <w:rPr>
          <w:rFonts w:ascii="Times New Roman" w:cs="Times New Roman" w:eastAsia="Times New Roman" w:hAnsi="Times New Roman"/>
          <w:sz w:val="18"/>
          <w:szCs w:val="18"/>
          <w:color w:val="auto"/>
        </w:rPr>
        <w:t>Our interest rate swaps qualify for cash flow hedge accounting treatment. These interest rate swaps are marked to market at each reporting date and any unrealized gains or losses are included in accumulated other comprehensive income and reclassified to interest expense in the same period or periods during which the hedged transactions affect earnings. Information about the effects of our interest rate swap agreements in the accompanying condensed consolidated statements of income and condensed consolidated statements of comprehensive income, is as follows (in millions):</w:t>
      </w:r>
    </w:p>
    <w:p>
      <w:pPr>
        <w:spacing w:after="0" w:line="5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2180" w:type="dxa"/>
            <w:vAlign w:val="bottom"/>
            <w:vMerge w:val="restart"/>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294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Results Recognized in Accumulated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Location of Results Reclassified from</w:t>
            </w:r>
          </w:p>
        </w:tc>
        <w:tc>
          <w:tcPr>
            <w:tcW w:w="288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8"/>
              </w:rPr>
              <w:t>Results Reclassified from Accumulated</w:t>
            </w:r>
          </w:p>
        </w:tc>
        <w:tc>
          <w:tcPr>
            <w:tcW w:w="0" w:type="dxa"/>
            <w:vAlign w:val="bottom"/>
          </w:tcPr>
          <w:p>
            <w:pPr>
              <w:spacing w:after="0"/>
              <w:rPr>
                <w:sz w:val="1"/>
                <w:szCs w:val="1"/>
                <w:color w:val="auto"/>
              </w:rPr>
            </w:pPr>
          </w:p>
        </w:tc>
      </w:tr>
      <w:tr>
        <w:trPr>
          <w:trHeight w:val="158"/>
        </w:trPr>
        <w:tc>
          <w:tcPr>
            <w:tcW w:w="2180" w:type="dxa"/>
            <w:vAlign w:val="bottom"/>
            <w:vMerge w:val="continue"/>
          </w:tcPr>
          <w:p>
            <w:pPr>
              <w:spacing w:after="0"/>
              <w:rPr>
                <w:sz w:val="13"/>
                <w:szCs w:val="13"/>
                <w:color w:val="auto"/>
              </w:rPr>
            </w:pPr>
          </w:p>
        </w:tc>
        <w:tc>
          <w:tcPr>
            <w:tcW w:w="2940" w:type="dxa"/>
            <w:vAlign w:val="bottom"/>
          </w:tcPr>
          <w:p>
            <w:pPr>
              <w:jc w:val="center"/>
              <w:ind w:right="1"/>
              <w:spacing w:after="0" w:line="158" w:lineRule="exact"/>
              <w:rPr>
                <w:sz w:val="20"/>
                <w:szCs w:val="20"/>
                <w:color w:val="auto"/>
              </w:rPr>
            </w:pPr>
            <w:r>
              <w:rPr>
                <w:rFonts w:ascii="Times New Roman" w:cs="Times New Roman" w:eastAsia="Times New Roman" w:hAnsi="Times New Roman"/>
                <w:sz w:val="16"/>
                <w:szCs w:val="16"/>
                <w:b w:val="1"/>
                <w:bCs w:val="1"/>
                <w:color w:val="auto"/>
                <w:w w:val="99"/>
              </w:rPr>
              <w:t>Other Comprehensive Income/(Loss)</w:t>
            </w:r>
          </w:p>
        </w:tc>
        <w:tc>
          <w:tcPr>
            <w:tcW w:w="3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2880" w:type="dxa"/>
            <w:vAlign w:val="bottom"/>
          </w:tcPr>
          <w:p>
            <w:pPr>
              <w:jc w:val="center"/>
              <w:ind w:left="1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Other Comprehensive Income/(Loss)</w:t>
            </w:r>
          </w:p>
        </w:tc>
        <w:tc>
          <w:tcPr>
            <w:tcW w:w="0" w:type="dxa"/>
            <w:vAlign w:val="bottom"/>
          </w:tcPr>
          <w:p>
            <w:pPr>
              <w:spacing w:after="0"/>
              <w:rPr>
                <w:sz w:val="1"/>
                <w:szCs w:val="1"/>
                <w:color w:val="auto"/>
              </w:rPr>
            </w:pPr>
          </w:p>
        </w:tc>
      </w:tr>
      <w:tr>
        <w:trPr>
          <w:trHeight w:val="209"/>
        </w:trPr>
        <w:tc>
          <w:tcPr>
            <w:tcW w:w="218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94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(Effective Portion)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Income/(Loss) to Earnings</w:t>
            </w:r>
          </w:p>
        </w:tc>
        <w:tc>
          <w:tcPr>
            <w:tcW w:w="288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rPr>
              <w:t>to Earnings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Borders>
              <w:top w:val="single" w:sz="8" w:color="BFE4FF"/>
            </w:tcBorders>
            <w:shd w:val="clear" w:color="auto" w:fill="BFE4FF"/>
          </w:tcPr>
          <w:p>
            <w:pPr>
              <w:spacing w:after="0"/>
              <w:rPr>
                <w:sz w:val="19"/>
                <w:szCs w:val="19"/>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BFE4FF"/>
            </w:tcBorders>
            <w:shd w:val="clear" w:color="auto" w:fill="BFE4FF"/>
          </w:tcPr>
          <w:p>
            <w:pPr>
              <w:spacing w:after="0"/>
              <w:rPr>
                <w:sz w:val="19"/>
                <w:szCs w:val="19"/>
                <w:color w:val="auto"/>
              </w:rPr>
            </w:pPr>
          </w:p>
        </w:tc>
        <w:tc>
          <w:tcPr>
            <w:tcW w:w="31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6"/>
              </w:rPr>
              <w:t>Other interest expense, net</w:t>
            </w:r>
          </w:p>
        </w:tc>
        <w:tc>
          <w:tcPr>
            <w:tcW w:w="100" w:type="dxa"/>
            <w:vAlign w:val="bottom"/>
            <w:tcBorders>
              <w:top w:val="single" w:sz="8" w:color="BFE4FF"/>
            </w:tcBorders>
            <w:shd w:val="clear" w:color="auto" w:fill="BFE4FF"/>
          </w:tcPr>
          <w:p>
            <w:pPr>
              <w:spacing w:after="0"/>
              <w:rPr>
                <w:sz w:val="19"/>
                <w:szCs w:val="19"/>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Other interest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2"/>
        </w:trPr>
        <w:tc>
          <w:tcPr>
            <w:tcW w:w="2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120" w:type="dxa"/>
            <w:vAlign w:val="bottom"/>
          </w:tcPr>
          <w:p>
            <w:pPr>
              <w:spacing w:after="0"/>
              <w:rPr>
                <w:sz w:val="23"/>
                <w:szCs w:val="23"/>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Results Recognized in Accumulated</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Location of Results Reclassified from</w:t>
            </w: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Results Reclassified from Accumulated</w:t>
            </w:r>
          </w:p>
        </w:tc>
        <w:tc>
          <w:tcPr>
            <w:tcW w:w="0" w:type="dxa"/>
            <w:vAlign w:val="bottom"/>
          </w:tcPr>
          <w:p>
            <w:pPr>
              <w:spacing w:after="0"/>
              <w:rPr>
                <w:sz w:val="1"/>
                <w:szCs w:val="1"/>
                <w:color w:val="auto"/>
              </w:rPr>
            </w:pPr>
          </w:p>
        </w:tc>
      </w:tr>
      <w:tr>
        <w:trPr>
          <w:trHeight w:val="158"/>
        </w:trPr>
        <w:tc>
          <w:tcPr>
            <w:tcW w:w="2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7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Other Comprehensive Income/(Loss)</w:t>
            </w:r>
          </w:p>
        </w:tc>
        <w:tc>
          <w:tcPr>
            <w:tcW w:w="32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140" w:type="dxa"/>
            <w:vAlign w:val="bottom"/>
          </w:tcPr>
          <w:p>
            <w:pPr>
              <w:spacing w:after="0"/>
              <w:rPr>
                <w:sz w:val="13"/>
                <w:szCs w:val="13"/>
                <w:color w:val="auto"/>
              </w:rPr>
            </w:pPr>
          </w:p>
        </w:tc>
        <w:tc>
          <w:tcPr>
            <w:tcW w:w="2660" w:type="dxa"/>
            <w:vAlign w:val="bottom"/>
          </w:tcPr>
          <w:p>
            <w:pPr>
              <w:jc w:val="center"/>
              <w:ind w:right="55"/>
              <w:spacing w:after="0" w:line="158" w:lineRule="exact"/>
              <w:rPr>
                <w:sz w:val="20"/>
                <w:szCs w:val="20"/>
                <w:color w:val="auto"/>
              </w:rPr>
            </w:pPr>
            <w:r>
              <w:rPr>
                <w:rFonts w:ascii="Times New Roman" w:cs="Times New Roman" w:eastAsia="Times New Roman" w:hAnsi="Times New Roman"/>
                <w:sz w:val="16"/>
                <w:szCs w:val="16"/>
                <w:b w:val="1"/>
                <w:bCs w:val="1"/>
                <w:color w:val="auto"/>
                <w:w w:val="98"/>
              </w:rPr>
              <w:t>Other Comprehensive Income/(Loss)</w:t>
            </w:r>
          </w:p>
        </w:tc>
        <w:tc>
          <w:tcPr>
            <w:tcW w:w="0" w:type="dxa"/>
            <w:vAlign w:val="bottom"/>
          </w:tcPr>
          <w:p>
            <w:pPr>
              <w:spacing w:after="0"/>
              <w:rPr>
                <w:sz w:val="1"/>
                <w:szCs w:val="1"/>
                <w:color w:val="auto"/>
              </w:rPr>
            </w:pPr>
          </w:p>
        </w:tc>
      </w:tr>
      <w:tr>
        <w:trPr>
          <w:trHeight w:val="210"/>
        </w:trPr>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(Effective Portion)</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Income/(Loss) to Earnings</w:t>
            </w:r>
          </w:p>
        </w:tc>
        <w:tc>
          <w:tcPr>
            <w:tcW w:w="140" w:type="dxa"/>
            <w:vAlign w:val="bottom"/>
          </w:tcPr>
          <w:p>
            <w:pPr>
              <w:spacing w:after="0"/>
              <w:rPr>
                <w:sz w:val="18"/>
                <w:szCs w:val="18"/>
                <w:color w:val="auto"/>
              </w:rPr>
            </w:pPr>
          </w:p>
        </w:tc>
        <w:tc>
          <w:tcPr>
            <w:tcW w:w="26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to Earnings</w:t>
            </w:r>
          </w:p>
        </w:tc>
        <w:tc>
          <w:tcPr>
            <w:tcW w:w="0" w:type="dxa"/>
            <w:vAlign w:val="bottom"/>
          </w:tcPr>
          <w:p>
            <w:pPr>
              <w:spacing w:after="0"/>
              <w:rPr>
                <w:sz w:val="1"/>
                <w:szCs w:val="1"/>
                <w:color w:val="auto"/>
              </w:rPr>
            </w:pPr>
          </w:p>
        </w:tc>
      </w:tr>
      <w:tr>
        <w:trPr>
          <w:trHeight w:val="218"/>
        </w:trPr>
        <w:tc>
          <w:tcPr>
            <w:tcW w:w="22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Borders>
              <w:top w:val="single" w:sz="8" w:color="BFE4FF"/>
            </w:tcBorders>
            <w:shd w:val="clear" w:color="auto" w:fill="BFE4FF"/>
          </w:tcPr>
          <w:p>
            <w:pPr>
              <w:spacing w:after="0"/>
              <w:rPr>
                <w:sz w:val="18"/>
                <w:szCs w:val="18"/>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BFE4FF"/>
            </w:tcBorders>
            <w:shd w:val="clear" w:color="auto" w:fill="BFE4FF"/>
          </w:tcPr>
          <w:p>
            <w:pPr>
              <w:spacing w:after="0"/>
              <w:rPr>
                <w:sz w:val="18"/>
                <w:szCs w:val="18"/>
                <w:color w:val="auto"/>
              </w:rPr>
            </w:pPr>
          </w:p>
        </w:tc>
        <w:tc>
          <w:tcPr>
            <w:tcW w:w="31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6"/>
              </w:rPr>
              <w:t>Other interest expense, net</w:t>
            </w:r>
          </w:p>
        </w:tc>
        <w:tc>
          <w:tcPr>
            <w:tcW w:w="100" w:type="dxa"/>
            <w:vAlign w:val="bottom"/>
            <w:tcBorders>
              <w:top w:val="single" w:sz="8" w:color="BFE4FF"/>
            </w:tcBorders>
            <w:shd w:val="clear" w:color="auto" w:fill="BFE4FF"/>
          </w:tcPr>
          <w:p>
            <w:pPr>
              <w:spacing w:after="0"/>
              <w:rPr>
                <w:sz w:val="18"/>
                <w:szCs w:val="18"/>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Other interest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580" w:firstLine="276"/>
        <w:spacing w:after="0" w:line="268" w:lineRule="auto"/>
        <w:rPr>
          <w:sz w:val="20"/>
          <w:szCs w:val="20"/>
          <w:color w:val="auto"/>
        </w:rPr>
      </w:pPr>
      <w:r>
        <w:rPr>
          <w:rFonts w:ascii="Times New Roman" w:cs="Times New Roman" w:eastAsia="Times New Roman" w:hAnsi="Times New Roman"/>
          <w:sz w:val="18"/>
          <w:szCs w:val="18"/>
          <w:color w:val="auto"/>
        </w:rPr>
        <w:t>On the basis of yield curve conditions as of June 30, 2025 and including assumptions about future changes in fair value, we expect the amount to be reclassified out of accumulated other comprehensive income into earnings within the next 12 months will be gains of $17.1 million.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63" w:lineRule="exact"/>
        <w:rPr>
          <w:sz w:val="20"/>
          <w:szCs w:val="20"/>
          <w:color w:val="auto"/>
        </w:rPr>
      </w:pPr>
    </w:p>
    <w:p>
      <w:pPr>
        <w:ind w:right="240" w:firstLine="237"/>
        <w:spacing w:after="0" w:line="298"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7"/>
          <w:szCs w:val="17"/>
          <w:color w:val="auto"/>
        </w:rPr>
        <w:t>table below presents the Company’s investment securities that are measured at fair value on a recurring basis aggregated by the level in the 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hierarchy within which those measurements fall: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3"/>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42"/>
        </w:trPr>
        <w:tc>
          <w:tcPr>
            <w:tcW w:w="6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3"/>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42"/>
        </w:trPr>
        <w:tc>
          <w:tcPr>
            <w:tcW w:w="6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right="80" w:firstLine="276"/>
        <w:spacing w:after="0" w:line="256"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investments. Such reclassifications are reported as transfers in and out of Level 3, or between other levels, at the beginning fair value for the reporting period in which the changes occur.</w:t>
      </w:r>
    </w:p>
    <w:p>
      <w:pPr>
        <w:spacing w:after="0" w:line="127" w:lineRule="exact"/>
        <w:rPr>
          <w:sz w:val="20"/>
          <w:szCs w:val="20"/>
          <w:color w:val="auto"/>
        </w:rPr>
      </w:pPr>
    </w:p>
    <w:p>
      <w:pPr>
        <w:ind w:right="80" w:firstLine="237"/>
        <w:spacing w:after="0" w:line="332" w:lineRule="auto"/>
        <w:rPr>
          <w:sz w:val="20"/>
          <w:szCs w:val="20"/>
          <w:color w:val="auto"/>
        </w:rPr>
      </w:pPr>
      <w:r>
        <w:rPr>
          <w:rFonts w:ascii="Times New Roman" w:cs="Times New Roman" w:eastAsia="Times New Roman" w:hAnsi="Times New Roman"/>
          <w:sz w:val="16"/>
          <w:szCs w:val="16"/>
          <w:color w:val="auto"/>
        </w:rPr>
        <w:t>Available-for-sale debt securities are recorded at fair value and any unrealized gains or losses are included in accumulated other comprehensive income and reclassified to finance and insurance, net revenue in the period or periods during which the debt securities are sold and the gains or losses are realized.</w:t>
      </w:r>
    </w:p>
    <w:p>
      <w:pPr>
        <w:spacing w:after="0" w:line="17" w:lineRule="exact"/>
        <w:rPr>
          <w:sz w:val="20"/>
          <w:szCs w:val="20"/>
          <w:color w:val="auto"/>
        </w:rPr>
      </w:pPr>
    </w:p>
    <w:p>
      <w:pPr>
        <w:ind w:right="340" w:firstLine="237"/>
        <w:spacing w:after="0" w:line="268" w:lineRule="auto"/>
        <w:rPr>
          <w:sz w:val="20"/>
          <w:szCs w:val="20"/>
          <w:color w:val="auto"/>
        </w:rPr>
      </w:pPr>
      <w:r>
        <w:rPr>
          <w:rFonts w:ascii="Times New Roman" w:cs="Times New Roman" w:eastAsia="Times New Roman" w:hAnsi="Times New Roman"/>
          <w:sz w:val="18"/>
          <w:szCs w:val="18"/>
          <w:color w:val="auto"/>
        </w:rPr>
        <w:t>Information about the effects of our available-for-sale debt securities in the accompanying condensed consolidated statements of income and condensed consolidated statements of comprehensive income, is as follows (in millions):</w:t>
      </w:r>
    </w:p>
    <w:p>
      <w:pPr>
        <w:spacing w:after="0" w:line="30"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296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Results Recognized in Accumulated</w:t>
            </w: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Location of Results Reclassified from</w:t>
            </w:r>
          </w:p>
        </w:tc>
        <w:tc>
          <w:tcPr>
            <w:tcW w:w="2740" w:type="dxa"/>
            <w:vAlign w:val="bottom"/>
          </w:tcPr>
          <w:p>
            <w:pPr>
              <w:jc w:val="center"/>
              <w:ind w:left="241"/>
              <w:spacing w:after="0"/>
              <w:rPr>
                <w:sz w:val="20"/>
                <w:szCs w:val="20"/>
                <w:color w:val="auto"/>
              </w:rPr>
            </w:pPr>
            <w:r>
              <w:rPr>
                <w:rFonts w:ascii="Times New Roman" w:cs="Times New Roman" w:eastAsia="Times New Roman" w:hAnsi="Times New Roman"/>
                <w:sz w:val="16"/>
                <w:szCs w:val="16"/>
                <w:b w:val="1"/>
                <w:bCs w:val="1"/>
                <w:color w:val="auto"/>
                <w:w w:val="98"/>
              </w:rPr>
              <w:t>Results Reclassified from</w:t>
            </w:r>
          </w:p>
        </w:tc>
        <w:tc>
          <w:tcPr>
            <w:tcW w:w="0" w:type="dxa"/>
            <w:vAlign w:val="bottom"/>
          </w:tcPr>
          <w:p>
            <w:pPr>
              <w:spacing w:after="0"/>
              <w:rPr>
                <w:sz w:val="1"/>
                <w:szCs w:val="1"/>
                <w:color w:val="auto"/>
              </w:rPr>
            </w:pPr>
          </w:p>
        </w:tc>
      </w:tr>
      <w:tr>
        <w:trPr>
          <w:trHeight w:val="158"/>
        </w:trPr>
        <w:tc>
          <w:tcPr>
            <w:tcW w:w="2140" w:type="dxa"/>
            <w:vAlign w:val="bottom"/>
            <w:vMerge w:val="restart"/>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2960" w:type="dxa"/>
            <w:vAlign w:val="bottom"/>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2740" w:type="dxa"/>
            <w:vAlign w:val="bottom"/>
          </w:tcPr>
          <w:p>
            <w:pPr>
              <w:jc w:val="center"/>
              <w:ind w:left="241"/>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0" w:type="dxa"/>
            <w:vAlign w:val="bottom"/>
          </w:tcPr>
          <w:p>
            <w:pPr>
              <w:spacing w:after="0"/>
              <w:rPr>
                <w:sz w:val="1"/>
                <w:szCs w:val="1"/>
                <w:color w:val="auto"/>
              </w:rPr>
            </w:pPr>
          </w:p>
        </w:tc>
      </w:tr>
      <w:tr>
        <w:trPr>
          <w:trHeight w:val="158"/>
        </w:trPr>
        <w:tc>
          <w:tcPr>
            <w:tcW w:w="2140" w:type="dxa"/>
            <w:vAlign w:val="bottom"/>
            <w:vMerge w:val="continue"/>
          </w:tcPr>
          <w:p>
            <w:pPr>
              <w:spacing w:after="0"/>
              <w:rPr>
                <w:sz w:val="13"/>
                <w:szCs w:val="13"/>
                <w:color w:val="auto"/>
              </w:rPr>
            </w:pPr>
          </w:p>
        </w:tc>
        <w:tc>
          <w:tcPr>
            <w:tcW w:w="296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w w:val="99"/>
              </w:rPr>
              <w:t>Other Comprehensive Income/(Loss)</w:t>
            </w:r>
          </w:p>
        </w:tc>
        <w:tc>
          <w:tcPr>
            <w:tcW w:w="31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2740" w:type="dxa"/>
            <w:vAlign w:val="bottom"/>
          </w:tcPr>
          <w:p>
            <w:pPr>
              <w:jc w:val="center"/>
              <w:ind w:left="221"/>
              <w:spacing w:after="0" w:line="158" w:lineRule="exact"/>
              <w:rPr>
                <w:sz w:val="20"/>
                <w:szCs w:val="20"/>
                <w:color w:val="auto"/>
              </w:rPr>
            </w:pPr>
            <w:r>
              <w:rPr>
                <w:rFonts w:ascii="Times New Roman" w:cs="Times New Roman" w:eastAsia="Times New Roman" w:hAnsi="Times New Roman"/>
                <w:sz w:val="16"/>
                <w:szCs w:val="16"/>
                <w:b w:val="1"/>
                <w:bCs w:val="1"/>
                <w:color w:val="auto"/>
                <w:w w:val="99"/>
              </w:rPr>
              <w:t>Income/(Loss)</w:t>
            </w:r>
          </w:p>
        </w:tc>
        <w:tc>
          <w:tcPr>
            <w:tcW w:w="0" w:type="dxa"/>
            <w:vAlign w:val="bottom"/>
          </w:tcPr>
          <w:p>
            <w:pPr>
              <w:spacing w:after="0"/>
              <w:rPr>
                <w:sz w:val="1"/>
                <w:szCs w:val="1"/>
                <w:color w:val="auto"/>
              </w:rPr>
            </w:pPr>
          </w:p>
        </w:tc>
      </w:tr>
      <w:tr>
        <w:trPr>
          <w:trHeight w:val="209"/>
        </w:trPr>
        <w:tc>
          <w:tcPr>
            <w:tcW w:w="214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96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(Effective Portion)</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Income/(Loss) to Earnings</w:t>
            </w:r>
          </w:p>
        </w:tc>
        <w:tc>
          <w:tcPr>
            <w:tcW w:w="2740" w:type="dxa"/>
            <w:vAlign w:val="bottom"/>
          </w:tcPr>
          <w:p>
            <w:pPr>
              <w:jc w:val="center"/>
              <w:ind w:left="241"/>
              <w:spacing w:after="0"/>
              <w:rPr>
                <w:sz w:val="20"/>
                <w:szCs w:val="20"/>
                <w:color w:val="auto"/>
              </w:rPr>
            </w:pPr>
            <w:r>
              <w:rPr>
                <w:rFonts w:ascii="Times New Roman" w:cs="Times New Roman" w:eastAsia="Times New Roman" w:hAnsi="Times New Roman"/>
                <w:sz w:val="16"/>
                <w:szCs w:val="16"/>
                <w:b w:val="1"/>
                <w:bCs w:val="1"/>
                <w:color w:val="auto"/>
                <w:w w:val="97"/>
              </w:rPr>
              <w:t>to Earnings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80" w:type="dxa"/>
            <w:vAlign w:val="bottom"/>
            <w:tcBorders>
              <w:top w:val="single" w:sz="8" w:color="BFE4FF"/>
            </w:tcBorders>
            <w:shd w:val="clear" w:color="auto" w:fill="BFE4FF"/>
          </w:tcPr>
          <w:p>
            <w:pPr>
              <w:spacing w:after="0"/>
              <w:rPr>
                <w:sz w:val="19"/>
                <w:szCs w:val="19"/>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top w:val="single" w:sz="8" w:color="auto"/>
            </w:tcBorders>
            <w:shd w:val="clear" w:color="auto" w:fill="BFE4FF"/>
          </w:tcPr>
          <w:p>
            <w:pPr>
              <w:jc w:val="center"/>
              <w:ind w:left="2115"/>
              <w:spacing w:after="0"/>
              <w:rPr>
                <w:sz w:val="20"/>
                <w:szCs w:val="20"/>
                <w:color w:val="auto"/>
              </w:rPr>
            </w:pPr>
            <w:r>
              <w:rPr>
                <w:rFonts w:ascii="Times New Roman" w:cs="Times New Roman" w:eastAsia="Times New Roman" w:hAnsi="Times New Roman"/>
                <w:sz w:val="18"/>
                <w:szCs w:val="18"/>
                <w:color w:val="auto"/>
                <w:w w:val="97"/>
              </w:rPr>
              <w:t>1.3</w:t>
            </w:r>
          </w:p>
        </w:tc>
        <w:tc>
          <w:tcPr>
            <w:tcW w:w="80" w:type="dxa"/>
            <w:vAlign w:val="bottom"/>
            <w:tcBorders>
              <w:top w:val="single" w:sz="8" w:color="BFE4FF"/>
            </w:tcBorders>
            <w:shd w:val="clear" w:color="auto" w:fill="BFE4FF"/>
          </w:tcPr>
          <w:p>
            <w:pPr>
              <w:spacing w:after="0"/>
              <w:rPr>
                <w:sz w:val="19"/>
                <w:szCs w:val="19"/>
                <w:color w:val="auto"/>
              </w:rPr>
            </w:pPr>
          </w:p>
        </w:tc>
        <w:tc>
          <w:tcPr>
            <w:tcW w:w="334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Revenue-Finance and insurance, net</w:t>
            </w:r>
          </w:p>
        </w:tc>
        <w:tc>
          <w:tcPr>
            <w:tcW w:w="100" w:type="dxa"/>
            <w:vAlign w:val="bottom"/>
            <w:tcBorders>
              <w:top w:val="single" w:sz="8" w:color="BFE4FF"/>
            </w:tcBorders>
            <w:shd w:val="clear" w:color="auto" w:fill="BFE4FF"/>
          </w:tcPr>
          <w:p>
            <w:pPr>
              <w:spacing w:after="0"/>
              <w:rPr>
                <w:sz w:val="19"/>
                <w:szCs w:val="19"/>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jc w:val="center"/>
              <w:ind w:left="2075"/>
              <w:spacing w:after="0"/>
              <w:rPr>
                <w:sz w:val="20"/>
                <w:szCs w:val="20"/>
                <w:color w:val="auto"/>
              </w:rPr>
            </w:pPr>
            <w:r>
              <w:rPr>
                <w:rFonts w:ascii="Times New Roman" w:cs="Times New Roman" w:eastAsia="Times New Roman" w:hAnsi="Times New Roman"/>
                <w:sz w:val="18"/>
                <w:szCs w:val="18"/>
                <w:color w:val="auto"/>
                <w:w w:val="98"/>
              </w:rPr>
              <w:t>(1.4)</w:t>
            </w:r>
          </w:p>
        </w:tc>
        <w:tc>
          <w:tcPr>
            <w:tcW w:w="80" w:type="dxa"/>
            <w:vAlign w:val="bottom"/>
          </w:tcPr>
          <w:p>
            <w:pPr>
              <w:spacing w:after="0"/>
              <w:rPr>
                <w:sz w:val="19"/>
                <w:szCs w:val="19"/>
                <w:color w:val="auto"/>
              </w:rPr>
            </w:pP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Revenue-Finance and insurance,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9"/>
        </w:trPr>
        <w:tc>
          <w:tcPr>
            <w:tcW w:w="2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Results Recognized in Accumulated</w:t>
            </w:r>
          </w:p>
        </w:tc>
        <w:tc>
          <w:tcPr>
            <w:tcW w:w="3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Location of Results Reclassified from</w:t>
            </w:r>
          </w:p>
        </w:tc>
        <w:tc>
          <w:tcPr>
            <w:tcW w:w="100" w:type="dxa"/>
            <w:vAlign w:val="bottom"/>
          </w:tcPr>
          <w:p>
            <w:pPr>
              <w:spacing w:after="0"/>
              <w:rPr>
                <w:sz w:val="22"/>
                <w:szCs w:val="22"/>
                <w:color w:val="auto"/>
              </w:rPr>
            </w:pPr>
          </w:p>
        </w:tc>
        <w:tc>
          <w:tcPr>
            <w:tcW w:w="256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Results Reclassified from</w:t>
            </w:r>
          </w:p>
        </w:tc>
        <w:tc>
          <w:tcPr>
            <w:tcW w:w="0" w:type="dxa"/>
            <w:vAlign w:val="bottom"/>
          </w:tcPr>
          <w:p>
            <w:pPr>
              <w:spacing w:after="0"/>
              <w:rPr>
                <w:sz w:val="1"/>
                <w:szCs w:val="1"/>
                <w:color w:val="auto"/>
              </w:rPr>
            </w:pPr>
          </w:p>
        </w:tc>
      </w:tr>
      <w:tr>
        <w:trPr>
          <w:trHeight w:val="158"/>
        </w:trPr>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120" w:type="dxa"/>
            <w:vAlign w:val="bottom"/>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3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jc w:val="center"/>
              <w:ind w:right="17"/>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0" w:type="dxa"/>
            <w:vAlign w:val="bottom"/>
          </w:tcPr>
          <w:p>
            <w:pPr>
              <w:spacing w:after="0"/>
              <w:rPr>
                <w:sz w:val="1"/>
                <w:szCs w:val="1"/>
                <w:color w:val="auto"/>
              </w:rPr>
            </w:pPr>
          </w:p>
        </w:tc>
      </w:tr>
      <w:tr>
        <w:trPr>
          <w:trHeight w:val="158"/>
        </w:trPr>
        <w:tc>
          <w:tcPr>
            <w:tcW w:w="2340" w:type="dxa"/>
            <w:vAlign w:val="bottom"/>
            <w:gridSpan w:val="2"/>
            <w:vMerge w:val="continue"/>
          </w:tcPr>
          <w:p>
            <w:pPr>
              <w:spacing w:after="0"/>
              <w:rPr>
                <w:sz w:val="13"/>
                <w:szCs w:val="13"/>
                <w:color w:val="auto"/>
              </w:rPr>
            </w:pPr>
          </w:p>
        </w:tc>
        <w:tc>
          <w:tcPr>
            <w:tcW w:w="27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Other Comprehensive Income/(Loss)</w:t>
            </w:r>
          </w:p>
        </w:tc>
        <w:tc>
          <w:tcPr>
            <w:tcW w:w="34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100" w:type="dxa"/>
            <w:vAlign w:val="bottom"/>
          </w:tcPr>
          <w:p>
            <w:pPr>
              <w:spacing w:after="0"/>
              <w:rPr>
                <w:sz w:val="13"/>
                <w:szCs w:val="13"/>
                <w:color w:val="auto"/>
              </w:rPr>
            </w:pPr>
          </w:p>
        </w:tc>
        <w:tc>
          <w:tcPr>
            <w:tcW w:w="2560" w:type="dxa"/>
            <w:vAlign w:val="bottom"/>
          </w:tcPr>
          <w:p>
            <w:pPr>
              <w:jc w:val="center"/>
              <w:ind w:right="37"/>
              <w:spacing w:after="0" w:line="158" w:lineRule="exact"/>
              <w:rPr>
                <w:sz w:val="20"/>
                <w:szCs w:val="20"/>
                <w:color w:val="auto"/>
              </w:rPr>
            </w:pPr>
            <w:r>
              <w:rPr>
                <w:rFonts w:ascii="Times New Roman" w:cs="Times New Roman" w:eastAsia="Times New Roman" w:hAnsi="Times New Roman"/>
                <w:sz w:val="16"/>
                <w:szCs w:val="16"/>
                <w:b w:val="1"/>
                <w:bCs w:val="1"/>
                <w:color w:val="auto"/>
                <w:w w:val="99"/>
              </w:rPr>
              <w:t>Income/(Loss)</w:t>
            </w:r>
          </w:p>
        </w:tc>
        <w:tc>
          <w:tcPr>
            <w:tcW w:w="0" w:type="dxa"/>
            <w:vAlign w:val="bottom"/>
          </w:tcPr>
          <w:p>
            <w:pPr>
              <w:spacing w:after="0"/>
              <w:rPr>
                <w:sz w:val="1"/>
                <w:szCs w:val="1"/>
                <w:color w:val="auto"/>
              </w:rPr>
            </w:pPr>
          </w:p>
        </w:tc>
      </w:tr>
      <w:tr>
        <w:trPr>
          <w:trHeight w:val="210"/>
        </w:trPr>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(Effective Portion)</w:t>
            </w: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Income/(Loss) to Earnings</w:t>
            </w:r>
          </w:p>
        </w:tc>
        <w:tc>
          <w:tcPr>
            <w:tcW w:w="100" w:type="dxa"/>
            <w:vAlign w:val="bottom"/>
          </w:tcPr>
          <w:p>
            <w:pPr>
              <w:spacing w:after="0"/>
              <w:rPr>
                <w:sz w:val="18"/>
                <w:szCs w:val="18"/>
                <w:color w:val="auto"/>
              </w:rPr>
            </w:pPr>
          </w:p>
        </w:tc>
        <w:tc>
          <w:tcPr>
            <w:tcW w:w="256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to Earnings</w:t>
            </w:r>
          </w:p>
        </w:tc>
        <w:tc>
          <w:tcPr>
            <w:tcW w:w="0" w:type="dxa"/>
            <w:vAlign w:val="bottom"/>
          </w:tcPr>
          <w:p>
            <w:pPr>
              <w:spacing w:after="0"/>
              <w:rPr>
                <w:sz w:val="1"/>
                <w:szCs w:val="1"/>
                <w:color w:val="auto"/>
              </w:rPr>
            </w:pPr>
          </w:p>
        </w:tc>
      </w:tr>
      <w:tr>
        <w:trPr>
          <w:trHeight w:val="218"/>
        </w:trPr>
        <w:tc>
          <w:tcPr>
            <w:tcW w:w="22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80" w:type="dxa"/>
            <w:vAlign w:val="bottom"/>
            <w:tcBorders>
              <w:top w:val="single" w:sz="8" w:color="BFE4FF"/>
            </w:tcBorders>
            <w:shd w:val="clear" w:color="auto" w:fill="BFE4FF"/>
          </w:tcPr>
          <w:p>
            <w:pPr>
              <w:spacing w:after="0"/>
              <w:rPr>
                <w:sz w:val="18"/>
                <w:szCs w:val="18"/>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top w:val="single" w:sz="8" w:color="auto"/>
            </w:tcBorders>
            <w:shd w:val="clear" w:color="auto" w:fill="BFE4FF"/>
          </w:tcPr>
          <w:p>
            <w:pPr>
              <w:jc w:val="center"/>
              <w:ind w:left="2115"/>
              <w:spacing w:after="0"/>
              <w:rPr>
                <w:sz w:val="20"/>
                <w:szCs w:val="20"/>
                <w:color w:val="auto"/>
              </w:rPr>
            </w:pPr>
            <w:r>
              <w:rPr>
                <w:rFonts w:ascii="Times New Roman" w:cs="Times New Roman" w:eastAsia="Times New Roman" w:hAnsi="Times New Roman"/>
                <w:sz w:val="18"/>
                <w:szCs w:val="18"/>
                <w:color w:val="auto"/>
                <w:w w:val="97"/>
              </w:rPr>
              <w:t>5.2</w:t>
            </w:r>
          </w:p>
        </w:tc>
        <w:tc>
          <w:tcPr>
            <w:tcW w:w="80" w:type="dxa"/>
            <w:vAlign w:val="bottom"/>
            <w:tcBorders>
              <w:top w:val="single" w:sz="8" w:color="BFE4FF"/>
            </w:tcBorders>
            <w:shd w:val="clear" w:color="auto" w:fill="BFE4FF"/>
          </w:tcPr>
          <w:p>
            <w:pPr>
              <w:spacing w:after="0"/>
              <w:rPr>
                <w:sz w:val="18"/>
                <w:szCs w:val="18"/>
                <w:color w:val="auto"/>
              </w:rPr>
            </w:pPr>
          </w:p>
        </w:tc>
        <w:tc>
          <w:tcPr>
            <w:tcW w:w="334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Revenue-Finance and insurance, net</w:t>
            </w:r>
          </w:p>
        </w:tc>
        <w:tc>
          <w:tcPr>
            <w:tcW w:w="100" w:type="dxa"/>
            <w:vAlign w:val="bottom"/>
            <w:tcBorders>
              <w:top w:val="single" w:sz="8" w:color="BFE4FF"/>
            </w:tcBorders>
            <w:shd w:val="clear" w:color="auto" w:fill="BFE4FF"/>
          </w:tcPr>
          <w:p>
            <w:pPr>
              <w:spacing w:after="0"/>
              <w:rPr>
                <w:sz w:val="18"/>
                <w:szCs w:val="18"/>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jc w:val="center"/>
              <w:ind w:left="2075"/>
              <w:spacing w:after="0"/>
              <w:rPr>
                <w:sz w:val="20"/>
                <w:szCs w:val="20"/>
                <w:color w:val="auto"/>
              </w:rPr>
            </w:pPr>
            <w:r>
              <w:rPr>
                <w:rFonts w:ascii="Times New Roman" w:cs="Times New Roman" w:eastAsia="Times New Roman" w:hAnsi="Times New Roman"/>
                <w:sz w:val="18"/>
                <w:szCs w:val="18"/>
                <w:color w:val="auto"/>
                <w:w w:val="98"/>
              </w:rPr>
              <w:t>(4.0)</w:t>
            </w:r>
          </w:p>
        </w:tc>
        <w:tc>
          <w:tcPr>
            <w:tcW w:w="80" w:type="dxa"/>
            <w:vAlign w:val="bottom"/>
          </w:tcPr>
          <w:p>
            <w:pPr>
              <w:spacing w:after="0"/>
              <w:rPr>
                <w:sz w:val="19"/>
                <w:szCs w:val="19"/>
                <w:color w:val="auto"/>
              </w:rPr>
            </w:pP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Revenue-Finance and insurance,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SUPPLEMENTAL CASH FLOW INFORMATION</w:t>
      </w:r>
    </w:p>
    <w:p>
      <w:pPr>
        <w:spacing w:after="0" w:line="163" w:lineRule="exact"/>
        <w:rPr>
          <w:sz w:val="20"/>
          <w:szCs w:val="20"/>
          <w:color w:val="auto"/>
        </w:rPr>
      </w:pPr>
    </w:p>
    <w:p>
      <w:pPr>
        <w:ind w:right="520" w:firstLine="276"/>
        <w:spacing w:after="0" w:line="268" w:lineRule="auto"/>
        <w:rPr>
          <w:sz w:val="20"/>
          <w:szCs w:val="20"/>
          <w:color w:val="auto"/>
        </w:rPr>
      </w:pPr>
      <w:r>
        <w:rPr>
          <w:rFonts w:ascii="Times New Roman" w:cs="Times New Roman" w:eastAsia="Times New Roman" w:hAnsi="Times New Roman"/>
          <w:sz w:val="18"/>
          <w:szCs w:val="18"/>
          <w:color w:val="auto"/>
        </w:rPr>
        <w:t>During the six months ended June 30, 2025 and 2024, we made interest payments, including amounts capitalized, totaling $127.7 million and $131.8 million, respectively.</w:t>
      </w:r>
    </w:p>
    <w:p>
      <w:pPr>
        <w:spacing w:after="0" w:line="117" w:lineRule="exact"/>
        <w:rPr>
          <w:sz w:val="20"/>
          <w:szCs w:val="20"/>
          <w:color w:val="auto"/>
        </w:rPr>
      </w:pPr>
    </w:p>
    <w:p>
      <w:pPr>
        <w:ind w:right="360" w:firstLine="276"/>
        <w:spacing w:after="0" w:line="268" w:lineRule="auto"/>
        <w:rPr>
          <w:sz w:val="20"/>
          <w:szCs w:val="20"/>
          <w:color w:val="auto"/>
        </w:rPr>
      </w:pPr>
      <w:r>
        <w:rPr>
          <w:rFonts w:ascii="Times New Roman" w:cs="Times New Roman" w:eastAsia="Times New Roman" w:hAnsi="Times New Roman"/>
          <w:sz w:val="18"/>
          <w:szCs w:val="18"/>
          <w:color w:val="auto"/>
        </w:rPr>
        <w:t>During the six months ended June 30, 2025 and 2024 we made income tax payments, net of refunds received, totaling $61.0 million and $63.8 million, respectively.</w:t>
      </w:r>
    </w:p>
    <w:p>
      <w:pPr>
        <w:spacing w:after="0" w:line="104" w:lineRule="exact"/>
        <w:rPr>
          <w:sz w:val="20"/>
          <w:szCs w:val="20"/>
          <w:color w:val="auto"/>
        </w:rPr>
      </w:pPr>
    </w:p>
    <w:p>
      <w:pPr>
        <w:jc w:val="both"/>
        <w:ind w:right="40" w:firstLine="276"/>
        <w:spacing w:after="0" w:line="241" w:lineRule="auto"/>
        <w:rPr>
          <w:sz w:val="20"/>
          <w:szCs w:val="20"/>
          <w:color w:val="auto"/>
        </w:rPr>
      </w:pPr>
      <w:r>
        <w:rPr>
          <w:rFonts w:ascii="Times New Roman" w:cs="Times New Roman" w:eastAsia="Times New Roman" w:hAnsi="Times New Roman"/>
          <w:sz w:val="18"/>
          <w:szCs w:val="18"/>
          <w:color w:val="auto"/>
        </w:rPr>
        <w:t>During the six months ended June 30, 2025 and 2024, we transferred $218.4 million and $232.3 million, respectively, of loaner vehicles from other current assets to inventory in our condensed consolidated balance sheets. The aforementioned amounts are included in changes in inventories in the operating activities section of the accompanying condensed consolidated statements of 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63" w:lineRule="exact"/>
        <w:rPr>
          <w:sz w:val="20"/>
          <w:szCs w:val="20"/>
          <w:color w:val="auto"/>
        </w:rPr>
      </w:pPr>
    </w:p>
    <w:p>
      <w:pPr>
        <w:ind w:right="320" w:firstLine="276"/>
        <w:spacing w:after="0" w:line="332" w:lineRule="auto"/>
        <w:rPr>
          <w:sz w:val="20"/>
          <w:szCs w:val="20"/>
          <w:color w:val="auto"/>
        </w:rPr>
      </w:pPr>
      <w:r>
        <w:rPr>
          <w:rFonts w:ascii="Times New Roman" w:cs="Times New Roman" w:eastAsia="Times New Roman" w:hAnsi="Times New Roman"/>
          <w:sz w:val="16"/>
          <w:szCs w:val="16"/>
          <w:color w:val="auto"/>
        </w:rPr>
        <w:t>As of June 30, 2025, the Company had two reportable segments: (1) Dealerships and (2) TCA. Our dealership operations are organized by management into geographic region-based groups within the Dealerships segment. The operations of our F&amp;I product provider are reflected within our TCA segment.</w:t>
      </w:r>
    </w:p>
    <w:p>
      <w:pPr>
        <w:spacing w:after="0" w:line="70" w:lineRule="exact"/>
        <w:rPr>
          <w:sz w:val="20"/>
          <w:szCs w:val="20"/>
          <w:color w:val="auto"/>
        </w:rPr>
      </w:pPr>
    </w:p>
    <w:p>
      <w:pPr>
        <w:ind w:right="340" w:firstLine="276"/>
        <w:spacing w:after="0" w:line="289" w:lineRule="auto"/>
        <w:rPr>
          <w:sz w:val="20"/>
          <w:szCs w:val="20"/>
          <w:color w:val="auto"/>
        </w:rPr>
      </w:pPr>
      <w:r>
        <w:rPr>
          <w:rFonts w:ascii="Times New Roman" w:cs="Times New Roman" w:eastAsia="Times New Roman" w:hAnsi="Times New Roman"/>
          <w:sz w:val="16"/>
          <w:szCs w:val="16"/>
          <w:color w:val="auto"/>
        </w:rPr>
        <w:t>TCA's vehicle protection products are sold through affiliated dealerships and the revenue from the related commissions is included in finance and insurance, net revenue in the Dealerships segment before consolidation. The corresponding claims expense incurred and the amortization of deferred acquisition costs is recorded as a cost of sales in the TCA segment. The Dealerships segment also provides vehicle repair and maintenance services to TCA customers in connection with claims related to TCA's vehicle protection products. The gross profit earned by our parts and service departments for work performed for TCA customers is reflected as a reduction of parts and service cost of sales in the accompanying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color w:val="auto"/>
        </w:rPr>
        <w:t>of income. The costs incurred by TCA for work performed by our parts and service departments are included in finance and insurance cost of sales in the accompanying condensed consolidated statements of income.</w:t>
      </w:r>
    </w:p>
    <w:p>
      <w:pPr>
        <w:spacing w:after="0" w:line="117" w:lineRule="exact"/>
        <w:rPr>
          <w:sz w:val="20"/>
          <w:szCs w:val="20"/>
          <w:color w:val="auto"/>
        </w:rPr>
      </w:pPr>
    </w:p>
    <w:p>
      <w:pPr>
        <w:jc w:val="both"/>
        <w:ind w:right="100" w:firstLine="276"/>
        <w:spacing w:after="0" w:line="303" w:lineRule="auto"/>
        <w:rPr>
          <w:sz w:val="20"/>
          <w:szCs w:val="20"/>
          <w:color w:val="auto"/>
        </w:rPr>
      </w:pPr>
      <w:r>
        <w:rPr>
          <w:rFonts w:ascii="Times New Roman" w:cs="Times New Roman" w:eastAsia="Times New Roman" w:hAnsi="Times New Roman"/>
          <w:sz w:val="16"/>
          <w:szCs w:val="16"/>
          <w:color w:val="auto"/>
        </w:rPr>
        <w:t>The significant expense categories and amounts are consistent with the segment-level information that is regularly provided to the chief operating decision maker. Certain intersegment expenses are included within the amounts shown. Rent and related expenses include rent expense, utilities, property and casualty insurance, real estate tax and personal property tax. Other segment items for the TCA segment relate to selling, general and administrative expenses.</w:t>
      </w:r>
    </w:p>
    <w:p>
      <w:pPr>
        <w:spacing w:after="0" w:line="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Reportable segment financial information for the three and six months ended June 30, 2025 and 2024,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7"/>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7"/>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r>
      <w:tr>
        <w:trPr>
          <w:trHeight w:val="205"/>
        </w:trPr>
        <w:tc>
          <w:tcPr>
            <w:tcW w:w="4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TCA</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TCA</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4,246.2</w:t>
            </w: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17"/>
        </w:trPr>
        <w:tc>
          <w:tcPr>
            <w:tcW w:w="4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4,447.3</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4,300.7</w:t>
            </w:r>
          </w:p>
        </w:tc>
      </w:tr>
      <w:tr>
        <w:trPr>
          <w:trHeight w:val="204"/>
        </w:trPr>
        <w:tc>
          <w:tcPr>
            <w:tcW w:w="42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Elimination of inter-segment revenue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17"/>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4,373.1</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4,246.2</w:t>
            </w:r>
          </w:p>
        </w:tc>
      </w:tr>
      <w:tr>
        <w:trPr>
          <w:trHeight w:val="230"/>
        </w:trPr>
        <w:tc>
          <w:tcPr>
            <w:tcW w:w="4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and insurance</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selling, general and administrative expense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7"/>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30"/>
        </w:trPr>
        <w:tc>
          <w:tcPr>
            <w:tcW w:w="4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intersegment revenue eliminations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4"/>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intersegment cost of sales eliminations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171"/>
        </w:trPr>
        <w:tc>
          <w:tcPr>
            <w:tcW w:w="428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Deferral of SG&amp;A expense (related to capitalized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37"/>
        </w:trPr>
        <w:tc>
          <w:tcPr>
            <w:tcW w:w="4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contract costs offset by amortization)</w:t>
            </w: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7"/>
        </w:trPr>
        <w:tc>
          <w:tcPr>
            <w:tcW w:w="4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intersegment eliminations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2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4"/>
        </w:trPr>
        <w:tc>
          <w:tcPr>
            <w:tcW w:w="4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2"/>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7"/>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7"/>
              </w:rPr>
              <w:t>Dealerships</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TCA</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TCA</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8,358.0</w:t>
            </w:r>
          </w:p>
        </w:tc>
        <w:tc>
          <w:tcPr>
            <w:tcW w:w="5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8,447.</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8,494.5</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8,658.1</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8,556.</w:t>
            </w: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41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Elimination of inter-segment revenue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8,521.6</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8,447.</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and insurance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selling, general and administrative expense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intersegment revenue eliminations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intersegment cost of sales eliminations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414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Deferral of SG&amp;A expense (related to capitalized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contract costs offset by amortization)</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intersegment eliminations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2"/>
        </w:trPr>
        <w:tc>
          <w:tcPr>
            <w:tcW w:w="240" w:type="dxa"/>
            <w:vAlign w:val="bottom"/>
          </w:tcPr>
          <w:p>
            <w:pPr>
              <w:spacing w:after="0"/>
              <w:rPr>
                <w:sz w:val="20"/>
                <w:szCs w:val="20"/>
                <w:color w:val="auto"/>
              </w:rPr>
            </w:pPr>
          </w:p>
        </w:tc>
        <w:tc>
          <w:tcPr>
            <w:tcW w:w="4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2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4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assets by segment as of June 30, 2025 and December 31, 2024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As of June 30, 2025</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restart"/>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440" w:type="dxa"/>
            <w:vAlign w:val="bottom"/>
          </w:tcPr>
          <w:p>
            <w:pPr>
              <w:spacing w:after="0"/>
              <w:rPr>
                <w:sz w:val="13"/>
                <w:szCs w:val="13"/>
                <w:color w:val="auto"/>
              </w:rPr>
            </w:pPr>
          </w:p>
        </w:tc>
        <w:tc>
          <w:tcPr>
            <w:tcW w:w="1200" w:type="dxa"/>
            <w:vAlign w:val="bottom"/>
            <w:vMerge w:val="restart"/>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TCA</w:t>
            </w:r>
          </w:p>
        </w:tc>
        <w:tc>
          <w:tcPr>
            <w:tcW w:w="240" w:type="dxa"/>
            <w:vAlign w:val="bottom"/>
          </w:tcPr>
          <w:p>
            <w:pPr>
              <w:spacing w:after="0"/>
              <w:rPr>
                <w:sz w:val="13"/>
                <w:szCs w:val="13"/>
                <w:color w:val="auto"/>
              </w:rPr>
            </w:pPr>
          </w:p>
        </w:tc>
        <w:tc>
          <w:tcPr>
            <w:tcW w:w="1520" w:type="dxa"/>
            <w:vAlign w:val="bottom"/>
          </w:tcPr>
          <w:p>
            <w:pPr>
              <w:jc w:val="center"/>
              <w:ind w:right="139"/>
              <w:spacing w:after="0" w:line="154" w:lineRule="exact"/>
              <w:rPr>
                <w:sz w:val="20"/>
                <w:szCs w:val="20"/>
                <w:color w:val="auto"/>
              </w:rPr>
            </w:pPr>
            <w:r>
              <w:rPr>
                <w:rFonts w:ascii="Times New Roman" w:cs="Times New Roman" w:eastAsia="Times New Roman" w:hAnsi="Times New Roman"/>
                <w:sz w:val="16"/>
                <w:szCs w:val="16"/>
                <w:b w:val="1"/>
                <w:bCs w:val="1"/>
                <w:color w:val="auto"/>
                <w:w w:val="97"/>
              </w:rPr>
              <w:t>Total Reportable</w:t>
            </w:r>
          </w:p>
        </w:tc>
        <w:tc>
          <w:tcPr>
            <w:tcW w:w="240" w:type="dxa"/>
            <w:vAlign w:val="bottom"/>
          </w:tcPr>
          <w:p>
            <w:pPr>
              <w:spacing w:after="0"/>
              <w:rPr>
                <w:sz w:val="13"/>
                <w:szCs w:val="13"/>
                <w:color w:val="auto"/>
              </w:rPr>
            </w:pPr>
          </w:p>
        </w:tc>
        <w:tc>
          <w:tcPr>
            <w:tcW w:w="1380" w:type="dxa"/>
            <w:vAlign w:val="bottom"/>
            <w:vMerge w:val="restart"/>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60" w:type="dxa"/>
            <w:vAlign w:val="bottom"/>
          </w:tcPr>
          <w:p>
            <w:pPr>
              <w:spacing w:after="0"/>
              <w:rPr>
                <w:sz w:val="13"/>
                <w:szCs w:val="13"/>
                <w:color w:val="auto"/>
              </w:rPr>
            </w:pPr>
          </w:p>
        </w:tc>
        <w:tc>
          <w:tcPr>
            <w:tcW w:w="1400" w:type="dxa"/>
            <w:vAlign w:val="bottom"/>
            <w:vMerge w:val="restart"/>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Total Company</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8,961.6</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9,954.5</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177.1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10,131.6</w:t>
            </w:r>
          </w:p>
        </w:tc>
        <w:tc>
          <w:tcPr>
            <w:tcW w:w="0" w:type="dxa"/>
            <w:vAlign w:val="bottom"/>
          </w:tcPr>
          <w:p>
            <w:pPr>
              <w:spacing w:after="0"/>
              <w:rPr>
                <w:sz w:val="1"/>
                <w:szCs w:val="1"/>
                <w:color w:val="auto"/>
              </w:rPr>
            </w:pPr>
          </w:p>
        </w:tc>
      </w:tr>
      <w:tr>
        <w:trPr>
          <w:trHeight w:val="564"/>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restart"/>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440" w:type="dxa"/>
            <w:vAlign w:val="bottom"/>
          </w:tcPr>
          <w:p>
            <w:pPr>
              <w:spacing w:after="0"/>
              <w:rPr>
                <w:sz w:val="13"/>
                <w:szCs w:val="13"/>
                <w:color w:val="auto"/>
              </w:rPr>
            </w:pPr>
          </w:p>
        </w:tc>
        <w:tc>
          <w:tcPr>
            <w:tcW w:w="1200" w:type="dxa"/>
            <w:vAlign w:val="bottom"/>
            <w:vMerge w:val="restart"/>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TCA</w:t>
            </w:r>
          </w:p>
        </w:tc>
        <w:tc>
          <w:tcPr>
            <w:tcW w:w="240" w:type="dxa"/>
            <w:vAlign w:val="bottom"/>
          </w:tcPr>
          <w:p>
            <w:pPr>
              <w:spacing w:after="0"/>
              <w:rPr>
                <w:sz w:val="13"/>
                <w:szCs w:val="13"/>
                <w:color w:val="auto"/>
              </w:rPr>
            </w:pPr>
          </w:p>
        </w:tc>
        <w:tc>
          <w:tcPr>
            <w:tcW w:w="1520" w:type="dxa"/>
            <w:vAlign w:val="bottom"/>
          </w:tcPr>
          <w:p>
            <w:pPr>
              <w:jc w:val="center"/>
              <w:ind w:right="139"/>
              <w:spacing w:after="0" w:line="154" w:lineRule="exact"/>
              <w:rPr>
                <w:sz w:val="20"/>
                <w:szCs w:val="20"/>
                <w:color w:val="auto"/>
              </w:rPr>
            </w:pPr>
            <w:r>
              <w:rPr>
                <w:rFonts w:ascii="Times New Roman" w:cs="Times New Roman" w:eastAsia="Times New Roman" w:hAnsi="Times New Roman"/>
                <w:sz w:val="16"/>
                <w:szCs w:val="16"/>
                <w:b w:val="1"/>
                <w:bCs w:val="1"/>
                <w:color w:val="auto"/>
                <w:w w:val="97"/>
              </w:rPr>
              <w:t>Total Reportable</w:t>
            </w:r>
          </w:p>
        </w:tc>
        <w:tc>
          <w:tcPr>
            <w:tcW w:w="240" w:type="dxa"/>
            <w:vAlign w:val="bottom"/>
          </w:tcPr>
          <w:p>
            <w:pPr>
              <w:spacing w:after="0"/>
              <w:rPr>
                <w:sz w:val="13"/>
                <w:szCs w:val="13"/>
                <w:color w:val="auto"/>
              </w:rPr>
            </w:pPr>
          </w:p>
        </w:tc>
        <w:tc>
          <w:tcPr>
            <w:tcW w:w="1380" w:type="dxa"/>
            <w:vAlign w:val="bottom"/>
            <w:vMerge w:val="restart"/>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60" w:type="dxa"/>
            <w:vAlign w:val="bottom"/>
          </w:tcPr>
          <w:p>
            <w:pPr>
              <w:spacing w:after="0"/>
              <w:rPr>
                <w:sz w:val="13"/>
                <w:szCs w:val="13"/>
                <w:color w:val="auto"/>
              </w:rPr>
            </w:pPr>
          </w:p>
        </w:tc>
        <w:tc>
          <w:tcPr>
            <w:tcW w:w="1400" w:type="dxa"/>
            <w:vAlign w:val="bottom"/>
            <w:vMerge w:val="restart"/>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Total Company</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9,227.6</w:t>
            </w:r>
          </w:p>
        </w:tc>
        <w:tc>
          <w:tcPr>
            <w:tcW w:w="4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10,277.0</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10,337.0</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50" w:lineRule="exact"/>
        <w:rPr>
          <w:sz w:val="20"/>
          <w:szCs w:val="20"/>
          <w:color w:val="auto"/>
        </w:rPr>
      </w:pPr>
    </w:p>
    <w:p>
      <w:pPr>
        <w:ind w:right="240" w:firstLine="276"/>
        <w:spacing w:after="0" w:line="263" w:lineRule="auto"/>
        <w:rPr>
          <w:sz w:val="20"/>
          <w:szCs w:val="20"/>
          <w:color w:val="auto"/>
        </w:rPr>
      </w:pPr>
      <w:r>
        <w:rPr>
          <w:rFonts w:ascii="Times New Roman" w:cs="Times New Roman" w:eastAsia="Times New Roman" w:hAnsi="Times New Roman"/>
          <w:sz w:val="16"/>
          <w:szCs w:val="16"/>
          <w:color w:val="auto"/>
        </w:rPr>
        <w:t>On August 3, 2022, we received a Civil Investigative Demand (“CID”) from the Federal Trade Commission (the "FTC") requesting information and documents concerning the Company’s corporate structure and operation of six of its dealerships. We responded to the CID by producing information and documents for the period August 1, 2019 to April 24, 2023. On February 8, 2024, the FTC staff counsel sent to us a proposed consent order and draft complaint, alleging that the Company and three of our dealerships had violated Section 5 of the Federal Trade Commission Act (“FTC Act”) and certain provisions of the Equal Credit Opportunity Act (“ECOA”) in connection with the sale of add-on products (e.g., vehicle service contracts, maintenance plans, etc.), and advising that it would recommend the filing of an enforcement action if the Company did not settle the FTC’s claims. On August 16, 2024, after</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discussions with the FTC stalled, the FTC initiated an administrative proceeding by filing an enforcement action against the Company. On October 4, 2024, the Company filed suit against the FTC in the United States District Court for the Northern District of Texas, seeking to enjoin the FTC’s administrative proceeding on the ground that the administrative proceeding was unconstitutional. Both the administrative proceeding and the Company’s lawsuit remain pending. While the Company disputes the FTC’s allegations, we are unable to reasonably predict the possible outcome of this matter at this time, or provide a reasonably possible range of loss, if any. There can be no assurance that the Company will succeed in either the FTC’s administrative proceeding against the Company or in the Company’s lawsuit against the FTC, and the FTC’s allegations, whether meritorious or not, may adversely affect our ability to attract customers, result in the loss of existing customers, harm our reputation and cause us to incur defense costs and other expenses.</w:t>
      </w:r>
    </w:p>
    <w:p>
      <w:pPr>
        <w:spacing w:after="0" w:line="146" w:lineRule="exact"/>
        <w:rPr>
          <w:sz w:val="20"/>
          <w:szCs w:val="20"/>
          <w:color w:val="auto"/>
        </w:rPr>
      </w:pPr>
    </w:p>
    <w:p>
      <w:pPr>
        <w:jc w:val="both"/>
        <w:ind w:right="20" w:firstLine="276"/>
        <w:spacing w:after="0" w:line="256" w:lineRule="auto"/>
        <w:rPr>
          <w:sz w:val="20"/>
          <w:szCs w:val="20"/>
          <w:color w:val="auto"/>
        </w:rPr>
      </w:pPr>
      <w:r>
        <w:rPr>
          <w:rFonts w:ascii="Times New Roman" w:cs="Times New Roman" w:eastAsia="Times New Roman" w:hAnsi="Times New Roman"/>
          <w:sz w:val="18"/>
          <w:szCs w:val="18"/>
          <w:color w:val="auto"/>
        </w:rPr>
        <w:t>Our dealerships are party to dealer and framework agreements with applicable vehicle manufacturers. In accordance with these agreements, each dealership has certain rights and is subject to restrictions typical in the industry. The ability of these manufacturers to influence the operations of the dealerships or the loss of any of these agreements could have a materially negative impact on our operating results.</w:t>
      </w:r>
    </w:p>
    <w:p>
      <w:pPr>
        <w:spacing w:after="0" w:line="127" w:lineRule="exact"/>
        <w:rPr>
          <w:sz w:val="20"/>
          <w:szCs w:val="20"/>
          <w:color w:val="auto"/>
        </w:rPr>
      </w:pPr>
    </w:p>
    <w:p>
      <w:pPr>
        <w:jc w:val="both"/>
        <w:ind w:right="100" w:firstLine="237"/>
        <w:spacing w:after="0" w:line="252" w:lineRule="auto"/>
        <w:rPr>
          <w:sz w:val="20"/>
          <w:szCs w:val="20"/>
          <w:color w:val="auto"/>
        </w:rPr>
      </w:pPr>
      <w:r>
        <w:rPr>
          <w:rFonts w:ascii="Times New Roman" w:cs="Times New Roman" w:eastAsia="Times New Roman" w:hAnsi="Times New Roman"/>
          <w:sz w:val="18"/>
          <w:szCs w:val="18"/>
          <w:color w:val="auto"/>
        </w:rPr>
        <w:t>In some instances, manufacturers may have the right, and may direct us, to implement costly capital improvements to dealerships as a condition to entering into, renewing, or extending franchise agreements with them. Manufacturers also typically require that their franchises meet specific standards of appearance. These factors, either alone or in combination, could cause us to use our financial resources on capital projects that we might not have planned for or otherwise determined to undertake.</w:t>
      </w:r>
    </w:p>
    <w:p>
      <w:pPr>
        <w:spacing w:after="0" w:line="131" w:lineRule="exact"/>
        <w:rPr>
          <w:sz w:val="20"/>
          <w:szCs w:val="20"/>
          <w:color w:val="auto"/>
        </w:rPr>
      </w:pPr>
    </w:p>
    <w:p>
      <w:pPr>
        <w:ind w:right="20" w:firstLine="276"/>
        <w:spacing w:after="0" w:line="247" w:lineRule="auto"/>
        <w:rPr>
          <w:sz w:val="20"/>
          <w:szCs w:val="20"/>
          <w:color w:val="auto"/>
        </w:rPr>
      </w:pPr>
      <w:r>
        <w:rPr>
          <w:rFonts w:ascii="Times New Roman" w:cs="Times New Roman" w:eastAsia="Times New Roman" w:hAnsi="Times New Roman"/>
          <w:sz w:val="18"/>
          <w:szCs w:val="18"/>
          <w:color w:val="auto"/>
        </w:rPr>
        <w:t>From time to time, we and our dealerships are or may become involved in various claims relating to, and arising out of, our business and our operations. These claims may involve, but not be limited to, financial and other audits by vehicle manufacturers or lenders and certain federal, state, and local government authorities, which have historically related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could relate to, but may not be limited to, the practice of charging administrative fees and other fees and commissions, employment-related matters, truth-in-lending and other dealer assisted financing obligations, contractual disputes, regulatory and compliance issues, disputes arising out of cyber incidents or the disclosure of Personally Identifiable Information (“PII”), actions brought by governmental authorities, and other matters.</w:t>
      </w:r>
    </w:p>
    <w:p>
      <w:pPr>
        <w:spacing w:after="0" w:line="136" w:lineRule="exact"/>
        <w:rPr>
          <w:sz w:val="20"/>
          <w:szCs w:val="20"/>
          <w:color w:val="auto"/>
        </w:rPr>
      </w:pPr>
    </w:p>
    <w:p>
      <w:pPr>
        <w:ind w:right="200" w:firstLine="276"/>
        <w:spacing w:after="0" w:line="252" w:lineRule="auto"/>
        <w:rPr>
          <w:sz w:val="20"/>
          <w:szCs w:val="20"/>
          <w:color w:val="auto"/>
        </w:rPr>
      </w:pPr>
      <w:r>
        <w:rPr>
          <w:rFonts w:ascii="Times New Roman" w:cs="Times New Roman" w:eastAsia="Times New Roman" w:hAnsi="Times New Roman"/>
          <w:sz w:val="18"/>
          <w:szCs w:val="18"/>
          <w:color w:val="auto"/>
        </w:rPr>
        <w:t>We evaluate pending and threatened claims and establish loss contingency reserves based upon outcomes we currently believe to be probable and reasonably estimable. We believe we have adequately accrued reserves for the potential impact of loss contingencies that are probable and reasonably estimable. Based on our review of the various types of claims currently known to us, there is no indication of material reasonably possible losses in excess of amounts accrued in the aggregate. We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currently do not anticipate that any known claim will materially adversely affect our financial condition, liquidity, or results of operations. However, the outcome of any matter cannot be predicted with certainty, and an unfavorable resolution of one or more matters presently known or arising in the future could have a material adverse effect on our financial condition, liquidity, or results of operations.</w:t>
      </w:r>
    </w:p>
    <w:p>
      <w:pPr>
        <w:spacing w:after="0" w:line="127" w:lineRule="exact"/>
        <w:rPr>
          <w:sz w:val="20"/>
          <w:szCs w:val="20"/>
          <w:color w:val="auto"/>
        </w:rPr>
      </w:pPr>
    </w:p>
    <w:p>
      <w:pPr>
        <w:ind w:right="20" w:firstLine="276"/>
        <w:spacing w:after="0" w:line="249" w:lineRule="auto"/>
        <w:rPr>
          <w:sz w:val="20"/>
          <w:szCs w:val="20"/>
          <w:color w:val="auto"/>
        </w:rPr>
      </w:pPr>
      <w:r>
        <w:rPr>
          <w:rFonts w:ascii="Times New Roman" w:cs="Times New Roman" w:eastAsia="Times New Roman" w:hAnsi="Times New Roman"/>
          <w:sz w:val="18"/>
          <w:szCs w:val="18"/>
          <w:color w:val="auto"/>
        </w:rPr>
        <w:t>A significant portion of our business involves the sale of vehicles, parts, or vehicles composed of parts that are manufactured outside the United States. As a result, our operations are subject to customary risks of importing merchandise, including fluctuations in the relative values of currencies, import duties, exchange controls, trade restrictions, work stoppages and general political and socio-economic conditions in foreign countries. The United States or the countries from which our products are imported may, from time to time, impose new quotas, duties, tariffs, or other restrictions, or may adjust presently prevailing quotas, duties, or tariffs, which may affect our operations, the pricing of our products and services, and our ability to purchase imported vehicles and/or parts at reasonable prices.</w:t>
      </w:r>
    </w:p>
    <w:p>
      <w:pPr>
        <w:spacing w:after="0" w:line="133" w:lineRule="exact"/>
        <w:rPr>
          <w:sz w:val="20"/>
          <w:szCs w:val="20"/>
          <w:color w:val="auto"/>
        </w:rPr>
      </w:pPr>
    </w:p>
    <w:p>
      <w:pPr>
        <w:ind w:firstLine="276"/>
        <w:spacing w:after="0" w:line="250" w:lineRule="auto"/>
        <w:rPr>
          <w:sz w:val="20"/>
          <w:szCs w:val="20"/>
          <w:color w:val="auto"/>
        </w:rPr>
      </w:pPr>
      <w:r>
        <w:rPr>
          <w:rFonts w:ascii="Times New Roman" w:cs="Times New Roman" w:eastAsia="Times New Roman" w:hAnsi="Times New Roman"/>
          <w:sz w:val="18"/>
          <w:szCs w:val="18"/>
          <w:color w:val="auto"/>
        </w:rPr>
        <w:t>Substantially all of our facilities are subject to federal, state and local provisions regarding the discharge of materials into the environment. Compliance with these provisions has not had, nor do we expect such compliance to have, any material effect upon our capital expenditures, net earnings, financial condition, liquidity, or competitive position. We believe that our current practices and procedures for the control and disposition of such materials comply with applicable federal, state and local requirements. No assurances can be provided, however, that future laws or regulations, or changes in existing laws or regulations, would not require us to expend significant resources in order to comply therewith.</w:t>
      </w:r>
    </w:p>
    <w:p>
      <w:pPr>
        <w:spacing w:after="0" w:line="133" w:lineRule="exact"/>
        <w:rPr>
          <w:sz w:val="20"/>
          <w:szCs w:val="20"/>
          <w:color w:val="auto"/>
        </w:rPr>
      </w:pPr>
    </w:p>
    <w:p>
      <w:pPr>
        <w:ind w:right="80" w:firstLine="276"/>
        <w:spacing w:after="0" w:line="256" w:lineRule="auto"/>
        <w:rPr>
          <w:sz w:val="20"/>
          <w:szCs w:val="20"/>
          <w:color w:val="auto"/>
        </w:rPr>
      </w:pPr>
      <w:r>
        <w:rPr>
          <w:rFonts w:ascii="Times New Roman" w:cs="Times New Roman" w:eastAsia="Times New Roman" w:hAnsi="Times New Roman"/>
          <w:sz w:val="18"/>
          <w:szCs w:val="18"/>
          <w:color w:val="auto"/>
        </w:rPr>
        <w:t>We had $25.2 million of letters of credit outstanding as of June 30, 2025, which are required by certain of our insurance providers. In addition, as of June 30, 2025, we maintained a $24.2 million surety bond line in the ordinary course of our business. Our letters of credit and surety bond line are considered to be off balance sheet arrangements.</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other material commitments include (i) floor plan notes payable, (ii) operating leases, (iii) long-term debt and (iv) interest on long-term debt.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00"/>
        <w:spacing w:after="0" w:line="42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Information</w:t>
      </w:r>
    </w:p>
    <w:p>
      <w:pPr>
        <w:spacing w:after="0" w:line="1" w:lineRule="exact"/>
        <w:rPr>
          <w:sz w:val="20"/>
          <w:szCs w:val="20"/>
          <w:color w:val="auto"/>
        </w:rPr>
      </w:pPr>
    </w:p>
    <w:p>
      <w:pPr>
        <w:ind w:right="220" w:firstLine="276"/>
        <w:spacing w:after="0" w:line="249" w:lineRule="auto"/>
        <w:rPr>
          <w:sz w:val="20"/>
          <w:szCs w:val="20"/>
          <w:color w:val="auto"/>
        </w:rPr>
      </w:pPr>
      <w:r>
        <w:rPr>
          <w:rFonts w:ascii="Times New Roman" w:cs="Times New Roman" w:eastAsia="Times New Roman" w:hAnsi="Times New Roman"/>
          <w:sz w:val="18"/>
          <w:szCs w:val="18"/>
          <w:color w:val="auto"/>
        </w:rPr>
        <w:t>Certain of the discussions and information included or incorporated by reference in this report may constitute "forward-looking statements" within the meaning of the federal securities laws. Forward-looking statements are statements that are not historical in nature and may include statements relating to our goals, plans and projections regarding industry and general economic trends, our expected financial position, results of operations or market position and our business strategy. Such statements can generally be identified by words such as "may," "target," "could," "would," "will," "should," "believe," "expect," "anticipate," "plan," "intend," "foresee," and other similar words or phrases. Forward-looking statements may also relate to our expectations and assumptions with respect to, among other things:</w:t>
      </w:r>
    </w:p>
    <w:p>
      <w:pPr>
        <w:spacing w:after="0" w:line="212"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seasonally adjusted annual rate of new vehicle sales in the United States;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its expected impact on our revenue and expenses;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parts and service revenue due to, among other things, improvements in vehicle technology;</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limit our exposure to regional economic downturns due to our geographic diversity and brand mix;</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continued use of incentive programs to drive demand for their product offerings;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including as it relates to acquisitions and divestitures, stock repurchases and capital expenditures;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strategy;</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brands that comprise our portfolio over the long-term;</w:t>
      </w:r>
    </w:p>
    <w:p>
      <w:pPr>
        <w:spacing w:after="0" w:line="108"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production and supply of vehicles and parts from our vehicle and parts manufacturers and other suppliers, which can disrupt our operations; and</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capital expenditures, which can be impacted by increasing prices and labor shortages and acquisitions and divestitures.</w:t>
      </w:r>
    </w:p>
    <w:p>
      <w:pPr>
        <w:spacing w:after="0" w:line="109" w:lineRule="exact"/>
        <w:rPr>
          <w:sz w:val="20"/>
          <w:szCs w:val="20"/>
          <w:color w:val="auto"/>
        </w:rPr>
      </w:pPr>
    </w:p>
    <w:p>
      <w:pPr>
        <w:ind w:right="240" w:firstLine="276"/>
        <w:spacing w:after="0" w:line="256"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future results, performance or achievements to be materially different from any future results, performance, or achievements expressed or implied by the forward-looking statements. Such factors include, but are not limited to:</w:t>
      </w:r>
    </w:p>
    <w:p>
      <w:pPr>
        <w:spacing w:after="0" w:line="114" w:lineRule="exact"/>
        <w:rPr>
          <w:sz w:val="20"/>
          <w:szCs w:val="20"/>
          <w:color w:val="auto"/>
        </w:rPr>
      </w:pPr>
    </w:p>
    <w:p>
      <w:pPr>
        <w:jc w:val="both"/>
        <w:ind w:left="640" w:right="340" w:hanging="319"/>
        <w:spacing w:after="0" w:line="241"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acquire and successfully integrate acquired businesses into our existing operations, realize expected benefits and synergies from such acquisitions, and identify and remediate insufficient control activities of the acquired businesses, if any, given that substantially all of our acquired businesses are private companies;</w:t>
      </w:r>
    </w:p>
    <w:p>
      <w:pPr>
        <w:spacing w:after="0" w:line="21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expenses or unanticipated liabilities incurred as a result of, or due to activities related to our acquisitions or divestitures;</w:t>
      </w:r>
    </w:p>
    <w:p>
      <w:pPr>
        <w:spacing w:after="0" w:line="108"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business conditions, including the current inflationary environment, the current interest rate environment, changes in U.S. trade policy, including the imposition of tariffs, changes in employment levels, consumer confidence levels, consumer demand and preferences, the availability and cost of credit, fuel prices and levels of discretionary personal income;</w:t>
      </w:r>
    </w:p>
    <w:p>
      <w:pPr>
        <w:spacing w:after="0" w:line="74" w:lineRule="exact"/>
        <w:rPr>
          <w:rFonts w:ascii="Times New Roman" w:cs="Times New Roman" w:eastAsia="Times New Roman" w:hAnsi="Times New Roman"/>
          <w:sz w:val="18"/>
          <w:szCs w:val="18"/>
          <w:color w:val="auto"/>
        </w:rPr>
      </w:pPr>
    </w:p>
    <w:p>
      <w:pPr>
        <w:ind w:left="640" w:right="4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maintain our liquidity and obtain any necessary additional funds for working capital, capital expenditures, acquisitions, stock repurchases, debt maturity payments and other corporate purposes, if necessary or desirable;</w:t>
      </w:r>
    </w:p>
    <w:p>
      <w:pPr>
        <w:spacing w:after="0" w:line="64" w:lineRule="exact"/>
        <w:rPr>
          <w:rFonts w:ascii="Times New Roman" w:cs="Times New Roman" w:eastAsia="Times New Roman" w:hAnsi="Times New Roman"/>
          <w:sz w:val="18"/>
          <w:szCs w:val="18"/>
          <w:color w:val="auto"/>
        </w:rPr>
      </w:pPr>
    </w:p>
    <w:p>
      <w:pPr>
        <w:ind w:left="640" w:right="62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the production and delivery of vehicles and parts for any reason, including supply shortages, natural disasters, severe weather, civil unrest, both at home and abroad, product recalls, work stoppages or other occurrences that are outside of our control;</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attract and retain skilled employees;</w:t>
      </w:r>
    </w:p>
    <w:p>
      <w:pPr>
        <w:spacing w:after="0" w:line="108" w:lineRule="exact"/>
        <w:rPr>
          <w:rFonts w:ascii="Times New Roman" w:cs="Times New Roman" w:eastAsia="Times New Roman" w:hAnsi="Times New Roman"/>
          <w:sz w:val="18"/>
          <w:szCs w:val="18"/>
          <w:color w:val="auto"/>
        </w:rPr>
      </w:pPr>
    </w:p>
    <w:p>
      <w:pPr>
        <w:ind w:left="640" w:right="22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including our ability to maintain, and obtain future necessary regulatory approvals, for Total Care Auto, Powered by Landcar ("TCA"), our finance and insurance ("F&amp;I ") product provider;</w:t>
      </w:r>
    </w:p>
    <w:p>
      <w:pPr>
        <w:spacing w:after="0" w:line="6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affecting the vehicle manufacturers whose brands we sell, and their ability to design, manufacture, deliver and market their vehicles successfully;</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and total number of vehicles we are able to sell;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left="640" w:right="480" w:hanging="319"/>
        <w:spacing w:after="0" w:line="268"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and our continued ability to comply with applicable covenants in our various financing and lease agreements, or to obtain waivers of these covenants as necessary;</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competition in our industry, which may create pricing and margin pressures on our products and services;</w:t>
      </w:r>
    </w:p>
    <w:p>
      <w:pPr>
        <w:spacing w:after="0" w:line="10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manufacturers of the vehicles we sell and our ability to renew, and enter into new framework and dealer agreements with vehicle manufacturers whose brands we sell, on terms acceptable to us;</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manufacturer incentive programs and our ability to earn these incentives;</w:t>
      </w:r>
    </w:p>
    <w:p>
      <w:pPr>
        <w:spacing w:after="0" w:line="108" w:lineRule="exact"/>
        <w:rPr>
          <w:rFonts w:ascii="Times New Roman" w:cs="Times New Roman" w:eastAsia="Times New Roman" w:hAnsi="Times New Roman"/>
          <w:sz w:val="18"/>
          <w:szCs w:val="18"/>
          <w:color w:val="auto"/>
        </w:rPr>
      </w:pPr>
    </w:p>
    <w:p>
      <w:pPr>
        <w:ind w:left="640" w:right="240" w:hanging="319"/>
        <w:spacing w:after="0" w:line="332" w:lineRule="auto"/>
        <w:tabs>
          <w:tab w:leader="none" w:pos="63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our management information systems and our ability to successfully transition between key information systems, including our ability to successfully incorporate new technologies and transition to Tekion, a dealer management systems provider, from CDK, our existing DMS provider;</w:t>
      </w:r>
    </w:p>
    <w:p>
      <w:pPr>
        <w:spacing w:after="0" w:line="17"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management information systems used or maintained by our third-party service providers;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data security breaches occurring, including with regard to PII;</w:t>
      </w:r>
    </w:p>
    <w:p>
      <w:pPr>
        <w:spacing w:after="0" w:line="108" w:lineRule="exact"/>
        <w:rPr>
          <w:rFonts w:ascii="Times New Roman" w:cs="Times New Roman" w:eastAsia="Times New Roman" w:hAnsi="Times New Roman"/>
          <w:sz w:val="18"/>
          <w:szCs w:val="18"/>
          <w:color w:val="auto"/>
        </w:rPr>
      </w:pPr>
    </w:p>
    <w:p>
      <w:pPr>
        <w:ind w:left="640" w:right="460" w:hanging="319"/>
        <w:spacing w:after="0" w:line="268"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governing the operation of automobile franchises, including trade restrictions, consumer protections, accounting standards, taxation requirements and environmental laws;</w:t>
      </w:r>
    </w:p>
    <w:p>
      <w:pPr>
        <w:spacing w:after="0" w:line="64" w:lineRule="exact"/>
        <w:rPr>
          <w:rFonts w:ascii="Times New Roman" w:cs="Times New Roman" w:eastAsia="Times New Roman" w:hAnsi="Times New Roman"/>
          <w:sz w:val="18"/>
          <w:szCs w:val="18"/>
          <w:color w:val="auto"/>
        </w:rPr>
      </w:pPr>
    </w:p>
    <w:p>
      <w:pPr>
        <w:ind w:left="640" w:right="320" w:hanging="319"/>
        <w:spacing w:after="0" w:line="256"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geopolitical conditions, including global trade relations, changes to consumer and business confidence, international tensions, hostilities and instability, a slowdown in U.S. or global economic growth, higher rates of unemployment, changes in interest rates, inflation, and market volatility;</w:t>
      </w:r>
    </w:p>
    <w:p>
      <w:pPr>
        <w:spacing w:after="0" w:line="7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imposition of, new tariffs or trade restrictions on imported vehicles or parts;</w:t>
      </w:r>
    </w:p>
    <w:p>
      <w:pPr>
        <w:spacing w:after="0" w:line="108" w:lineRule="exact"/>
        <w:rPr>
          <w:rFonts w:ascii="Times New Roman" w:cs="Times New Roman" w:eastAsia="Times New Roman" w:hAnsi="Times New Roman"/>
          <w:sz w:val="18"/>
          <w:szCs w:val="18"/>
          <w:color w:val="auto"/>
        </w:rPr>
      </w:pPr>
    </w:p>
    <w:p>
      <w:pPr>
        <w:ind w:left="640" w:right="720" w:hanging="319"/>
        <w:spacing w:after="0" w:line="268"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litigation, regulatory investigations or other similar proceedings involving us, including costs, expenses, settlements and judgments related thereto;</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planned or pending mergers, acquisitions and dispositions;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in the financial markets, which may impact our ability to access capital;</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and the financial stability of, our lenders and lessors;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initiatives and other strategies;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scale and cost structure to improve operating efficiencies across our dealership portfolio; and</w:t>
      </w:r>
    </w:p>
    <w:p>
      <w:pPr>
        <w:spacing w:after="0" w:line="108" w:lineRule="exact"/>
        <w:rPr>
          <w:rFonts w:ascii="Times New Roman" w:cs="Times New Roman" w:eastAsia="Times New Roman" w:hAnsi="Times New Roman"/>
          <w:sz w:val="18"/>
          <w:szCs w:val="18"/>
          <w:color w:val="auto"/>
        </w:rPr>
      </w:pPr>
    </w:p>
    <w:p>
      <w:pPr>
        <w:ind w:left="680" w:hanging="35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material weakness and the ongoing effectiveness of internal control over financial reporting.</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Many of these factors are beyond our ability to control or predict, and their ultimate impact could be material. Moreover, the factors set forth under "Item</w:t>
      </w:r>
    </w:p>
    <w:p>
      <w:pPr>
        <w:spacing w:after="0" w:line="33" w:lineRule="exact"/>
        <w:rPr>
          <w:sz w:val="20"/>
          <w:szCs w:val="20"/>
          <w:color w:val="auto"/>
        </w:rPr>
      </w:pPr>
    </w:p>
    <w:p>
      <w:pPr>
        <w:ind w:right="920"/>
        <w:spacing w:after="0" w:line="245" w:lineRule="auto"/>
        <w:rPr>
          <w:sz w:val="20"/>
          <w:szCs w:val="20"/>
          <w:color w:val="auto"/>
        </w:rPr>
      </w:pPr>
      <w:r>
        <w:rPr>
          <w:rFonts w:ascii="Times New Roman" w:cs="Times New Roman" w:eastAsia="Times New Roman" w:hAnsi="Times New Roman"/>
          <w:sz w:val="18"/>
          <w:szCs w:val="18"/>
          <w:color w:val="auto"/>
        </w:rPr>
        <w:t>1A. Risk Factors" and other cautionary statements made in this report should be read and considered as forward-looking statements subject to such uncertainties. We urge you to carefully consider those factors.</w:t>
      </w:r>
    </w:p>
    <w:p>
      <w:pPr>
        <w:spacing w:after="0" w:line="123" w:lineRule="exact"/>
        <w:rPr>
          <w:sz w:val="20"/>
          <w:szCs w:val="20"/>
          <w:color w:val="auto"/>
        </w:rPr>
      </w:pPr>
    </w:p>
    <w:p>
      <w:pPr>
        <w:ind w:right="580" w:firstLine="276"/>
        <w:spacing w:after="0" w:line="253"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report. We expressly disclaim any obligation to update any forward-looking statements contained herein.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5" w:lineRule="exact"/>
        <w:rPr>
          <w:sz w:val="20"/>
          <w:szCs w:val="20"/>
          <w:color w:val="auto"/>
        </w:rPr>
      </w:pPr>
    </w:p>
    <w:p>
      <w:pPr>
        <w:ind w:firstLine="276"/>
        <w:spacing w:after="0" w:line="248" w:lineRule="auto"/>
        <w:rPr>
          <w:sz w:val="20"/>
          <w:szCs w:val="20"/>
          <w:color w:val="auto"/>
        </w:rPr>
      </w:pPr>
      <w:r>
        <w:rPr>
          <w:rFonts w:ascii="Times New Roman" w:cs="Times New Roman" w:eastAsia="Times New Roman" w:hAnsi="Times New Roman"/>
          <w:sz w:val="18"/>
          <w:szCs w:val="18"/>
          <w:color w:val="auto"/>
        </w:rPr>
        <w:t>We are one of the largest automotive retailers in the United States. As of June 30, 2025, through our Dealerships segment, we owned and operated 189 new vehicle franchises (146 dealership locations), representing 31 brands of automobiles, within 13 states. As of June 30, 2025, we also operated 37 collision centers, and Total Care Auto, Powered by Landcar ("TCA"), our F&amp;I product provider. Our stores offer an extensive range of automotive products and services, including new and used vehicles; parts and service, which include repair and maintenance services, replacement parts and collision repair services; and finance and insurance products. The finance and insurance products are provided by both TCA and independent third parties. The F&amp;I products offered by TCA are sold through affiliated dealerships. For the six months ended June 30, 2025, our new vehicle revenue brand mix consisted of 30% luxury, 40% imports and 30% domestic brands. The Company manages its operations in two reportable segments: Dealerships and TCA.</w:t>
      </w:r>
    </w:p>
    <w:p>
      <w:pPr>
        <w:spacing w:after="0" w:line="69" w:lineRule="exact"/>
        <w:rPr>
          <w:sz w:val="20"/>
          <w:szCs w:val="20"/>
          <w:color w:val="auto"/>
        </w:rPr>
      </w:pPr>
    </w:p>
    <w:p>
      <w:pPr>
        <w:ind w:firstLine="276"/>
        <w:spacing w:after="0" w:line="249" w:lineRule="auto"/>
        <w:rPr>
          <w:sz w:val="20"/>
          <w:szCs w:val="20"/>
          <w:color w:val="auto"/>
        </w:rPr>
      </w:pPr>
      <w:r>
        <w:rPr>
          <w:rFonts w:ascii="Times New Roman" w:cs="Times New Roman" w:eastAsia="Times New Roman" w:hAnsi="Times New Roman"/>
          <w:sz w:val="18"/>
          <w:szCs w:val="18"/>
          <w:color w:val="auto"/>
        </w:rPr>
        <w:t>Our Dealerships segment revenues are derived primarily from: (i) the sale of new vehicles; (ii) the sale of used vehicles to individual retail customers ("used retail") and to other dealers at auction ("wholesale") (the terms "used retail" and "wholesale" are collectively referred to as "used"); (iii) repair and maintenance services, including collision repair, the sale of automotive replacement parts, and the reconditioning of used vehicles (collectively referred to as "parts and service"); and (iv) the arrangement of third-party vehicle financing and the sale of a number of vehicle protection products. F&amp;I products are offered by dealerships to customers in connection with the purchase of vehicles through either TCA or independent third parties. We evaluate the results of our new and used vehicle sales based on unit volumes and gross profit per vehicle sold, our parts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service operations based on aggregate gross profit, and our F&amp;I business based on F&amp;I gross profit per vehicle sold. Amounts presented have been calculated using non-rounded amounts for all periods presented and therefore certain amounts may not compute.</w:t>
      </w:r>
    </w:p>
    <w:p>
      <w:pPr>
        <w:spacing w:after="0" w:line="117" w:lineRule="exact"/>
        <w:rPr>
          <w:sz w:val="20"/>
          <w:szCs w:val="20"/>
          <w:color w:val="auto"/>
        </w:rPr>
      </w:pPr>
    </w:p>
    <w:p>
      <w:pPr>
        <w:ind w:right="20" w:firstLine="276"/>
        <w:spacing w:after="0" w:line="252" w:lineRule="auto"/>
        <w:rPr>
          <w:sz w:val="20"/>
          <w:szCs w:val="20"/>
          <w:color w:val="auto"/>
        </w:rPr>
      </w:pPr>
      <w:r>
        <w:rPr>
          <w:rFonts w:ascii="Times New Roman" w:cs="Times New Roman" w:eastAsia="Times New Roman" w:hAnsi="Times New Roman"/>
          <w:sz w:val="18"/>
          <w:szCs w:val="18"/>
          <w:color w:val="auto"/>
        </w:rPr>
        <w:t>Our continued organic growth is dependent upon the execution of our balanced automotive retailing and service business strategy, the continued strength of our brand mix and the production and allocation of desirable vehicles from the automobile manufacturers whose brands we sell. Our vehicle sales have historically fluctuated with product availability as well as local and national economic conditions, including consumer confidence, availability of consumer credit, fuel prices and employment levels.</w:t>
      </w:r>
    </w:p>
    <w:p>
      <w:pPr>
        <w:spacing w:after="0" w:line="131" w:lineRule="exact"/>
        <w:rPr>
          <w:sz w:val="20"/>
          <w:szCs w:val="20"/>
          <w:color w:val="auto"/>
        </w:rPr>
      </w:pPr>
    </w:p>
    <w:p>
      <w:pPr>
        <w:ind w:right="180" w:firstLine="276"/>
        <w:spacing w:after="0" w:line="252" w:lineRule="auto"/>
        <w:rPr>
          <w:sz w:val="20"/>
          <w:szCs w:val="20"/>
          <w:color w:val="auto"/>
        </w:rPr>
      </w:pPr>
      <w:r>
        <w:rPr>
          <w:rFonts w:ascii="Times New Roman" w:cs="Times New Roman" w:eastAsia="Times New Roman" w:hAnsi="Times New Roman"/>
          <w:sz w:val="18"/>
          <w:szCs w:val="18"/>
          <w:color w:val="auto"/>
        </w:rPr>
        <w:t>In addition, our ability to sell certain new and used vehicles can be negatively impacted by a number of factors, some of which are outside of our control. Certain manufacturers continue to be hampered by the lack of availability of parts and key components from suppliers which has impacted new vehicle inventory levels and availability of certain parts. We cannot predict with any certainty how long the automotive retail industry will continue to be subject to these production slowdowns or when normalized production will resume at these manufacturers.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and geopolitical considerations</w:t>
      </w:r>
    </w:p>
    <w:p>
      <w:pPr>
        <w:spacing w:after="0" w:line="163" w:lineRule="exact"/>
        <w:rPr>
          <w:sz w:val="20"/>
          <w:szCs w:val="20"/>
          <w:color w:val="auto"/>
        </w:rPr>
      </w:pPr>
    </w:p>
    <w:p>
      <w:pPr>
        <w:ind w:right="80" w:firstLine="237"/>
        <w:spacing w:after="0" w:line="248" w:lineRule="auto"/>
        <w:rPr>
          <w:sz w:val="20"/>
          <w:szCs w:val="20"/>
          <w:color w:val="auto"/>
        </w:rPr>
      </w:pPr>
      <w:r>
        <w:rPr>
          <w:rFonts w:ascii="Times New Roman" w:cs="Times New Roman" w:eastAsia="Times New Roman" w:hAnsi="Times New Roman"/>
          <w:sz w:val="18"/>
          <w:szCs w:val="18"/>
          <w:color w:val="auto"/>
        </w:rPr>
        <w:t>The demand and availability for and pricing of our products and services may be adversely impacted by economic conditions and financial developments, including increasing interest rates, rising inflation, high energy prices, a potential recessionary environment and other factors. The automotive retail industry is influenced by general economic conditions, particularly consumer confidence and consumer spending, interest rates, fuel prices, exchange rates, technology and business model changes, supply conditions, consumer transportation preferences, credit availability, and the unemployment rate. Consumer spending can be materially and adversely impacted by periods of economic uncertainty or by consumer concern regarding manufacturer viability. In addition, local economic, competitive and other conditions affect the performance of our dealerships. Our results of operations depend substantially on general economic conditions and consumer spending in those regions where we maintain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Tariffs and trade risks</w:t>
      </w:r>
    </w:p>
    <w:p>
      <w:pPr>
        <w:spacing w:after="0" w:line="163" w:lineRule="exact"/>
        <w:rPr>
          <w:sz w:val="20"/>
          <w:szCs w:val="20"/>
          <w:color w:val="auto"/>
        </w:rPr>
      </w:pPr>
    </w:p>
    <w:p>
      <w:pPr>
        <w:ind w:right="60" w:firstLine="237"/>
        <w:spacing w:after="0" w:line="250" w:lineRule="auto"/>
        <w:rPr>
          <w:sz w:val="20"/>
          <w:szCs w:val="20"/>
          <w:color w:val="auto"/>
        </w:rPr>
      </w:pPr>
      <w:r>
        <w:rPr>
          <w:rFonts w:ascii="Times New Roman" w:cs="Times New Roman" w:eastAsia="Times New Roman" w:hAnsi="Times New Roman"/>
          <w:sz w:val="18"/>
          <w:szCs w:val="18"/>
          <w:color w:val="auto"/>
        </w:rPr>
        <w:t>A significant portion of our business involves the sale of vehicles, parts, or vehicles composed of, or maintenance and repair services including, parts that are manufactured outside the U.S. Changes or increases in tariffs, trade restrictions, fluctuations in foreign currency exchange rates, the negotiation of new trade agreements, non-tariff trade barriers, local content requirements, uncertainty surrounding global trade policies, and the imposition of new or retaliatory tariffs against certain countries or covering certain products, including vehicles and parts, may affect our competitive position and impair our ability to sell and service vehicles and parts, and have a material adverse effect on our results of operations.</w:t>
      </w:r>
    </w:p>
    <w:p>
      <w:pPr>
        <w:spacing w:after="0" w:line="212" w:lineRule="exact"/>
        <w:rPr>
          <w:sz w:val="20"/>
          <w:szCs w:val="20"/>
          <w:color w:val="auto"/>
        </w:rPr>
      </w:pPr>
    </w:p>
    <w:p>
      <w:pPr>
        <w:ind w:firstLine="237"/>
        <w:spacing w:after="0" w:line="246" w:lineRule="auto"/>
        <w:rPr>
          <w:sz w:val="20"/>
          <w:szCs w:val="20"/>
          <w:color w:val="auto"/>
        </w:rPr>
      </w:pPr>
      <w:r>
        <w:rPr>
          <w:rFonts w:ascii="Times New Roman" w:cs="Times New Roman" w:eastAsia="Times New Roman" w:hAnsi="Times New Roman"/>
          <w:sz w:val="18"/>
          <w:szCs w:val="18"/>
          <w:color w:val="auto"/>
        </w:rPr>
        <w:t>In late January 2025, the U.S. government commenced a broad review of U.S. trade relations, following which it began issuing numerous executive orders and other public policy statements imposing or threatening to impose tariffs on certain countries, materials, and industries, including the automotive industry. Such tariffs include a 25% tariff on imports of automobiles and certain automobile parts. In response, impacted countries have imposed or threatened various corresponding retaliatory tariffs and other actions. If maintained, these and other newly announced tariffs and actions and the potential escalation of trade disputes are expected to affect the automotive industry generally, including manufacturers, distributors and retailers of vehicles, parts and supplies. The extent of the tariffs and the resulting impact on general economic conditions and on our business are uncertain and depend on various factors, such as negotiations between the U.S. and affected countries, the duration of such tariffs, the responses of other countries or regions to such tariffs, the actual increases in the costs of vehicles, products and raw materials, and exemptions or exclusions that may be granted. Should tariffs increase and be sustained, our inventory acquisition and carrying costs, and the production costs for many of our manufacturer, distributor and supplier partners, may be increased, which costs may be passed on to us and consumers through higher prices for many new vehicles and certain parts we sell. These increased prices may adversely affect our new vehicle sales and related finance and insurance sales and may adversely impact demand for such vehicles and parts, and could materially and adversely affect the results of our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Herb Chambers acquisition</w:t>
      </w:r>
    </w:p>
    <w:p>
      <w:pPr>
        <w:spacing w:after="0" w:line="150" w:lineRule="exact"/>
        <w:rPr>
          <w:sz w:val="20"/>
          <w:szCs w:val="20"/>
          <w:color w:val="auto"/>
        </w:rPr>
      </w:pPr>
    </w:p>
    <w:p>
      <w:pPr>
        <w:ind w:right="100" w:firstLine="237"/>
        <w:spacing w:after="0" w:line="232" w:lineRule="auto"/>
        <w:rPr>
          <w:sz w:val="20"/>
          <w:szCs w:val="20"/>
          <w:color w:val="auto"/>
        </w:rPr>
      </w:pPr>
      <w:r>
        <w:rPr>
          <w:rFonts w:ascii="Times New Roman" w:cs="Times New Roman" w:eastAsia="Times New Roman" w:hAnsi="Times New Roman"/>
          <w:sz w:val="18"/>
          <w:szCs w:val="18"/>
          <w:color w:val="auto"/>
        </w:rPr>
        <w:t>On July 21, 2025 the Company completed its previously announced acquisition of substantially all of the assets, including real property and businesses of The Herb Chambers Companies (the "Herb Chambers Dealerships") pursuant to a Purchase and Sale Agreement (the "Transaction Agreement") with various entities that comprise the Herb Chambers automotive group (the "Herb Chambers acquisition") for an aggregate purchase price of approximately $1.82 billion which includes $750 million for goodwill, approximately $610 million for the real estate and leasehold improvements and approximately $460.0 million for new</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vehicles, used vehicles, service loaner vehicles, fixed assets and parts and supplies. The acquisition was primarily funded with borrowings under Asbury’s existing senior credit facility, borrowings under the 2025 Real Estate Facility and cash on hand. The Herb Chambers acquisition comprised 33 dealerships, 52 franchises and three collision centers and real property and businesses of the Herb Chambers Dealerships (collectively, the "Businesses").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related to our financial condition and results of operations include the following:</w:t>
      </w:r>
    </w:p>
    <w:p>
      <w:pPr>
        <w:spacing w:after="0" w:line="161"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for the six months ended June 30, 2025, increased to $8.52 billion, compared to $8.45 billion for the prior year.</w:t>
      </w:r>
    </w:p>
    <w:p>
      <w:pPr>
        <w:spacing w:after="0" w:line="10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for the six months ended June 30, 2025, decreased marginally to $1,476.1 million, compared to $1,480.7 million for the prior year.</w:t>
      </w:r>
    </w:p>
    <w:p>
      <w:pPr>
        <w:spacing w:after="0" w:line="64" w:lineRule="exact"/>
        <w:rPr>
          <w:rFonts w:ascii="Times New Roman" w:cs="Times New Roman" w:eastAsia="Times New Roman" w:hAnsi="Times New Roman"/>
          <w:sz w:val="18"/>
          <w:szCs w:val="18"/>
          <w:color w:val="auto"/>
        </w:rPr>
      </w:pPr>
    </w:p>
    <w:p>
      <w:pPr>
        <w:ind w:left="640" w:right="40" w:hanging="319"/>
        <w:spacing w:after="0" w:line="250"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consolidated revenue is primarily due to an increase in new vehicles units sold offset partially by a decrease in used vehicle units sold. The decrease in consolidated gross profit is primarily due to lower gross profit per vehicle sold for new vehicles as margins continue to shift downward from the historic highs in recent years as well as a decrease in F&amp;I gross profit.. The lower new vehicle gross profit per vehicle sold and F&amp;I gross profit was partially offset by an increase in growth in our parts and services gross profit and a slight increase in used vehicle gross profit per vehicle sold.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63" w:lineRule="exact"/>
        <w:rPr>
          <w:sz w:val="20"/>
          <w:szCs w:val="20"/>
          <w:color w:val="auto"/>
        </w:rPr>
      </w:pPr>
    </w:p>
    <w:p>
      <w:pPr>
        <w:ind w:right="140" w:firstLine="276"/>
        <w:spacing w:after="0" w:line="252" w:lineRule="auto"/>
        <w:rPr>
          <w:sz w:val="20"/>
          <w:szCs w:val="20"/>
          <w:color w:val="auto"/>
        </w:rPr>
      </w:pPr>
      <w:r>
        <w:rPr>
          <w:rFonts w:ascii="Times New Roman" w:cs="Times New Roman" w:eastAsia="Times New Roman" w:hAnsi="Times New Roman"/>
          <w:sz w:val="18"/>
          <w:szCs w:val="18"/>
          <w:color w:val="auto"/>
        </w:rPr>
        <w:t>We assess the organic growth of our revenue and gross profit on a same store basis. We believe that our assessment on a same store basis represents an important indicator of comparative financial performance and provides relevant information to assess our performance. As such, for the following discussion, same store amounts consist of information from dealerships for identical months in each comparative period, commencing with the first full month we owned the dealership. Additionally, amounts related to divested dealerships are excluded from each comparative period.</w:t>
      </w:r>
    </w:p>
    <w:p>
      <w:pPr>
        <w:spacing w:after="0" w:line="131" w:lineRule="exact"/>
        <w:rPr>
          <w:sz w:val="20"/>
          <w:szCs w:val="20"/>
          <w:color w:val="auto"/>
        </w:rPr>
      </w:pPr>
    </w:p>
    <w:p>
      <w:pPr>
        <w:ind w:firstLine="276"/>
        <w:spacing w:after="0" w:line="248" w:lineRule="auto"/>
        <w:rPr>
          <w:sz w:val="20"/>
          <w:szCs w:val="20"/>
          <w:color w:val="auto"/>
        </w:rPr>
      </w:pPr>
      <w:r>
        <w:rPr>
          <w:rFonts w:ascii="Times New Roman" w:cs="Times New Roman" w:eastAsia="Times New Roman" w:hAnsi="Times New Roman"/>
          <w:sz w:val="18"/>
          <w:szCs w:val="18"/>
          <w:color w:val="auto"/>
        </w:rPr>
        <w:t>During June 2024, one of the Company's vendors (CDK Global) experienced a cyber-incident impacting certain services provided to the Company and many other automotive retailers, including the Company's sales, service, inventory, customer relationship management, and accounting functions. Beginning on June 19, 2024, the outage affected all Asbury locations, with the exception of our Koons stores which utilized a different dealership management system. All functions of CDK were not fully restored for us until July 8, 2024, with other plug-ins and bolt-on applications coming back online in the weeks thereafter. The CDK outage had a negative impact on our financial results during the quarter ended June 30, 2024 as a result of fewer new and used vehicle sales, which also impacted our F&amp;I business, a reduction in parts and service volumes and certain incremental expenses related to our recovery efforts. The CDK Global cyber-incident did not have a continuing impact on the Company's operations and results in future periods.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the Three Months Ended June 30,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30,</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98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80" w:type="dxa"/>
            <w:vAlign w:val="bottom"/>
            <w:gridSpan w:val="6"/>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2,303.9</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139.0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(22.3)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26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20.6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4,246.2</w:t>
            </w:r>
          </w:p>
        </w:tc>
        <w:tc>
          <w:tcPr>
            <w:tcW w:w="260" w:type="dxa"/>
            <w:vAlign w:val="bottom"/>
          </w:tcPr>
          <w:p>
            <w:pPr>
              <w:spacing w:after="0"/>
              <w:rPr>
                <w:sz w:val="18"/>
                <w:szCs w:val="18"/>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127.0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6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7.9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6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14.9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(6.6)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260" w:type="dxa"/>
            <w:vAlign w:val="bottom"/>
          </w:tcPr>
          <w:p>
            <w:pPr>
              <w:spacing w:after="0"/>
              <w:rPr>
                <w:sz w:val="18"/>
                <w:szCs w:val="18"/>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21.2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260" w:type="dxa"/>
            <w:vAlign w:val="bottom"/>
          </w:tcPr>
          <w:p>
            <w:pPr>
              <w:spacing w:after="0"/>
              <w:rPr>
                <w:sz w:val="19"/>
                <w:szCs w:val="19"/>
                <w:color w:val="auto"/>
              </w:rPr>
            </w:pPr>
          </w:p>
        </w:tc>
        <w:tc>
          <w:tcPr>
            <w:tcW w:w="13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0.8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60" w:type="dxa"/>
            <w:vAlign w:val="bottom"/>
          </w:tcPr>
          <w:p>
            <w:pPr>
              <w:spacing w:after="0"/>
              <w:rPr>
                <w:sz w:val="19"/>
                <w:szCs w:val="19"/>
                <w:color w:val="auto"/>
              </w:rPr>
            </w:pPr>
          </w:p>
        </w:tc>
        <w:tc>
          <w:tcPr>
            <w:tcW w:w="13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(135.4)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7"/>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156.9</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2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tcPr>
          <w:p>
            <w:pPr>
              <w:spacing w:after="0"/>
              <w:rPr>
                <w:sz w:val="19"/>
                <w:szCs w:val="19"/>
                <w:color w:val="auto"/>
              </w:rPr>
            </w:pPr>
          </w:p>
        </w:tc>
        <w:tc>
          <w:tcPr>
            <w:tcW w:w="13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7"/>
        </w:trPr>
        <w:tc>
          <w:tcPr>
            <w:tcW w:w="61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ind w:right="293"/>
              <w:spacing w:after="0"/>
              <w:rPr>
                <w:sz w:val="20"/>
                <w:szCs w:val="20"/>
                <w:color w:val="auto"/>
              </w:rPr>
            </w:pPr>
            <w:r>
              <w:rPr>
                <w:rFonts w:ascii="Times New Roman" w:cs="Times New Roman" w:eastAsia="Times New Roman" w:hAnsi="Times New Roman"/>
                <w:sz w:val="18"/>
                <w:szCs w:val="18"/>
                <w:color w:val="auto"/>
              </w:rPr>
              <w:t>(8.9)</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165.7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4"/>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8"/>
                <w:szCs w:val="18"/>
                <w:color w:val="auto"/>
              </w:rPr>
              <w:t>41.1</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4"/>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152.8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28.1</w:t>
            </w:r>
          </w:p>
        </w:tc>
        <w:tc>
          <w:tcPr>
            <w:tcW w:w="26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3"/>
              <w:spacing w:after="0" w:line="190" w:lineRule="exact"/>
              <w:rPr>
                <w:sz w:val="20"/>
                <w:szCs w:val="20"/>
                <w:color w:val="auto"/>
              </w:rPr>
            </w:pPr>
            <w:r>
              <w:rPr>
                <w:rFonts w:ascii="Times New Roman" w:cs="Times New Roman" w:eastAsia="Times New Roman" w:hAnsi="Times New Roman"/>
                <w:sz w:val="18"/>
                <w:szCs w:val="18"/>
                <w:color w:val="auto"/>
              </w:rPr>
              <w:t>124.6</w:t>
            </w:r>
          </w:p>
        </w:tc>
        <w:tc>
          <w:tcPr>
            <w:tcW w:w="98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common share—Diluted</w:t>
            </w:r>
          </w:p>
        </w:tc>
        <w:tc>
          <w:tcPr>
            <w:tcW w:w="280" w:type="dxa"/>
            <w:vAlign w:val="bottom"/>
            <w:tcBorders>
              <w:bottom w:val="single" w:sz="8" w:color="auto"/>
            </w:tcBorders>
          </w:tcPr>
          <w:p>
            <w:pPr>
              <w:jc w:val="right"/>
              <w:ind w:right="9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3"/>
              <w:spacing w:after="0" w:line="196" w:lineRule="exact"/>
              <w:rPr>
                <w:sz w:val="20"/>
                <w:szCs w:val="20"/>
                <w:color w:val="auto"/>
              </w:rPr>
            </w:pPr>
            <w:r>
              <w:rPr>
                <w:rFonts w:ascii="Times New Roman" w:cs="Times New Roman" w:eastAsia="Times New Roman" w:hAnsi="Times New Roman"/>
                <w:sz w:val="18"/>
                <w:szCs w:val="18"/>
                <w:color w:val="auto"/>
              </w:rPr>
              <w:t>6.36</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NM—Not Meaningful</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842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0" w:type="dxa"/>
            <w:vAlign w:val="bottom"/>
          </w:tcPr>
          <w:p>
            <w:pPr>
              <w:spacing w:after="0"/>
              <w:rPr>
                <w:sz w:val="1"/>
                <w:szCs w:val="1"/>
                <w:color w:val="auto"/>
              </w:rPr>
            </w:pPr>
          </w:p>
        </w:tc>
      </w:tr>
      <w:tr>
        <w:trPr>
          <w:trHeight w:val="205"/>
        </w:trPr>
        <w:tc>
          <w:tcPr>
            <w:tcW w:w="84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5"/>
        </w:trPr>
        <w:tc>
          <w:tcPr>
            <w:tcW w:w="84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REVENUE MIX PERCENTAGES:</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New vehicle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Used vehicle retail</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24"/>
        </w:trPr>
        <w:tc>
          <w:tcPr>
            <w:tcW w:w="8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Used vehicle wholesale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Parts and service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24"/>
        </w:trPr>
        <w:tc>
          <w:tcPr>
            <w:tcW w:w="84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42"/>
        </w:trPr>
        <w:tc>
          <w:tcPr>
            <w:tcW w:w="84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Total revenue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GROSS PROFIT MIX PERCENTAGES:</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2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 vehicle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24"/>
        </w:trPr>
        <w:tc>
          <w:tcPr>
            <w:tcW w:w="8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Used vehicle retail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Used vehicle wholesale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4"/>
        </w:trPr>
        <w:tc>
          <w:tcPr>
            <w:tcW w:w="8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Parts and service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17"/>
        </w:trPr>
        <w:tc>
          <w:tcPr>
            <w:tcW w:w="8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gross profit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28"/>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 AS A PERCENTAGE OF GROSS PROFIT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80" w:firstLine="237"/>
        <w:spacing w:after="0" w:line="250" w:lineRule="auto"/>
        <w:rPr>
          <w:sz w:val="20"/>
          <w:szCs w:val="20"/>
          <w:color w:val="auto"/>
        </w:rPr>
      </w:pPr>
      <w:r>
        <w:rPr>
          <w:rFonts w:ascii="Times New Roman" w:cs="Times New Roman" w:eastAsia="Times New Roman" w:hAnsi="Times New Roman"/>
          <w:sz w:val="18"/>
          <w:szCs w:val="18"/>
          <w:color w:val="auto"/>
        </w:rPr>
        <w:t>Total revenue during the second quarter of 2025 increased by $127.0 million (3%) compared to the second quarter of 2024, due to a $139.0 million (6%) increase in new vehicle revenue, a $20.6 million (4%) increase in parts and service revenue partially offset by a $22.3 million (2%) decrease in used vehicle revenue and a $10.4 million (5%) decrease in F&amp;I, net revenue. During the three months ended June 30, 2025, gross profit increased by $21.2 million (3%) driven by a $14.9 million (4%) increase in parts and service gross profit, a $7.9 million (13%) increase in used vehicle gross profit and a $4.9 million (3%) increase in new vehicle gross profit, partially offset by a $6.6 million (4%) decrease in F&amp;I gross profit.</w:t>
      </w:r>
    </w:p>
    <w:p>
      <w:pPr>
        <w:spacing w:after="0" w:line="133" w:lineRule="exact"/>
        <w:rPr>
          <w:sz w:val="20"/>
          <w:szCs w:val="20"/>
          <w:color w:val="auto"/>
        </w:rPr>
      </w:pPr>
    </w:p>
    <w:p>
      <w:pPr>
        <w:ind w:right="400" w:firstLine="237"/>
        <w:spacing w:after="0" w:line="268" w:lineRule="auto"/>
        <w:rPr>
          <w:sz w:val="20"/>
          <w:szCs w:val="20"/>
          <w:color w:val="auto"/>
        </w:rPr>
      </w:pPr>
      <w:r>
        <w:rPr>
          <w:rFonts w:ascii="Times New Roman" w:cs="Times New Roman" w:eastAsia="Times New Roman" w:hAnsi="Times New Roman"/>
          <w:sz w:val="18"/>
          <w:szCs w:val="18"/>
          <w:color w:val="auto"/>
        </w:rPr>
        <w:t>Income from operations during three months ended June 30, 2025 increased by $156.9 million (156%) compared to three months ended June 30, 2024, primarily due to a $135.4 million decrease in asset impairments in addition to the $21.2 million (3%) increase in gross profit.</w:t>
      </w:r>
    </w:p>
    <w:p>
      <w:pPr>
        <w:spacing w:after="0" w:line="117" w:lineRule="exact"/>
        <w:rPr>
          <w:sz w:val="20"/>
          <w:szCs w:val="20"/>
          <w:color w:val="auto"/>
        </w:rPr>
      </w:pPr>
    </w:p>
    <w:p>
      <w:pPr>
        <w:ind w:firstLine="237"/>
        <w:spacing w:after="0" w:line="250" w:lineRule="auto"/>
        <w:rPr>
          <w:sz w:val="20"/>
          <w:szCs w:val="20"/>
          <w:color w:val="auto"/>
        </w:rPr>
      </w:pPr>
      <w:r>
        <w:rPr>
          <w:rFonts w:ascii="Times New Roman" w:cs="Times New Roman" w:eastAsia="Times New Roman" w:hAnsi="Times New Roman"/>
          <w:sz w:val="18"/>
          <w:szCs w:val="18"/>
          <w:color w:val="auto"/>
        </w:rPr>
        <w:t>Total other expenses, net decreased by $8.9 million (14%) during the second quarter of 2025 as compared to the second quarter of 2024, primarily as a result of a $3.7 million decrease in other interest expense, net, a $2.9 million decrease in floor plan interest expense and a $2.3 million increase in the gain on dealership divestitures, net. Income before income taxes increased $165.7 million to $203.8 million for the three months ended June 30, 2025 as compared to the three months ended June 30, 2024. Overall, net income increased by $124.6 million during the second quarter of 2025 as compared to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Vehicle—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vMerge w:val="restart"/>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88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0" w:type="dxa"/>
            <w:vAlign w:val="bottom"/>
          </w:tcPr>
          <w:p>
            <w:pPr>
              <w:spacing w:after="0"/>
              <w:rPr>
                <w:sz w:val="1"/>
                <w:szCs w:val="1"/>
                <w:color w:val="auto"/>
              </w:rPr>
            </w:pPr>
          </w:p>
        </w:tc>
      </w:tr>
      <w:tr>
        <w:trPr>
          <w:trHeight w:val="204"/>
        </w:trPr>
        <w:tc>
          <w:tcPr>
            <w:tcW w:w="4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6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44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58.6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260" w:type="dxa"/>
            <w:vAlign w:val="bottom"/>
          </w:tcPr>
          <w:p>
            <w:pPr>
              <w:spacing w:after="0"/>
              <w:rPr>
                <w:sz w:val="19"/>
                <w:szCs w:val="19"/>
                <w:color w:val="auto"/>
              </w:rPr>
            </w:pP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27.9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52.5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19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139.0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Gross profit:</w:t>
            </w:r>
          </w:p>
        </w:tc>
        <w:tc>
          <w:tcPr>
            <w:tcW w:w="1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2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4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7.7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393"/>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gross profit</w:t>
            </w:r>
          </w:p>
        </w:tc>
        <w:tc>
          <w:tcPr>
            <w:tcW w:w="1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4.9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New vehicle units:</w:t>
            </w:r>
          </w:p>
        </w:tc>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599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22,663</w:t>
            </w:r>
          </w:p>
        </w:tc>
        <w:tc>
          <w:tcPr>
            <w:tcW w:w="260" w:type="dxa"/>
            <w:vAlign w:val="bottom"/>
          </w:tcPr>
          <w:p>
            <w:pPr>
              <w:spacing w:after="0"/>
              <w:rPr>
                <w:sz w:val="19"/>
                <w:szCs w:val="19"/>
                <w:color w:val="auto"/>
              </w:rPr>
            </w:pP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938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units</w:t>
            </w:r>
          </w:p>
        </w:tc>
        <w:tc>
          <w:tcPr>
            <w:tcW w:w="1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44,437</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42,679</w:t>
            </w:r>
          </w:p>
        </w:tc>
        <w:tc>
          <w:tcPr>
            <w:tcW w:w="260" w:type="dxa"/>
            <w:vAlign w:val="bottom"/>
          </w:tcPr>
          <w:p>
            <w:pPr>
              <w:spacing w:after="0"/>
              <w:rPr>
                <w:sz w:val="18"/>
                <w:szCs w:val="18"/>
                <w:color w:val="auto"/>
              </w:rPr>
            </w:pP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1,758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2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44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58.6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63.2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433"/>
              <w:spacing w:after="0"/>
              <w:rPr>
                <w:sz w:val="20"/>
                <w:szCs w:val="20"/>
                <w:color w:val="auto"/>
              </w:rPr>
            </w:pPr>
            <w:r>
              <w:rPr>
                <w:rFonts w:ascii="Times New Roman" w:cs="Times New Roman" w:eastAsia="Times New Roman" w:hAnsi="Times New Roman"/>
                <w:sz w:val="18"/>
                <w:szCs w:val="18"/>
                <w:color w:val="auto"/>
              </w:rPr>
              <w:t>58.6</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1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180.4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4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7.7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tcPr>
          <w:p>
            <w:pPr>
              <w:spacing w:after="0"/>
              <w:rPr>
                <w:sz w:val="19"/>
                <w:szCs w:val="19"/>
                <w:color w:val="auto"/>
              </w:rPr>
            </w:pPr>
          </w:p>
        </w:tc>
        <w:tc>
          <w:tcPr>
            <w:tcW w:w="138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(0.7)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(0.9)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gross profit</w:t>
            </w:r>
          </w:p>
        </w:tc>
        <w:tc>
          <w:tcPr>
            <w:tcW w:w="19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6.0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New vehicle units</w:t>
            </w:r>
          </w:p>
        </w:tc>
        <w:tc>
          <w:tcPr>
            <w:tcW w:w="1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260" w:type="dxa"/>
            <w:vAlign w:val="bottom"/>
          </w:tcPr>
          <w:p>
            <w:pPr>
              <w:spacing w:after="0"/>
              <w:rPr>
                <w:sz w:val="19"/>
                <w:szCs w:val="19"/>
                <w:color w:val="auto"/>
              </w:rPr>
            </w:pP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599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21,174</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1,132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433"/>
              <w:spacing w:after="0"/>
              <w:rPr>
                <w:sz w:val="20"/>
                <w:szCs w:val="20"/>
                <w:color w:val="auto"/>
              </w:rPr>
            </w:pPr>
            <w:r>
              <w:rPr>
                <w:rFonts w:ascii="Times New Roman" w:cs="Times New Roman" w:eastAsia="Times New Roman" w:hAnsi="Times New Roman"/>
                <w:sz w:val="18"/>
                <w:szCs w:val="18"/>
                <w:color w:val="auto"/>
              </w:rPr>
              <w:t>1,072</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units</w:t>
            </w:r>
          </w:p>
        </w:tc>
        <w:tc>
          <w:tcPr>
            <w:tcW w:w="1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40,840</w:t>
            </w: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2,803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412"/>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0"/>
        </w:trPr>
        <w:tc>
          <w:tcPr>
            <w:tcW w:w="42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Vehicle Metrics—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00" w:type="dxa"/>
            <w:vAlign w:val="bottom"/>
          </w:tcPr>
          <w:p>
            <w:pPr>
              <w:spacing w:after="0"/>
              <w:rPr>
                <w:sz w:val="18"/>
                <w:szCs w:val="18"/>
                <w:color w:val="auto"/>
              </w:rPr>
            </w:pPr>
          </w:p>
        </w:tc>
        <w:tc>
          <w:tcPr>
            <w:tcW w:w="2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1200" w:type="dxa"/>
            <w:vAlign w:val="bottom"/>
            <w:vMerge w:val="restart"/>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74"/>
        </w:trPr>
        <w:tc>
          <w:tcPr>
            <w:tcW w:w="5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59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 Reported:</w:t>
            </w: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new vehicle sold</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51,846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50,725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3,633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Luxury:</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6,830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Import: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2,590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2,927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3,260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new vehicle sold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51,967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51,116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13"/>
              <w:spacing w:after="0" w:line="196" w:lineRule="exact"/>
              <w:rPr>
                <w:sz w:val="20"/>
                <w:szCs w:val="20"/>
                <w:color w:val="auto"/>
              </w:rPr>
            </w:pPr>
            <w:r>
              <w:rPr>
                <w:rFonts w:ascii="Times New Roman" w:cs="Times New Roman" w:eastAsia="Times New Roman" w:hAnsi="Times New Roman"/>
                <w:sz w:val="18"/>
                <w:szCs w:val="18"/>
                <w:color w:val="auto"/>
              </w:rPr>
              <w:t>3,611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3,711</w:t>
            </w:r>
          </w:p>
        </w:tc>
        <w:tc>
          <w:tcPr>
            <w:tcW w:w="2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3"/>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Luxury: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7,221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6,838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Import: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2,645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Domestic:</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2,914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3,284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00" w:firstLine="276"/>
        <w:spacing w:after="0" w:line="252" w:lineRule="auto"/>
        <w:rPr>
          <w:sz w:val="20"/>
          <w:szCs w:val="20"/>
          <w:color w:val="auto"/>
        </w:rPr>
      </w:pPr>
      <w:r>
        <w:rPr>
          <w:rFonts w:ascii="Times New Roman" w:cs="Times New Roman" w:eastAsia="Times New Roman" w:hAnsi="Times New Roman"/>
          <w:sz w:val="18"/>
          <w:szCs w:val="18"/>
          <w:color w:val="auto"/>
        </w:rPr>
        <w:t>For the three months ended June 30, 2025, new vehicle revenue increased by $139.0 million (6%) due to an increase in new vehicle units sold of 1,758 (4%) and an $1,122 (2%) increase in revenue per new vehicle sold as compared to the three months ended June 30, 2024. Same store new vehicle revenue increased by $180.4 million, driven by an increase in new vehicles sold of 2,803 (7%) and an $851 (2%) increase in revenue per new vehicle sold as compared to the three months ended June 30, 2024.</w:t>
      </w:r>
    </w:p>
    <w:p>
      <w:pPr>
        <w:spacing w:after="0" w:line="131" w:lineRule="exact"/>
        <w:rPr>
          <w:sz w:val="20"/>
          <w:szCs w:val="20"/>
          <w:color w:val="auto"/>
        </w:rPr>
      </w:pPr>
    </w:p>
    <w:p>
      <w:pPr>
        <w:ind w:firstLine="276"/>
        <w:spacing w:after="0" w:line="252" w:lineRule="auto"/>
        <w:rPr>
          <w:sz w:val="20"/>
          <w:szCs w:val="20"/>
          <w:color w:val="auto"/>
        </w:rPr>
      </w:pPr>
      <w:r>
        <w:rPr>
          <w:rFonts w:ascii="Times New Roman" w:cs="Times New Roman" w:eastAsia="Times New Roman" w:hAnsi="Times New Roman"/>
          <w:sz w:val="18"/>
          <w:szCs w:val="18"/>
          <w:color w:val="auto"/>
        </w:rPr>
        <w:t>For the three months ended June 30, 2025, new vehicle gross profit and same store new vehicle gross profit increased by $4.9 million (3%) and $6.0 million (4%), respectively. Same store new vehicle gross margin for the three months ended June 30, 2025 decreased 31 basis points to 6.9%. A similar decrease was seen in new vehicle gross profit margins, as reported. The decrease in our new vehicle gross profit margin was primarily attributable to the continued easing of new vehicle inventory constraints which softened the historically high new vehicle margins seen in recent years.</w:t>
      </w:r>
    </w:p>
    <w:p>
      <w:pPr>
        <w:spacing w:after="0" w:line="131" w:lineRule="exact"/>
        <w:rPr>
          <w:sz w:val="20"/>
          <w:szCs w:val="20"/>
          <w:color w:val="auto"/>
        </w:rPr>
      </w:pPr>
    </w:p>
    <w:p>
      <w:pPr>
        <w:ind w:right="40" w:firstLine="276"/>
        <w:spacing w:after="0" w:line="250" w:lineRule="auto"/>
        <w:rPr>
          <w:sz w:val="20"/>
          <w:szCs w:val="20"/>
          <w:color w:val="auto"/>
        </w:rPr>
      </w:pPr>
      <w:r>
        <w:rPr>
          <w:rFonts w:ascii="Times New Roman" w:cs="Times New Roman" w:eastAsia="Times New Roman" w:hAnsi="Times New Roman"/>
          <w:sz w:val="18"/>
          <w:szCs w:val="18"/>
          <w:color w:val="auto"/>
        </w:rPr>
        <w:t>The seasonally adjusted annual rate ("SAAR") for new vehicle sales in the U.S. during the three months ended June 30, 2025, was approximately 16.1 million which increased as compared to approximately 15.6 million during the three months ended June 30, 2024. The increase in SAAR period over period reflects higher inventory supply coupled with the effects of the CDK outage in June 2024, which negatively impacted sales in the prior year. Consumer demand for new vehicles around the earlier part of the second quarter of 2025 was driven by automobile tariff uncertainty. We also continue to be impacted by the significant variation in new vehicle days supply among brands and models.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Used Vehicle—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gridSpan w:val="10"/>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For the Three Months Ended June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900" w:type="dxa"/>
            <w:vAlign w:val="bottom"/>
            <w:vMerge w:val="restart"/>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9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04"/>
        </w:trPr>
        <w:tc>
          <w:tcPr>
            <w:tcW w:w="5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00" w:type="dxa"/>
            <w:vAlign w:val="bottom"/>
            <w:gridSpan w:val="13"/>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(Dollars in millions, except for per vehicle data)</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revenue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5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revenue</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140.9</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7"/>
        </w:trPr>
        <w:tc>
          <w:tcPr>
            <w:tcW w:w="5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revenue</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gross profit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62.3</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4"/>
        </w:trPr>
        <w:tc>
          <w:tcPr>
            <w:tcW w:w="5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gross profit</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7"/>
        </w:trPr>
        <w:tc>
          <w:tcPr>
            <w:tcW w:w="5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gross profit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68.9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36,233</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38,534</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revenue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5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revenue</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137.4</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7"/>
        </w:trPr>
        <w:tc>
          <w:tcPr>
            <w:tcW w:w="5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revenue</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gross profit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61.6</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4"/>
        </w:trPr>
        <w:tc>
          <w:tcPr>
            <w:tcW w:w="5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gross profit</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7"/>
        </w:trPr>
        <w:tc>
          <w:tcPr>
            <w:tcW w:w="5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gross profit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68.2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35,648</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37,027</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Used Vehicle Metrics—</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5800" w:type="dxa"/>
            <w:vAlign w:val="bottom"/>
          </w:tcPr>
          <w:p>
            <w:pPr>
              <w:spacing w:after="0"/>
              <w:rPr>
                <w:sz w:val="24"/>
                <w:szCs w:val="24"/>
                <w:color w:val="auto"/>
              </w:rPr>
            </w:pPr>
          </w:p>
        </w:tc>
        <w:tc>
          <w:tcPr>
            <w:tcW w:w="2880" w:type="dxa"/>
            <w:vAlign w:val="bottom"/>
            <w:gridSpan w:val="11"/>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900" w:type="dxa"/>
            <w:vAlign w:val="bottom"/>
            <w:vMerge w:val="restart"/>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58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00" w:type="dxa"/>
            <w:vAlign w:val="bottom"/>
            <w:tcBorders>
              <w:top w:val="single" w:sz="8" w:color="auto"/>
            </w:tcBorders>
            <w:vMerge w:val="restart"/>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05"/>
        </w:trPr>
        <w:tc>
          <w:tcPr>
            <w:tcW w:w="58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 Reported:</w:t>
            </w: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used vehicle retailed</w:t>
            </w: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30,289</w:t>
            </w:r>
          </w:p>
        </w:tc>
        <w:tc>
          <w:tcPr>
            <w:tcW w:w="10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per used vehicle retailed</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gross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used vehicle retailed</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31,252</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 used vehicle retailed</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380" w:type="dxa"/>
            <w:vAlign w:val="bottom"/>
            <w:tcBorders>
              <w:top w:val="single" w:sz="8" w:color="auto"/>
              <w:bottom w:val="single" w:sz="8" w:color="auto"/>
            </w:tcBorders>
          </w:tcPr>
          <w:p>
            <w:pPr>
              <w:jc w:val="right"/>
              <w:ind w:right="17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1,729</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7"/>
                <w:szCs w:val="17"/>
                <w:color w:val="auto"/>
              </w:rPr>
            </w:pPr>
          </w:p>
        </w:tc>
        <w:tc>
          <w:tcPr>
            <w:tcW w:w="2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14"/>
              <w:spacing w:after="0" w:line="196" w:lineRule="exact"/>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 retail gross margin</w:t>
            </w:r>
          </w:p>
        </w:tc>
        <w:tc>
          <w:tcPr>
            <w:tcW w:w="3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40" w:firstLine="276"/>
        <w:spacing w:after="0" w:line="248" w:lineRule="auto"/>
        <w:rPr>
          <w:sz w:val="20"/>
          <w:szCs w:val="20"/>
          <w:color w:val="auto"/>
        </w:rPr>
      </w:pPr>
      <w:r>
        <w:rPr>
          <w:rFonts w:ascii="Times New Roman" w:cs="Times New Roman" w:eastAsia="Times New Roman" w:hAnsi="Times New Roman"/>
          <w:sz w:val="18"/>
          <w:szCs w:val="18"/>
          <w:color w:val="auto"/>
        </w:rPr>
        <w:t>For the three months ended June 30, 2025, used vehicle revenue decreased by $22.3 million (2%) compared to the same period of the prior year, due to a $37.8 million (3%) decrease in used vehicle retail revenue offset by a $15.5 million (11%) increase in used vehicle wholesale revenue. Same store used vehicle revenue increased by $2.2 million, largely due to a $17.0 million (12%) increase in used vehicle wholesale revenue, offset by a $14.8 million (1%) decrease in used vehicle retail revenue. Total used vehicle retail unit sales decreased by 6% while same store used vehicle retail unit sales decreased by 4% during the three months ended June 30, 2025 as compared to the three months ended June 30, 2024. Used vehicle revenue and unit volumes have been negatively impacted by the lack of inventory availability, especially in vehicles with lower mileage. Revenue per used vehicle retailed increased in the second quarter of 2025, along with gross profit margins on both an all store and same store basis.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color w:val="auto"/>
        </w:rPr>
        <w:t>For the three months ended June 30, 2025, total Company and same store used vehicle retail gross profit margins increased by 69 basis points and 60 basis points, respectively, as compared to the three months ended June 30, 2024. Increases in used vehicle gross margins, on both a total Company and same store basis, were largely driven by a tighter market for used vehicles during the three months ended June 30, 2025 as compared to the three months ended June 30, 2024.</w:t>
      </w:r>
    </w:p>
    <w:p>
      <w:pPr>
        <w:spacing w:after="0" w:line="131" w:lineRule="exact"/>
        <w:rPr>
          <w:sz w:val="20"/>
          <w:szCs w:val="20"/>
          <w:color w:val="auto"/>
        </w:rPr>
      </w:pPr>
    </w:p>
    <w:p>
      <w:pPr>
        <w:ind w:right="100" w:firstLine="276"/>
        <w:spacing w:after="0" w:line="249" w:lineRule="auto"/>
        <w:rPr>
          <w:sz w:val="20"/>
          <w:szCs w:val="20"/>
          <w:color w:val="auto"/>
        </w:rPr>
      </w:pPr>
      <w:r>
        <w:rPr>
          <w:rFonts w:ascii="Times New Roman" w:cs="Times New Roman" w:eastAsia="Times New Roman" w:hAnsi="Times New Roman"/>
          <w:sz w:val="18"/>
          <w:szCs w:val="18"/>
          <w:color w:val="auto"/>
        </w:rPr>
        <w:t>For the three months ended June 30, 2025, used vehicle retail gross profit margins increased from 4.8% to 5.5% and 4.9% to 5.5% respectively, for all stores and on a same store basis when compared to the same period of the prior year. Used vehicle retail gross profit increased $5.9 million (11%) for the three months ended June 30, 2025 as compared to the three months ended June 30, 2024 and increased $6.0 million (11%) on a same store basis for the same periods. On a total company basis, our gross profit per used vehicle retailed increased $257 (18%), and on a same store basis, our gross profit per used vehicle retailed increased $226 (15%) when compared to the prior year period, which was primarily driven by increases in used vehicle market prices due to the increase in demand in the quarter as a result of tariff uncertainty.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Parts and Service—</w:t>
      </w:r>
    </w:p>
    <w:p>
      <w:pPr>
        <w:spacing w:after="0" w:line="143"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260" w:type="dxa"/>
            <w:vAlign w:val="bottom"/>
          </w:tcPr>
          <w:p>
            <w:pPr>
              <w:spacing w:after="0"/>
              <w:rPr>
                <w:sz w:val="18"/>
                <w:szCs w:val="18"/>
                <w:color w:val="auto"/>
              </w:rPr>
            </w:pPr>
          </w:p>
        </w:tc>
        <w:tc>
          <w:tcPr>
            <w:tcW w:w="118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80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3"/>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Parts and service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601.5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580.9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20.6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Parts and service gross profit: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pay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Warranty</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4"/>
        </w:trPr>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Collision</w:t>
            </w:r>
          </w:p>
        </w:tc>
        <w:tc>
          <w:tcPr>
            <w:tcW w:w="16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Wholesale parts</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(0.9)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7"/>
        </w:trPr>
        <w:tc>
          <w:tcPr>
            <w:tcW w:w="6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Parts and service gross profit, excluding reconditioning and preparation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277.3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12.8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Parts and service gross margin, excluding reconditioning and preparation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0.5 %</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Reconditioning and preparation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9"/>
        </w:trPr>
        <w:tc>
          <w:tcPr>
            <w:tcW w:w="6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parts and service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339.9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14.9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Total parts and service gross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113"/>
              <w:spacing w:after="0"/>
              <w:rPr>
                <w:sz w:val="20"/>
                <w:szCs w:val="20"/>
                <w:color w:val="auto"/>
              </w:rPr>
            </w:pPr>
            <w:r>
              <w:rPr>
                <w:rFonts w:ascii="Times New Roman" w:cs="Times New Roman" w:eastAsia="Times New Roman" w:hAnsi="Times New Roman"/>
                <w:sz w:val="18"/>
                <w:szCs w:val="18"/>
                <w:color w:val="auto"/>
              </w:rPr>
              <w:t>0.5 %</w:t>
            </w: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58.5%</w:t>
            </w:r>
          </w:p>
        </w:tc>
        <w:tc>
          <w:tcPr>
            <w:tcW w:w="2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Parts and service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590.8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559.3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31.5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4"/>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Parts and service gross profit: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Customer pay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174.9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Warranty</w:t>
            </w:r>
          </w:p>
        </w:tc>
        <w:tc>
          <w:tcPr>
            <w:tcW w:w="16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Collision</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6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Wholesale parts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213"/>
              <w:spacing w:after="0"/>
              <w:rPr>
                <w:sz w:val="20"/>
                <w:szCs w:val="20"/>
                <w:color w:val="auto"/>
              </w:rPr>
            </w:pPr>
            <w:r>
              <w:rPr>
                <w:rFonts w:ascii="Times New Roman" w:cs="Times New Roman" w:eastAsia="Times New Roman" w:hAnsi="Times New Roman"/>
                <w:sz w:val="18"/>
                <w:szCs w:val="18"/>
                <w:color w:val="auto"/>
              </w:rPr>
              <w:t>(0.5)</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2"/>
        </w:trPr>
        <w:tc>
          <w:tcPr>
            <w:tcW w:w="6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Parts and service gross profit, excluding reconditioning and preparation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17.6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Parts and service gross margin, excluding reconditioning and preparation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113"/>
              <w:spacing w:after="0"/>
              <w:rPr>
                <w:sz w:val="20"/>
                <w:szCs w:val="20"/>
                <w:color w:val="auto"/>
              </w:rPr>
            </w:pPr>
            <w:r>
              <w:rPr>
                <w:rFonts w:ascii="Times New Roman" w:cs="Times New Roman" w:eastAsia="Times New Roman" w:hAnsi="Times New Roman"/>
                <w:sz w:val="18"/>
                <w:szCs w:val="18"/>
                <w:color w:val="auto"/>
              </w:rPr>
              <w:t>0.4 %</w:t>
            </w: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47.9%</w:t>
            </w:r>
          </w:p>
        </w:tc>
        <w:tc>
          <w:tcPr>
            <w:tcW w:w="2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Reconditioning and preparation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parts and service gross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327.9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parts and service gross margin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58.6%</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0.5 %</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00" w:firstLine="242"/>
        <w:spacing w:after="0" w:line="272" w:lineRule="auto"/>
        <w:tabs>
          <w:tab w:leader="none" w:pos="355"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Reconditioning and preparation represents the gross profit earned by our parts and service departments for internal work performed and is included as a reduction of Parts and Service Cost of Sales in the accompanying Condensed Consolidated Statements of Income upon the sale of the vehicle.</w:t>
      </w:r>
    </w:p>
    <w:p>
      <w:pPr>
        <w:spacing w:after="0" w:line="120" w:lineRule="exact"/>
        <w:rPr>
          <w:sz w:val="20"/>
          <w:szCs w:val="20"/>
          <w:color w:val="auto"/>
        </w:rPr>
      </w:pPr>
    </w:p>
    <w:p>
      <w:pPr>
        <w:ind w:right="420" w:firstLine="237"/>
        <w:spacing w:after="0" w:line="289" w:lineRule="auto"/>
        <w:rPr>
          <w:sz w:val="20"/>
          <w:szCs w:val="20"/>
          <w:color w:val="auto"/>
        </w:rPr>
      </w:pPr>
      <w:r>
        <w:rPr>
          <w:rFonts w:ascii="Times New Roman" w:cs="Times New Roman" w:eastAsia="Times New Roman" w:hAnsi="Times New Roman"/>
          <w:sz w:val="16"/>
          <w:szCs w:val="16"/>
          <w:color w:val="auto"/>
        </w:rPr>
        <w:t>The $20.6 million (4%) increase in parts and service revenue was primarily due to a $13.1 million (4%) increase in customer pay revenue and a $12.0 million (15%) increase in warranty revenue offset by a $3.1 million (5%) decrease in collision revenue and a $1.3 million (1%) decrease in wholesale parts revenue. Same store parts and service revenue increased by $31.5 million (6%) to $590.8 million during the three months ended June 30, 2025 from $559.3 million during the three months ended June 30, 2024. The increase in same store parts and service revenue was due to a $21.0 million (7%) increase in customer pay revenue, a $12.9 million (17%) increase in warranty revenue and a $0.7 million (1%) increase in wholesale parts revenue, partially offset by</w:t>
      </w: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$3.1 million (5%) decrease in collision revenue. The average age of vehicles in 2025 is historically high at 12.8 years. Consumers are retaining vehicles for longer periods of time due to various factors, including the higher cost of vehicles, higher interest rates, as well as the vehicle inventory constraints experienced in the automotive industry in recent years.</w:t>
      </w:r>
    </w:p>
    <w:p>
      <w:pPr>
        <w:spacing w:after="0" w:line="127" w:lineRule="exact"/>
        <w:rPr>
          <w:sz w:val="20"/>
          <w:szCs w:val="20"/>
          <w:color w:val="auto"/>
        </w:rPr>
      </w:pPr>
    </w:p>
    <w:p>
      <w:pPr>
        <w:ind w:right="20" w:firstLine="237"/>
        <w:spacing w:after="0" w:line="252" w:lineRule="auto"/>
        <w:rPr>
          <w:sz w:val="20"/>
          <w:szCs w:val="20"/>
          <w:color w:val="auto"/>
        </w:rPr>
      </w:pPr>
      <w:r>
        <w:rPr>
          <w:rFonts w:ascii="Times New Roman" w:cs="Times New Roman" w:eastAsia="Times New Roman" w:hAnsi="Times New Roman"/>
          <w:sz w:val="18"/>
          <w:szCs w:val="18"/>
          <w:color w:val="auto"/>
        </w:rPr>
        <w:t>For the three months ended June 30, 2025, total parts and service gross profit increased by $14.9 million (4%) to $354.8 million and same store total parts and service gross profit increased by $21.6 million (7%) to $349.5 million when compared to the same period of the prior year. The all store and same store increase is primarily due to increased customer pay and warranty volume, which is in line with the increasing trend of aged vehicles but was offset by decreases in body shop and wholesale parts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and Insurance, net—</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9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vMerge w:val="restart"/>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90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04"/>
        </w:trPr>
        <w:tc>
          <w:tcPr>
            <w:tcW w:w="6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insurance, net revenue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44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gross profit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(6.6)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Finance and insurance, net per vehicle sold</w:t>
            </w: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3"/>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Borders>
              <w:top w:val="single" w:sz="8" w:color="CCEEFF"/>
            </w:tcBorders>
            <w:vMerge w:val="continue"/>
          </w:tcPr>
          <w:p>
            <w:pPr>
              <w:spacing w:after="0"/>
              <w:rPr>
                <w:sz w:val="17"/>
                <w:szCs w:val="17"/>
                <w:color w:val="auto"/>
              </w:rPr>
            </w:pPr>
          </w:p>
        </w:tc>
        <w:tc>
          <w:tcPr>
            <w:tcW w:w="260" w:type="dxa"/>
            <w:vAlign w:val="bottom"/>
            <w:tcBorders>
              <w:top w:val="single" w:sz="8" w:color="auto"/>
              <w:bottom w:val="single" w:sz="8" w:color="auto"/>
            </w:tcBorders>
          </w:tcPr>
          <w:p>
            <w:pPr>
              <w:jc w:val="right"/>
              <w:ind w:right="7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2,151</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74"/>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revenue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(7.6)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and insurance, net gross profit</w:t>
            </w:r>
          </w:p>
        </w:tc>
        <w:tc>
          <w:tcPr>
            <w:tcW w:w="260" w:type="dxa"/>
            <w:vAlign w:val="bottom"/>
            <w:tcBorders>
              <w:top w:val="single" w:sz="8" w:color="auto"/>
              <w:bottom w:val="single" w:sz="8" w:color="auto"/>
            </w:tcBorders>
          </w:tcPr>
          <w:p>
            <w:pPr>
              <w:jc w:val="right"/>
              <w:ind w:right="7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166.2</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169.9</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74"/>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per vehicle sold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(86)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420" w:firstLine="237"/>
        <w:spacing w:after="0" w:line="268" w:lineRule="auto"/>
        <w:rPr>
          <w:sz w:val="20"/>
          <w:szCs w:val="20"/>
          <w:color w:val="auto"/>
        </w:rPr>
      </w:pPr>
      <w:r>
        <w:rPr>
          <w:rFonts w:ascii="Times New Roman" w:cs="Times New Roman" w:eastAsia="Times New Roman" w:hAnsi="Times New Roman"/>
          <w:sz w:val="18"/>
          <w:szCs w:val="18"/>
          <w:color w:val="auto"/>
        </w:rPr>
        <w:t>F&amp;I revenue, net decreased by $10.4 million (5%) during the second quarter of 2025 when compared to the second quarter of 2024, as a result of a 1% decrease in total retail units sold and a $67 (3%) decrease in F&amp;I per vehicle retailed.</w:t>
      </w:r>
    </w:p>
    <w:p>
      <w:pPr>
        <w:spacing w:after="0" w:line="117" w:lineRule="exact"/>
        <w:rPr>
          <w:sz w:val="20"/>
          <w:szCs w:val="20"/>
          <w:color w:val="auto"/>
        </w:rPr>
      </w:pPr>
    </w:p>
    <w:p>
      <w:pPr>
        <w:ind w:right="200" w:firstLine="276"/>
        <w:spacing w:after="0" w:line="250" w:lineRule="auto"/>
        <w:rPr>
          <w:sz w:val="20"/>
          <w:szCs w:val="20"/>
          <w:color w:val="auto"/>
        </w:rPr>
      </w:pPr>
      <w:r>
        <w:rPr>
          <w:rFonts w:ascii="Times New Roman" w:cs="Times New Roman" w:eastAsia="Times New Roman" w:hAnsi="Times New Roman"/>
          <w:sz w:val="18"/>
          <w:szCs w:val="18"/>
          <w:color w:val="auto"/>
        </w:rPr>
        <w:t>On a same store basis, F&amp;I revenue, net decreased by $7.6 million (4%) during three months ended June 30, 2025 when compared to three months ended June 30, 2024, as a result of a 4% decrease in F&amp;I per vehicle retailed offset by a 2% increase in total retail units sold. F&amp;I revenue, net was negatively impacted by the deferral of commission revenue on the sale of TCA products, which we continue to roll out to all our stores, as compared to the immediate revenue recognition on the sale of third party F&amp;I products. In addition, customers continue to look for ways to manage lower monthly payments in a high interest rate environment.</w:t>
      </w:r>
    </w:p>
    <w:p>
      <w:pPr>
        <w:spacing w:after="0" w:line="1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financial results of the TCA segment, after dealership eliminations,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restart"/>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20" w:type="dxa"/>
            <w:vAlign w:val="bottom"/>
            <w:vMerge w:val="restart"/>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11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gridSpan w:val="3"/>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(16.3)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and insurance, cost of sales</w:t>
            </w: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6"/>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40" w:firstLine="276"/>
        <w:spacing w:after="0" w:line="268" w:lineRule="auto"/>
        <w:rPr>
          <w:sz w:val="20"/>
          <w:szCs w:val="20"/>
          <w:color w:val="auto"/>
        </w:rPr>
      </w:pPr>
      <w:r>
        <w:rPr>
          <w:rFonts w:ascii="Times New Roman" w:cs="Times New Roman" w:eastAsia="Times New Roman" w:hAnsi="Times New Roman"/>
          <w:sz w:val="18"/>
          <w:szCs w:val="18"/>
          <w:color w:val="auto"/>
        </w:rPr>
        <w:t>TCA offers a variety of F&amp;I products, such as extended vehicle service contracts, prepaid maintenance contracts, GAP, appearance protection contracts and lease wear-and-tear contracts. TCA's products are sold through our automobile dealerships.</w:t>
      </w:r>
    </w:p>
    <w:p>
      <w:pPr>
        <w:spacing w:after="0" w:line="117" w:lineRule="exact"/>
        <w:rPr>
          <w:sz w:val="20"/>
          <w:szCs w:val="20"/>
          <w:color w:val="auto"/>
        </w:rPr>
      </w:pPr>
    </w:p>
    <w:p>
      <w:pPr>
        <w:ind w:right="140" w:firstLine="276"/>
        <w:spacing w:after="0" w:line="248" w:lineRule="auto"/>
        <w:rPr>
          <w:sz w:val="20"/>
          <w:szCs w:val="20"/>
          <w:color w:val="auto"/>
        </w:rPr>
      </w:pPr>
      <w:r>
        <w:rPr>
          <w:rFonts w:ascii="Times New Roman" w:cs="Times New Roman" w:eastAsia="Times New Roman" w:hAnsi="Times New Roman"/>
          <w:sz w:val="18"/>
          <w:szCs w:val="18"/>
          <w:color w:val="auto"/>
        </w:rPr>
        <w:t>Revenue generated by TCA is earned over the period of the related product contract. The method for recognizing revenue is assigned based on contract type and expected claim patterns. Premium revenues are supplemented with investment gains or losses and income earned associated with the performance of TCA's investment portfolio. During the three months ended June 30, 2025, TCA generated $15.6 million revenue, after dealership eliminations, consisting primarily of earned premiums and $5.0 million investment income from the investment portfolio. F&amp;I revenue decreased by $16.3 million (51%) for the three months ended June 30, 2025 as compared to the three months ended June 30, 2024 due to the continued roll-out of TCA products across Asbury dealerships resulting in the deferral of F&amp;I revenue over the TCA contract term as opposed to the immediate recognition of revenue associated with third-party F&amp;I product sales.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8" w:name="page39"/>
    <w:bookmarkEnd w:id="38"/>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 w:right="120" w:firstLine="276"/>
        <w:spacing w:after="0" w:line="252" w:lineRule="auto"/>
        <w:rPr>
          <w:sz w:val="20"/>
          <w:szCs w:val="20"/>
          <w:color w:val="auto"/>
        </w:rPr>
      </w:pPr>
      <w:r>
        <w:rPr>
          <w:rFonts w:ascii="Times New Roman" w:cs="Times New Roman" w:eastAsia="Times New Roman" w:hAnsi="Times New Roman"/>
          <w:sz w:val="18"/>
          <w:szCs w:val="18"/>
          <w:color w:val="auto"/>
        </w:rPr>
        <w:t>Direct expenses incurred for the acquisition of F&amp;I contracts on which revenue has not yet been recognized have been deferred and are amortized over the related contract period. During the three months ended June 30, 2025, TCA recorded $13.8 million of cost of sales consisting primarily of claims expense. Commissions expense paid by TCA to our affiliated dealerships and reflected as F&amp;I revenue in our Dealerships segment is eliminated in the TCA segment upon consolidation.</w:t>
      </w:r>
    </w:p>
    <w:p>
      <w:pPr>
        <w:spacing w:after="0" w:line="131" w:lineRule="exact"/>
        <w:rPr>
          <w:sz w:val="20"/>
          <w:szCs w:val="20"/>
          <w:color w:val="auto"/>
        </w:rPr>
      </w:pPr>
    </w:p>
    <w:p>
      <w:pPr>
        <w:ind w:left="80" w:right="20" w:firstLine="276"/>
        <w:spacing w:after="0" w:line="252" w:lineRule="auto"/>
        <w:rPr>
          <w:sz w:val="20"/>
          <w:szCs w:val="20"/>
          <w:color w:val="auto"/>
        </w:rPr>
      </w:pPr>
      <w:r>
        <w:rPr>
          <w:rFonts w:ascii="Times New Roman" w:cs="Times New Roman" w:eastAsia="Times New Roman" w:hAnsi="Times New Roman"/>
          <w:sz w:val="18"/>
          <w:szCs w:val="18"/>
          <w:color w:val="auto"/>
        </w:rPr>
        <w:t>As we continue to integrate TCA, we expect a rollout of TCA products to our Koons stores in the fourth quarter of 2025 and our Herb Chambers stores beginning in 2026. With the ownership of TCA, while the combined profitability of the transaction is higher, the timing of revenue and cost recognition is deferred and amortized over the life of the contract. We expect that this rollout will result in lower F&amp;I revenue and gross profit over the next two to three years due to the change in how the revenue from these contracts are earned.</w:t>
      </w:r>
    </w:p>
    <w:p>
      <w:pPr>
        <w:spacing w:after="0" w:line="1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00" w:lineRule="exact"/>
        <w:rPr>
          <w:sz w:val="20"/>
          <w:szCs w:val="20"/>
          <w:color w:val="auto"/>
        </w:rPr>
      </w:pPr>
    </w:p>
    <w:p>
      <w:pPr>
        <w:spacing w:after="0" w:line="23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bl>
      <w:tblPr>
        <w:tblLayout w:type="fixed"/>
        <w:tblInd w:w="80" w:type="dxa"/>
        <w:tblCellMar>
          <w:top w:w="0" w:type="dxa"/>
          <w:left w:w="0" w:type="dxa"/>
          <w:bottom w:w="0" w:type="dxa"/>
          <w:right w:w="0" w:type="dxa"/>
        </w:tblCellMar>
      </w:tblPr>
      <w:tr>
        <w:trPr>
          <w:trHeight w:val="49"/>
        </w:trPr>
        <w:tc>
          <w:tcPr>
            <w:tcW w:w="38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w w:val="98"/>
              </w:rPr>
              <w:t>% of Gross</w:t>
            </w:r>
          </w:p>
        </w:tc>
        <w:tc>
          <w:tcPr>
            <w:tcW w:w="0" w:type="dxa"/>
            <w:vAlign w:val="bottom"/>
          </w:tcPr>
          <w:p>
            <w:pPr>
              <w:spacing w:after="0"/>
              <w:rPr>
                <w:sz w:val="1"/>
                <w:szCs w:val="1"/>
                <w:color w:val="auto"/>
              </w:rPr>
            </w:pPr>
          </w:p>
        </w:tc>
      </w:tr>
      <w:tr>
        <w:trPr>
          <w:trHeight w:val="72"/>
        </w:trPr>
        <w:tc>
          <w:tcPr>
            <w:tcW w:w="3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20" w:type="dxa"/>
            <w:vAlign w:val="bottom"/>
            <w:vMerge w:val="restart"/>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 of Gross</w:t>
            </w: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20" w:type="dxa"/>
            <w:vAlign w:val="bottom"/>
            <w:vMerge w:val="restart"/>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 of Gross</w:t>
            </w:r>
          </w:p>
        </w:tc>
        <w:tc>
          <w:tcPr>
            <w:tcW w:w="240" w:type="dxa"/>
            <w:vAlign w:val="bottom"/>
          </w:tcPr>
          <w:p>
            <w:pPr>
              <w:spacing w:after="0"/>
              <w:rPr>
                <w:sz w:val="6"/>
                <w:szCs w:val="6"/>
                <w:color w:val="auto"/>
              </w:rPr>
            </w:pPr>
          </w:p>
        </w:tc>
        <w:tc>
          <w:tcPr>
            <w:tcW w:w="1020" w:type="dxa"/>
            <w:vAlign w:val="bottom"/>
            <w:vMerge w:val="restart"/>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Profit Increase</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0" w:type="dxa"/>
            <w:vAlign w:val="bottom"/>
          </w:tcPr>
          <w:p>
            <w:pPr>
              <w:spacing w:after="0"/>
              <w:rPr>
                <w:sz w:val="1"/>
                <w:szCs w:val="1"/>
                <w:color w:val="auto"/>
              </w:rPr>
            </w:pPr>
          </w:p>
        </w:tc>
      </w:tr>
      <w:tr>
        <w:trPr>
          <w:trHeight w:val="204"/>
        </w:trPr>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41.6 %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7"/>
              </w:rPr>
              <w:t>1.9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8"/>
              </w:rPr>
              <w:t>(7.5)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40" w:type="dxa"/>
            <w:vAlign w:val="bottom"/>
          </w:tcPr>
          <w:p>
            <w:pPr>
              <w:spacing w:after="0"/>
              <w:rPr>
                <w:sz w:val="19"/>
                <w:szCs w:val="19"/>
                <w:color w:val="auto"/>
              </w:rPr>
            </w:pPr>
          </w:p>
        </w:tc>
        <w:tc>
          <w:tcPr>
            <w:tcW w:w="102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7"/>
              </w:rPr>
              <w:t>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15.6 %</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7"/>
              </w:rPr>
              <w:t>2.9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7"/>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63.2 %</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w w:val="98"/>
              </w:rPr>
              <w:t>(1.1)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41.4 %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7"/>
              </w:rPr>
              <w:t>7.0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8"/>
              </w:rPr>
              <w:t>(7.0)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40" w:type="dxa"/>
            <w:vAlign w:val="bottom"/>
          </w:tcPr>
          <w:p>
            <w:pPr>
              <w:spacing w:after="0"/>
              <w:rPr>
                <w:sz w:val="19"/>
                <w:szCs w:val="19"/>
                <w:color w:val="auto"/>
              </w:rPr>
            </w:pPr>
          </w:p>
        </w:tc>
        <w:tc>
          <w:tcPr>
            <w:tcW w:w="102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7"/>
              </w:rPr>
              <w:t>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15.5 %</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7"/>
              </w:rPr>
              <w:t>4.6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7"/>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62.9 %</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7"/>
              </w:rPr>
              <w:t>6.9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80" w:firstLine="237"/>
        <w:spacing w:after="0" w:line="248" w:lineRule="auto"/>
        <w:rPr>
          <w:sz w:val="20"/>
          <w:szCs w:val="20"/>
          <w:color w:val="auto"/>
        </w:rPr>
      </w:pPr>
      <w:r>
        <w:rPr>
          <w:rFonts w:ascii="Times New Roman" w:cs="Times New Roman" w:eastAsia="Times New Roman" w:hAnsi="Times New Roman"/>
          <w:sz w:val="18"/>
          <w:szCs w:val="18"/>
          <w:color w:val="auto"/>
        </w:rPr>
        <w:t>SG&amp;A expense as a percentage of gross profit decreased 198 basis points from 65.2% for the three months ended June 30, 2024 to 63.2% for the three months ended June 30, 2025, while same store SG&amp;A expense as a percentage of gross profit decreased 183 basis points to 62.9% over the same period in 2025. The decrease in SG&amp;A expense as a percentage of gross profit on a total company and same store basis during the three months ended June 30, 2025 is primarily the result of lower rent and related expenses (inclusive of a $5.0 million insurance recovery in the period) and higher gross profits for the three months ended June 30, 2025 as compared to the three months ended June 30, 2024. On a total company basis, SG&amp;A expense decreased by $1.1 million for the three months ended June 30, 2025 as compared to the three months ended June 30, 2024 primarily due to a decrease in rent and related expenses of $7.5 million offset by an increase in other expenses arising from transaction costs of $2.2 million associated with an acquisition.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 Plan Interest Expense—</w:t>
      </w:r>
    </w:p>
    <w:p>
      <w:pPr>
        <w:spacing w:after="0" w:line="163" w:lineRule="exact"/>
        <w:rPr>
          <w:sz w:val="20"/>
          <w:szCs w:val="20"/>
          <w:color w:val="auto"/>
        </w:rPr>
      </w:pPr>
    </w:p>
    <w:p>
      <w:pPr>
        <w:jc w:val="both"/>
        <w:ind w:left="80" w:right="40" w:firstLine="237"/>
        <w:spacing w:after="0" w:line="256" w:lineRule="auto"/>
        <w:rPr>
          <w:sz w:val="20"/>
          <w:szCs w:val="20"/>
          <w:color w:val="auto"/>
        </w:rPr>
      </w:pPr>
      <w:r>
        <w:rPr>
          <w:rFonts w:ascii="Times New Roman" w:cs="Times New Roman" w:eastAsia="Times New Roman" w:hAnsi="Times New Roman"/>
          <w:sz w:val="18"/>
          <w:szCs w:val="18"/>
          <w:color w:val="auto"/>
        </w:rPr>
        <w:t>Floor plan interest expense decreased by $2.9 million to $18.1 million during the three months ended June 30, 2025 as compared to $21.0 million floor plan interest expense for the three months ended June 30, 2024 primarily due to lower interest rates and higher balances held in our floor plan offset accounts during the three months ended June 30, 2025 as compared to the same period in the prior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Interest Expense—</w:t>
      </w:r>
    </w:p>
    <w:p>
      <w:pPr>
        <w:spacing w:after="0" w:line="163" w:lineRule="exact"/>
        <w:rPr>
          <w:sz w:val="20"/>
          <w:szCs w:val="20"/>
          <w:color w:val="auto"/>
        </w:rPr>
      </w:pPr>
    </w:p>
    <w:p>
      <w:pPr>
        <w:ind w:left="80" w:right="20" w:firstLine="237"/>
        <w:spacing w:after="0" w:line="268" w:lineRule="auto"/>
        <w:rPr>
          <w:sz w:val="20"/>
          <w:szCs w:val="20"/>
          <w:color w:val="auto"/>
        </w:rPr>
      </w:pPr>
      <w:r>
        <w:rPr>
          <w:rFonts w:ascii="Times New Roman" w:cs="Times New Roman" w:eastAsia="Times New Roman" w:hAnsi="Times New Roman"/>
          <w:sz w:val="18"/>
          <w:szCs w:val="18"/>
          <w:color w:val="auto"/>
        </w:rPr>
        <w:t>Other interest expense decreased $3.7 million (8%) during the three months ended June 30, 2025 from $45.1 million during the three months ended June 30, 2024 to $41.4 million. This increase was primarily due to a $7.2 million increase in our credit</w:t>
      </w: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240" w:top="119" w:right="339" w:bottom="1440" w:gutter="0" w:footer="0" w:header="0"/>
        </w:sectPr>
      </w:pPr>
    </w:p>
    <w:bookmarkStart w:id="39" w:name="page40"/>
    <w:bookmarkEnd w:id="39"/>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 w:right="40"/>
        <w:spacing w:after="0" w:line="268" w:lineRule="auto"/>
        <w:rPr>
          <w:sz w:val="20"/>
          <w:szCs w:val="20"/>
          <w:color w:val="auto"/>
        </w:rPr>
      </w:pPr>
      <w:r>
        <w:rPr>
          <w:rFonts w:ascii="Times New Roman" w:cs="Times New Roman" w:eastAsia="Times New Roman" w:hAnsi="Times New Roman"/>
          <w:sz w:val="18"/>
          <w:szCs w:val="18"/>
          <w:color w:val="auto"/>
        </w:rPr>
        <w:t>facility interest expense and a $1.0 million increase in loaner payable interest expense driven by higher loaner vehicle balances, marginally offset by a decrease of $0.6 million in amortization of capitalized interest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Dealership Divestitures, net—</w:t>
      </w:r>
    </w:p>
    <w:p>
      <w:pPr>
        <w:spacing w:after="0" w:line="163" w:lineRule="exact"/>
        <w:rPr>
          <w:sz w:val="20"/>
          <w:szCs w:val="20"/>
          <w:color w:val="auto"/>
        </w:rPr>
      </w:pPr>
    </w:p>
    <w:p>
      <w:pPr>
        <w:ind w:left="80" w:right="60" w:firstLine="276"/>
        <w:spacing w:after="0" w:line="252" w:lineRule="auto"/>
        <w:rPr>
          <w:sz w:val="20"/>
          <w:szCs w:val="20"/>
          <w:color w:val="auto"/>
        </w:rPr>
      </w:pPr>
      <w:r>
        <w:rPr>
          <w:rFonts w:ascii="Times New Roman" w:cs="Times New Roman" w:eastAsia="Times New Roman" w:hAnsi="Times New Roman"/>
          <w:sz w:val="18"/>
          <w:szCs w:val="18"/>
          <w:color w:val="auto"/>
        </w:rPr>
        <w:t>During the three months ended June 30, 2025, we sold two Toyota franchises (two dealership locations) in San Diego, California, and Los Angeles, California, and three franchises in Salt Lake City, Utah, comprising one Chevrolet franchise (one dealership location), one Chrysler Jeep Dodge Ram franchise (one dealership location) and one Ford franchise (one dealership location). The Company recorded a pre-tax gain totaling $5.9 million, which is presented in our accompanying condensed consolidated statements of income as a gain on dealership divestitures, net.</w:t>
      </w:r>
    </w:p>
    <w:p>
      <w:pPr>
        <w:spacing w:after="0" w:line="131" w:lineRule="exact"/>
        <w:rPr>
          <w:sz w:val="20"/>
          <w:szCs w:val="20"/>
          <w:color w:val="auto"/>
        </w:rPr>
      </w:pPr>
    </w:p>
    <w:p>
      <w:pPr>
        <w:ind w:left="80" w:right="140" w:firstLine="276"/>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2024, we sold one Nissan franchise (one dealership location) in Denver, Colorado, and one Nissan franchise (one dealership location) in Atlanta, Georgia. The Company recorded a pre-tax gain totaling $3.6 million, which is presented in our accompanying condensed consolidated statements of income as a gain on dealership divestitures, net.</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63" w:lineRule="exact"/>
        <w:rPr>
          <w:sz w:val="20"/>
          <w:szCs w:val="20"/>
          <w:color w:val="auto"/>
        </w:rPr>
      </w:pPr>
    </w:p>
    <w:p>
      <w:pPr>
        <w:ind w:left="80" w:firstLine="237"/>
        <w:spacing w:after="0" w:line="249" w:lineRule="auto"/>
        <w:rPr>
          <w:sz w:val="20"/>
          <w:szCs w:val="20"/>
          <w:color w:val="auto"/>
        </w:rPr>
      </w:pPr>
      <w:r>
        <w:rPr>
          <w:rFonts w:ascii="Times New Roman" w:cs="Times New Roman" w:eastAsia="Times New Roman" w:hAnsi="Times New Roman"/>
          <w:sz w:val="18"/>
          <w:szCs w:val="18"/>
          <w:color w:val="auto"/>
        </w:rPr>
        <w:t>The $41.1 million increase in income tax expense was primarily the result of a $165.7 million increase in income before income taxes. Our effective tax rate for the three months ended June 30, 2025 was 25.0% compared to 26.1% in the prior year comparative period, which differed from the U.S. statutory rate primarily due to the favorable effects of the windfall component of equity compensation as well as the favorable effects of amended state income tax returns, which are discrete items, and unfavorable effects of various permanent tax adjustments such as executive compensation. We estimate our effective tax rate for the year ended December 31, 2025 at 25.5%. This estimated effective tax rate includes the effects of the deferred tax impact related to an increase in our estimated future state effective tax rate due to the acquisition of the Herb Chambers Dealerships.</w:t>
      </w: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00"/>
          </w:cols>
          <w:pgMar w:left="240" w:top="11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63" w:lineRule="exact"/>
        <w:rPr>
          <w:sz w:val="20"/>
          <w:szCs w:val="20"/>
          <w:color w:val="auto"/>
        </w:rPr>
      </w:pPr>
    </w:p>
    <w:p>
      <w:pPr>
        <w:ind w:right="160" w:firstLine="276"/>
        <w:spacing w:after="0" w:line="293" w:lineRule="auto"/>
        <w:rPr>
          <w:sz w:val="20"/>
          <w:szCs w:val="20"/>
          <w:color w:val="auto"/>
        </w:rPr>
      </w:pPr>
      <w:r>
        <w:rPr>
          <w:rFonts w:ascii="Times New Roman" w:cs="Times New Roman" w:eastAsia="Times New Roman" w:hAnsi="Times New Roman"/>
          <w:sz w:val="16"/>
          <w:szCs w:val="16"/>
          <w:color w:val="auto"/>
        </w:rPr>
        <w:t>We assess the organic growth of our revenue and gross profit on a same store basis. We believe that our assessment on a same store basis represents an important indicator of comparative financial performance and provides relevant information to assess our performance. As such, for the following discussion, same store amounts consist of information from dealerships for identical months in each comparative period, commencing with the first full month we owned the dealership. Additionally, amounts related to divested dealerships are excluded from each comparative period for same store reporting.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the Six Months Ended June 30,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3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the Six Months Ended June</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restart"/>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94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4,442.0</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212.9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2,664.9</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(143.4)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260" w:type="dxa"/>
            <w:vAlign w:val="bottom"/>
          </w:tcPr>
          <w:p>
            <w:pPr>
              <w:spacing w:after="0"/>
              <w:rPr>
                <w:sz w:val="19"/>
                <w:szCs w:val="19"/>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17.9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(13.2)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8,447.4</w:t>
            </w:r>
          </w:p>
        </w:tc>
        <w:tc>
          <w:tcPr>
            <w:tcW w:w="260" w:type="dxa"/>
            <w:vAlign w:val="bottom"/>
          </w:tcPr>
          <w:p>
            <w:pPr>
              <w:spacing w:after="0"/>
              <w:rPr>
                <w:sz w:val="18"/>
                <w:szCs w:val="18"/>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74.2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60" w:type="dxa"/>
            <w:vAlign w:val="bottom"/>
          </w:tcPr>
          <w:p>
            <w:pPr>
              <w:spacing w:after="0"/>
              <w:rPr>
                <w:sz w:val="19"/>
                <w:szCs w:val="19"/>
                <w:color w:val="auto"/>
              </w:rPr>
            </w:pPr>
          </w:p>
        </w:tc>
        <w:tc>
          <w:tcPr>
            <w:tcW w:w="13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(14.8)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60" w:type="dxa"/>
            <w:vAlign w:val="bottom"/>
          </w:tcPr>
          <w:p>
            <w:pPr>
              <w:spacing w:after="0"/>
              <w:rPr>
                <w:sz w:val="19"/>
                <w:szCs w:val="19"/>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23.4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(13.8)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1,480.7</w:t>
            </w:r>
          </w:p>
        </w:tc>
        <w:tc>
          <w:tcPr>
            <w:tcW w:w="260" w:type="dxa"/>
            <w:vAlign w:val="bottom"/>
          </w:tcPr>
          <w:p>
            <w:pPr>
              <w:spacing w:after="0"/>
              <w:rPr>
                <w:sz w:val="18"/>
                <w:szCs w:val="18"/>
                <w:color w:val="auto"/>
              </w:rPr>
            </w:pPr>
          </w:p>
        </w:tc>
        <w:tc>
          <w:tcPr>
            <w:tcW w:w="13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260" w:type="dxa"/>
            <w:vAlign w:val="bottom"/>
          </w:tcPr>
          <w:p>
            <w:pPr>
              <w:spacing w:after="0"/>
              <w:rPr>
                <w:sz w:val="19"/>
                <w:szCs w:val="19"/>
                <w:color w:val="auto"/>
              </w:rPr>
            </w:pPr>
          </w:p>
        </w:tc>
        <w:tc>
          <w:tcPr>
            <w:tcW w:w="13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(13.3)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4"/>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8"/>
                <w:szCs w:val="18"/>
                <w:color w:val="auto"/>
              </w:rPr>
              <w:t>(121.1)</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128.4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(5.0)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60" w:type="dxa"/>
            <w:vAlign w:val="bottom"/>
          </w:tcPr>
          <w:p>
            <w:pPr>
              <w:spacing w:after="0"/>
              <w:rPr>
                <w:sz w:val="19"/>
                <w:szCs w:val="19"/>
                <w:color w:val="auto"/>
              </w:rPr>
            </w:pPr>
          </w:p>
        </w:tc>
        <w:tc>
          <w:tcPr>
            <w:tcW w:w="13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(5.4)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(6.4)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7"/>
        </w:trPr>
        <w:tc>
          <w:tcPr>
            <w:tcW w:w="63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6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8"/>
                <w:szCs w:val="18"/>
                <w:color w:val="auto"/>
              </w:rPr>
              <w:t>(16.9)</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145.3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ind w:right="373"/>
              <w:spacing w:after="0"/>
              <w:rPr>
                <w:sz w:val="20"/>
                <w:szCs w:val="20"/>
                <w:color w:val="auto"/>
              </w:rPr>
            </w:pPr>
            <w:r>
              <w:rPr>
                <w:rFonts w:ascii="Times New Roman" w:cs="Times New Roman" w:eastAsia="Times New Roman" w:hAnsi="Times New Roman"/>
                <w:sz w:val="18"/>
                <w:szCs w:val="18"/>
                <w:color w:val="auto"/>
              </w:rPr>
              <w:t>35.7</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4"/>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284.9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175.2</w:t>
            </w:r>
          </w:p>
        </w:tc>
        <w:tc>
          <w:tcPr>
            <w:tcW w:w="26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73"/>
              <w:spacing w:after="0" w:line="190" w:lineRule="exact"/>
              <w:rPr>
                <w:sz w:val="20"/>
                <w:szCs w:val="20"/>
                <w:color w:val="auto"/>
              </w:rPr>
            </w:pPr>
            <w:r>
              <w:rPr>
                <w:rFonts w:ascii="Times New Roman" w:cs="Times New Roman" w:eastAsia="Times New Roman" w:hAnsi="Times New Roman"/>
                <w:sz w:val="18"/>
                <w:szCs w:val="18"/>
                <w:color w:val="auto"/>
              </w:rPr>
              <w:t>109.7</w:t>
            </w:r>
          </w:p>
        </w:tc>
        <w:tc>
          <w:tcPr>
            <w:tcW w:w="94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share—Diluted</w:t>
            </w:r>
          </w:p>
        </w:tc>
        <w:tc>
          <w:tcPr>
            <w:tcW w:w="280" w:type="dxa"/>
            <w:vAlign w:val="bottom"/>
            <w:tcBorders>
              <w:bottom w:val="single" w:sz="8" w:color="auto"/>
            </w:tcBorders>
          </w:tcPr>
          <w:p>
            <w:pPr>
              <w:jc w:val="right"/>
              <w:ind w:right="9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14.46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8.64</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3"/>
              <w:spacing w:after="0" w:line="196" w:lineRule="exact"/>
              <w:rPr>
                <w:sz w:val="20"/>
                <w:szCs w:val="20"/>
                <w:color w:val="auto"/>
              </w:rPr>
            </w:pPr>
            <w:r>
              <w:rPr>
                <w:rFonts w:ascii="Times New Roman" w:cs="Times New Roman" w:eastAsia="Times New Roman" w:hAnsi="Times New Roman"/>
                <w:sz w:val="18"/>
                <w:szCs w:val="18"/>
                <w:color w:val="auto"/>
              </w:rPr>
              <w:t>5.82</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NM—Not Meaningful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60" w:type="dxa"/>
            <w:vAlign w:val="bottom"/>
          </w:tcPr>
          <w:p>
            <w:pPr>
              <w:spacing w:after="0"/>
              <w:rPr>
                <w:sz w:val="18"/>
                <w:szCs w:val="18"/>
                <w:color w:val="auto"/>
              </w:rPr>
            </w:pPr>
          </w:p>
        </w:tc>
        <w:tc>
          <w:tcPr>
            <w:tcW w:w="258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05"/>
        </w:trPr>
        <w:tc>
          <w:tcPr>
            <w:tcW w:w="86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5"/>
        </w:trPr>
        <w:tc>
          <w:tcPr>
            <w:tcW w:w="86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 MIX PERCENTAGES:</w:t>
            </w: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r>
        <w:trPr>
          <w:trHeight w:val="224"/>
        </w:trPr>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Used vehicle wholesale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24"/>
        </w:trPr>
        <w:tc>
          <w:tcPr>
            <w:tcW w:w="8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42"/>
        </w:trPr>
        <w:tc>
          <w:tcPr>
            <w:tcW w:w="86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MIX PERCENTAGES:</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24"/>
        </w:trPr>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Used vehicle retail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wholesale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4"/>
        </w:trPr>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17"/>
        </w:trPr>
        <w:tc>
          <w:tcPr>
            <w:tcW w:w="8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gross profit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28"/>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 EXPENSE AS A PERCENTAGE OF GROSS PROFIT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firstLine="237"/>
        <w:spacing w:after="0" w:line="289" w:lineRule="auto"/>
        <w:rPr>
          <w:sz w:val="20"/>
          <w:szCs w:val="20"/>
          <w:color w:val="auto"/>
        </w:rPr>
      </w:pPr>
      <w:r>
        <w:rPr>
          <w:rFonts w:ascii="Times New Roman" w:cs="Times New Roman" w:eastAsia="Times New Roman" w:hAnsi="Times New Roman"/>
          <w:sz w:val="16"/>
          <w:szCs w:val="16"/>
          <w:color w:val="auto"/>
        </w:rPr>
        <w:t>Total revenue for the six months ended June 30, 2025 increased by $74.2 million (1%) compared to the six months ended June 30, 2024, due to a $212.9 million (5%) increase in new vehicle revenue and a $17.9 million (2%) increase in parts and service revenue, offset by a $143.4 million (5%) decrease in used vehicle revenue and a $13.2 million (3%) decrease in F&amp;I, revenue, net. The $4.6 million decrease in gross profit during the six months ended June 30, 2025, as compared to the six months ended June 30, 2024, was driven by a $14.8 million (5%) decrease in new vehicle gross profit and a $13.8 million (4%) decrease in F&amp;I gross profit, offset by a $23.4 million (3%) increase in parts and service gross profit and a $0.6 million increase in used vehicle gross profit.</w:t>
      </w:r>
    </w:p>
    <w:p>
      <w:pPr>
        <w:spacing w:after="0" w:line="103" w:lineRule="exact"/>
        <w:rPr>
          <w:sz w:val="20"/>
          <w:szCs w:val="20"/>
          <w:color w:val="auto"/>
        </w:rPr>
      </w:pPr>
    </w:p>
    <w:p>
      <w:pPr>
        <w:jc w:val="both"/>
        <w:ind w:right="140" w:firstLine="237"/>
        <w:spacing w:after="0" w:line="256" w:lineRule="auto"/>
        <w:rPr>
          <w:sz w:val="20"/>
          <w:szCs w:val="20"/>
          <w:color w:val="auto"/>
        </w:rPr>
      </w:pPr>
      <w:r>
        <w:rPr>
          <w:rFonts w:ascii="Times New Roman" w:cs="Times New Roman" w:eastAsia="Times New Roman" w:hAnsi="Times New Roman"/>
          <w:sz w:val="18"/>
          <w:szCs w:val="18"/>
          <w:color w:val="auto"/>
        </w:rPr>
        <w:t>Income from operations during the six months ended June 30, 2025 increased by $128.4 million (35%), compared to the six months ended June 30, 2024, primarily due to a $121.1 million decrease in asset impairment charges and a $13.3 million (1%) decrease in SG&amp;A expense, partially offset by a $4.6 million decrease in gross profit and a $1.3 million (4%) increase in depreciation and amortization expense.</w:t>
      </w:r>
    </w:p>
    <w:p>
      <w:pPr>
        <w:spacing w:after="0" w:line="127" w:lineRule="exact"/>
        <w:rPr>
          <w:sz w:val="20"/>
          <w:szCs w:val="20"/>
          <w:color w:val="auto"/>
        </w:rPr>
      </w:pPr>
    </w:p>
    <w:p>
      <w:pPr>
        <w:ind w:firstLine="237"/>
        <w:spacing w:after="0" w:line="250" w:lineRule="auto"/>
        <w:rPr>
          <w:sz w:val="20"/>
          <w:szCs w:val="20"/>
          <w:color w:val="auto"/>
        </w:rPr>
      </w:pPr>
      <w:r>
        <w:rPr>
          <w:rFonts w:ascii="Times New Roman" w:cs="Times New Roman" w:eastAsia="Times New Roman" w:hAnsi="Times New Roman"/>
          <w:sz w:val="18"/>
          <w:szCs w:val="18"/>
          <w:color w:val="auto"/>
        </w:rPr>
        <w:t>Total other expenses, net decreased by $16.9 million (13%) as a result of a $6.4 million increase in gain on dealership divestitures, net, a decrease of $5.4 million (6%) in other interest expense, net, and a $5.0 million (11%) decrease in floor plan interest expense recorded during the six months ended June 30, 2025 when compared to the same period of the prior year. Income before income taxes increased $145.3 million (62%) to $379.2 million for the six months ended June 30, 2025. Overall, net income increased by $109.7 million (63%) during the six months ended June 30, 2025 as compared to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Vehicle—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3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2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4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40" w:type="dxa"/>
            <w:vAlign w:val="bottom"/>
            <w:tcBorders>
              <w:top w:val="single" w:sz="8" w:color="auto"/>
            </w:tcBorders>
            <w:gridSpan w:val="8"/>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3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42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88.3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72.5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212.9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Gross profit:</w:t>
            </w:r>
          </w:p>
        </w:tc>
        <w:tc>
          <w:tcPr>
            <w:tcW w:w="2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34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42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73"/>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gross profit</w:t>
            </w:r>
          </w:p>
        </w:tc>
        <w:tc>
          <w:tcPr>
            <w:tcW w:w="2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(14.8)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New vehicle units:</w:t>
            </w:r>
          </w:p>
        </w:tc>
        <w:tc>
          <w:tcPr>
            <w:tcW w:w="2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715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44,150</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431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1,431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units</w:t>
            </w: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85,933</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83,356</w:t>
            </w:r>
          </w:p>
        </w:tc>
        <w:tc>
          <w:tcPr>
            <w:tcW w:w="260" w:type="dxa"/>
            <w:vAlign w:val="bottom"/>
          </w:tcPr>
          <w:p>
            <w:pPr>
              <w:spacing w:after="0"/>
              <w:rPr>
                <w:sz w:val="18"/>
                <w:szCs w:val="18"/>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2,577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34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42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98.0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115.0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1,211.1</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213"/>
              <w:spacing w:after="0"/>
              <w:rPr>
                <w:sz w:val="20"/>
                <w:szCs w:val="20"/>
                <w:color w:val="auto"/>
              </w:rPr>
            </w:pPr>
            <w:r>
              <w:rPr>
                <w:rFonts w:ascii="Times New Roman" w:cs="Times New Roman" w:eastAsia="Times New Roman" w:hAnsi="Times New Roman"/>
                <w:sz w:val="18"/>
                <w:szCs w:val="18"/>
                <w:color w:val="auto"/>
              </w:rPr>
              <w:t>83.3</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296.3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3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42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6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(9.5)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gross profit</w:t>
            </w:r>
          </w:p>
        </w:tc>
        <w:tc>
          <w:tcPr>
            <w:tcW w:w="2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New vehicle units:</w:t>
            </w:r>
          </w:p>
        </w:tc>
        <w:tc>
          <w:tcPr>
            <w:tcW w:w="2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878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2,044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213"/>
              <w:spacing w:after="0"/>
              <w:rPr>
                <w:sz w:val="20"/>
                <w:szCs w:val="20"/>
                <w:color w:val="auto"/>
              </w:rPr>
            </w:pPr>
            <w:r>
              <w:rPr>
                <w:rFonts w:ascii="Times New Roman" w:cs="Times New Roman" w:eastAsia="Times New Roman" w:hAnsi="Times New Roman"/>
                <w:sz w:val="18"/>
                <w:szCs w:val="18"/>
                <w:color w:val="auto"/>
              </w:rPr>
              <w:t>1,660</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units</w:t>
            </w:r>
          </w:p>
        </w:tc>
        <w:tc>
          <w:tcPr>
            <w:tcW w:w="2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79,636</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4,582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532"/>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42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Vehicle Metrics—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40" w:type="dxa"/>
            <w:vAlign w:val="bottom"/>
          </w:tcPr>
          <w:p>
            <w:pPr>
              <w:spacing w:after="0"/>
              <w:rPr>
                <w:sz w:val="18"/>
                <w:szCs w:val="18"/>
                <w:color w:val="auto"/>
              </w:rPr>
            </w:pPr>
          </w:p>
        </w:tc>
        <w:tc>
          <w:tcPr>
            <w:tcW w:w="24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For the Six Months Ended June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2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74"/>
        </w:trPr>
        <w:tc>
          <w:tcPr>
            <w:tcW w:w="6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62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 Reported:</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new vehicle sold</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51,691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50,736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3,814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w w:val="96"/>
              </w:rPr>
              <w:t>(0.7)%</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Luxury: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7,021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w w:val="96"/>
              </w:rPr>
              <w:t>(0.2)%</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Import: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2,705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3,516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w w:val="96"/>
              </w:rPr>
              <w:t>(1.1)%</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new vehicle sold</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51,826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51,087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2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3,542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3,880</w:t>
            </w:r>
          </w:p>
        </w:tc>
        <w:tc>
          <w:tcPr>
            <w:tcW w:w="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Luxury: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7,026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Import: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2,753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w w:val="96"/>
              </w:rPr>
              <w:t>(0.9)%</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Domestic:</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3,534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six months ended June 30, 2025, new vehicle revenue increased by $212.9 million (5%) due to an increase in new vehicle units sold of 2,577 (3%)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a $956 (2%) increase in revenue per new vehicle sold as compared to the six months ended June 30, 2024. Same store new vehicle revenue increased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$296.3 million (7%), driven by an increase in new vehicles sold of 4,582 (6%) and a $739 (1%) increase in revenue per new vehicle sold as compared to the six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2024.</w:t>
      </w:r>
    </w:p>
    <w:p>
      <w:pPr>
        <w:spacing w:after="0" w:line="144" w:lineRule="exact"/>
        <w:rPr>
          <w:sz w:val="20"/>
          <w:szCs w:val="20"/>
          <w:color w:val="auto"/>
        </w:rPr>
      </w:pPr>
    </w:p>
    <w:p>
      <w:pPr>
        <w:ind w:right="100" w:firstLine="276"/>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2025, new vehicle gross profit and same store new vehicle gross profit decreased by $14.8 million (5%) and $10.7 million (3%), respectively. Same store new vehicle gross margin for the six months ended June 30, 2025 decreased 76 basis points to 6.8%. A similar decrease was seen in new vehicle gross profit margins, as reported. The decrease in our new vehicle gross profit margin was primarily attributable to the continued easing of new vehicle inventory constraints which softened the historically high new vehicle margins seen in recent years.</w:t>
      </w:r>
    </w:p>
    <w:p>
      <w:pPr>
        <w:spacing w:after="0" w:line="131" w:lineRule="exact"/>
        <w:rPr>
          <w:sz w:val="20"/>
          <w:szCs w:val="20"/>
          <w:color w:val="auto"/>
        </w:rPr>
      </w:pPr>
    </w:p>
    <w:p>
      <w:pPr>
        <w:ind w:right="20" w:firstLine="276"/>
        <w:spacing w:after="0" w:line="250" w:lineRule="auto"/>
        <w:rPr>
          <w:sz w:val="20"/>
          <w:szCs w:val="20"/>
          <w:color w:val="auto"/>
        </w:rPr>
      </w:pPr>
      <w:r>
        <w:rPr>
          <w:rFonts w:ascii="Times New Roman" w:cs="Times New Roman" w:eastAsia="Times New Roman" w:hAnsi="Times New Roman"/>
          <w:sz w:val="18"/>
          <w:szCs w:val="18"/>
          <w:color w:val="auto"/>
        </w:rPr>
        <w:t>The seasonally adjusted annual rate ("SAAR") for new vehicle sales in the U.S. during the six months ended June 30, 2025 was approximately 16.3 million which increased as compared to approximately 15.5 million during the six months ended June 30, 2024. The increase in SAAR period over period reflects higher inventory supply coupled with the effects of the CDK outage in June 2024, which negatively impacted sales in the prior year. Consumer demand for new vehicles was driven by automobile tariff uncertainty. We also continue to be impacted by the significant variation in new vehicle days supply among brands and models.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Used Vehicle—</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gridSpan w:val="9"/>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04"/>
        </w:trPr>
        <w:tc>
          <w:tcPr>
            <w:tcW w:w="6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140" w:type="dxa"/>
            <w:vAlign w:val="bottom"/>
            <w:gridSpan w:val="13"/>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revenue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revenue</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306.4</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revenue</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gross profit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gross profit</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gross profit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78,023</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revenue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revenue</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revenue</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gross profit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gross profit</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gross profit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74,591</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Used Vehicle Metrics—</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000" w:type="dxa"/>
            <w:vAlign w:val="bottom"/>
          </w:tcPr>
          <w:p>
            <w:pPr>
              <w:spacing w:after="0"/>
              <w:rPr>
                <w:sz w:val="24"/>
                <w:szCs w:val="24"/>
                <w:color w:val="auto"/>
              </w:rPr>
            </w:pPr>
          </w:p>
        </w:tc>
        <w:tc>
          <w:tcPr>
            <w:tcW w:w="2660" w:type="dxa"/>
            <w:vAlign w:val="bottom"/>
            <w:gridSpan w:val="10"/>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6000" w:type="dxa"/>
            <w:vAlign w:val="bottom"/>
          </w:tcPr>
          <w:p>
            <w:pPr>
              <w:spacing w:after="0"/>
              <w:rPr>
                <w:sz w:val="3"/>
                <w:szCs w:val="3"/>
                <w:color w:val="auto"/>
              </w:rPr>
            </w:pPr>
          </w:p>
        </w:tc>
        <w:tc>
          <w:tcPr>
            <w:tcW w:w="1100" w:type="dxa"/>
            <w:vAlign w:val="bottom"/>
            <w:tcBorders>
              <w:top w:val="single" w:sz="8" w:color="auto"/>
            </w:tcBorders>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05"/>
        </w:trPr>
        <w:tc>
          <w:tcPr>
            <w:tcW w:w="60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 Reported:</w:t>
            </w: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used vehicle retailed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30,822</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30,229</w:t>
            </w:r>
          </w:p>
        </w:tc>
        <w:tc>
          <w:tcPr>
            <w:tcW w:w="120" w:type="dxa"/>
            <w:vAlign w:val="bottom"/>
          </w:tcPr>
          <w:p>
            <w:pPr>
              <w:spacing w:after="0"/>
              <w:rPr>
                <w:sz w:val="19"/>
                <w:szCs w:val="19"/>
                <w:color w:val="auto"/>
              </w:rPr>
            </w:pP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per used vehicle retailed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gross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used vehicle retailed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30,906</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30,452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 used vehicle retailed</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340" w:type="dxa"/>
            <w:vAlign w:val="bottom"/>
            <w:tcBorders>
              <w:top w:val="single" w:sz="8" w:color="auto"/>
              <w:bottom w:val="single" w:sz="8" w:color="auto"/>
            </w:tcBorders>
          </w:tcPr>
          <w:p>
            <w:pPr>
              <w:jc w:val="right"/>
              <w:ind w:right="15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17"/>
                <w:szCs w:val="17"/>
                <w:color w:val="auto"/>
              </w:rPr>
            </w:pPr>
          </w:p>
        </w:tc>
        <w:tc>
          <w:tcPr>
            <w:tcW w:w="240" w:type="dxa"/>
            <w:vAlign w:val="bottom"/>
            <w:gridSpan w:val="2"/>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4"/>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 retail gross margin</w:t>
            </w:r>
          </w:p>
        </w:tc>
        <w:tc>
          <w:tcPr>
            <w:tcW w:w="3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six months ended June 30, 2025, used vehicle revenue decreased by $143.4 million (5%) compared to the same period of the prior year, due to a</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$150.2 million (6%) decrease in used vehicle retail revenue partially offset by a $6.8 million (2%) increase in used vehicle wholesale revenue. Same store used</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vehicle revenue decreased by $88.5 million (3%) due to a $99.1 million (4%) decrease in used vehicle retail revenue partially offset by a $10.6 million (4%)</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increase in used vehicle wholesale revenue. Total used vehicle retail unit sales decreased by 8% while same store used vehicle retail sales decreased 6% during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the six months ended June 30, 2025 as compared to the six months ended June 30, 2024. Used vehicle unit volumes have been negatively impacted by the lack</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of inventory availability, especially in vehicles with lower mileage. Revenue per used vehicle retailed increased during six months ended June 30, 2025</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compared to the same period of the prior year, along with gross profit margins on both an all store and same store basis.</w:t>
      </w:r>
    </w:p>
    <w:p>
      <w:pPr>
        <w:sectPr>
          <w:pgSz w:w="11900" w:h="16838" w:orient="portrait"/>
          <w:cols w:equalWidth="0" w:num="1">
            <w:col w:w="11320"/>
          </w:cols>
          <w:pgMar w:left="240" w:top="119"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240" w:top="11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total company and same store gross profit margins increased by 22 basis points and 14 basis points, respectively, as compared to the six months ended June 30, 2024. Increases in used vehicle gross margins, on both a total Company and same store basis, were largely driven by higher prices for used vehicles during the six months ended June 30, 2025 as compared to the six months ended June 30, 2024.</w:t>
      </w:r>
    </w:p>
    <w:p>
      <w:pPr>
        <w:spacing w:after="0" w:line="127" w:lineRule="exact"/>
        <w:rPr>
          <w:sz w:val="20"/>
          <w:szCs w:val="20"/>
          <w:color w:val="auto"/>
        </w:rPr>
      </w:pPr>
    </w:p>
    <w:p>
      <w:pPr>
        <w:ind w:right="60" w:firstLine="237"/>
        <w:spacing w:after="0" w:line="249" w:lineRule="auto"/>
        <w:rPr>
          <w:sz w:val="20"/>
          <w:szCs w:val="20"/>
          <w:color w:val="auto"/>
        </w:rPr>
      </w:pPr>
      <w:r>
        <w:rPr>
          <w:rFonts w:ascii="Times New Roman" w:cs="Times New Roman" w:eastAsia="Times New Roman" w:hAnsi="Times New Roman"/>
          <w:sz w:val="18"/>
          <w:szCs w:val="18"/>
          <w:color w:val="auto"/>
        </w:rPr>
        <w:t>For the six months ended June 30, 2025, used vehicle retail gross profit margins increased from 5.1% to 5.4% and 5.3% to 5.4%, respectively, for all stores and on a same store basis when compared to the same period of the prior year. Used vehicle retail gross profit decreased $2.9 million (2%) for the six months ended June 30, 2025 as compared to the six months ended June 30, 2024 and decreased $2.1 million (2%) on a same store basis for the same period. On a total company basis, our gross profit per used vehicle retailed increased $98 (6%), and on a same store basis, our gross profit per used vehicle retailed increased $68 (4%) when compared to the prior period, which was primarily driven by increases in used vehicle market prices due to the surge in demand as a result of tariff uncertainty.</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Parts and Service—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2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88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8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3"/>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Parts and service revenue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1,189.1</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1,171.2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17.9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Parts and service gross profit: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pay</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369.0</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354.5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14.6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Warranty</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87.9</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14.8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4"/>
        </w:trPr>
        <w:tc>
          <w:tcPr>
            <w:tcW w:w="6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Collision</w:t>
            </w:r>
          </w:p>
        </w:tc>
        <w:tc>
          <w:tcPr>
            <w:tcW w:w="24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65.8</w:t>
            </w:r>
          </w:p>
        </w:tc>
        <w:tc>
          <w:tcPr>
            <w:tcW w:w="280" w:type="dxa"/>
            <w:vAlign w:val="bottom"/>
          </w:tcPr>
          <w:p>
            <w:pPr>
              <w:spacing w:after="0"/>
              <w:rPr>
                <w:sz w:val="19"/>
                <w:szCs w:val="19"/>
                <w:color w:val="auto"/>
              </w:rPr>
            </w:pP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Wholesale parts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7"/>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Parts and service gross profit, excluding reconditioning and preparation</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571.7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548.0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23.7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Parts and service gross margin, excluding reconditioning and preparation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1.3 %</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Reconditioning and preparation *</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126.1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parts and service gross profit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674.0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23.4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880"/>
              <w:spacing w:after="0"/>
              <w:rPr>
                <w:sz w:val="20"/>
                <w:szCs w:val="20"/>
                <w:color w:val="auto"/>
              </w:rPr>
            </w:pPr>
            <w:r>
              <w:rPr>
                <w:rFonts w:ascii="Times New Roman" w:cs="Times New Roman" w:eastAsia="Times New Roman" w:hAnsi="Times New Roman"/>
                <w:sz w:val="18"/>
                <w:szCs w:val="18"/>
                <w:color w:val="auto"/>
              </w:rPr>
              <w:t>Total parts and service gross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1.1 %</w:t>
            </w: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58.7 %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57.5 %</w:t>
            </w: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Parts and service revenue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1,126.4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39.2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4"/>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Parts and service gross profit: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Customer pay</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339.4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22.3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6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Warranty</w:t>
            </w:r>
          </w:p>
        </w:tc>
        <w:tc>
          <w:tcPr>
            <w:tcW w:w="24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85.0</w:t>
            </w:r>
          </w:p>
        </w:tc>
        <w:tc>
          <w:tcPr>
            <w:tcW w:w="280" w:type="dxa"/>
            <w:vAlign w:val="bottom"/>
          </w:tcPr>
          <w:p>
            <w:pPr>
              <w:spacing w:after="0"/>
              <w:rPr>
                <w:sz w:val="19"/>
                <w:szCs w:val="19"/>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15.7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Collision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Wholesale parts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233"/>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Parts and service gross profit, excluding reconditioning and preparation</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528.5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33.2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880"/>
              <w:spacing w:after="0"/>
              <w:rPr>
                <w:sz w:val="20"/>
                <w:szCs w:val="20"/>
                <w:color w:val="auto"/>
              </w:rPr>
            </w:pPr>
            <w:r>
              <w:rPr>
                <w:rFonts w:ascii="Times New Roman" w:cs="Times New Roman" w:eastAsia="Times New Roman" w:hAnsi="Times New Roman"/>
                <w:sz w:val="18"/>
                <w:szCs w:val="18"/>
                <w:color w:val="auto"/>
              </w:rPr>
              <w:t>Parts and service gross margin, excluding reconditioning and preparation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1.3 %</w:t>
            </w: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48.2 %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46.9 %</w:t>
            </w: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Reconditioning and preparation *</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4"/>
        </w:trPr>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parts and service gross profit</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685.8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649.3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36.5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parts and service gross margin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1.2 %</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640" w:firstLine="5"/>
        <w:spacing w:after="0" w:line="271" w:lineRule="auto"/>
        <w:tabs>
          <w:tab w:leader="none" w:pos="1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Reconditioning and preparation represents the gross profit earned by our parts and service departments for internal work performed is included as a reduction of parts and service cost of sales in the accompanying condensed consolidated statements of income upon the sale of the vehicle.</w:t>
      </w:r>
    </w:p>
    <w:p>
      <w:pPr>
        <w:spacing w:after="0" w:line="114" w:lineRule="exact"/>
        <w:rPr>
          <w:sz w:val="20"/>
          <w:szCs w:val="20"/>
          <w:color w:val="auto"/>
        </w:rPr>
      </w:pPr>
    </w:p>
    <w:p>
      <w:pPr>
        <w:ind w:right="160" w:firstLine="237"/>
        <w:spacing w:after="0" w:line="293" w:lineRule="auto"/>
        <w:rPr>
          <w:sz w:val="20"/>
          <w:szCs w:val="20"/>
          <w:color w:val="auto"/>
        </w:rPr>
      </w:pPr>
      <w:r>
        <w:rPr>
          <w:rFonts w:ascii="Times New Roman" w:cs="Times New Roman" w:eastAsia="Times New Roman" w:hAnsi="Times New Roman"/>
          <w:sz w:val="16"/>
          <w:szCs w:val="16"/>
          <w:color w:val="auto"/>
        </w:rPr>
        <w:t>The $17.9 million (2%) increase in parts and service revenue was primarily due to a $25.0 million (15%) increase in warranty revenue and a $10.3 million (2%) increase in customer pay revenue, offset by a $9.1 million (4%) decrease in wholesale parts revenue and an $8.3 million (6%) decrease in collision revenue. Same store parts and service revenue increased by $39.2 million (3%) from $1.13 billion for the six months ended June 30, 2024 to $1.17 billion for the six months ended June 30, 2025. The increase in same store parts and service revenue was due to a $26.9 million (17%) increase in warranty revenue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and a $25.5 million (4%) increase in customer pay revenue, offset by an $8.3 million (6%) decrease in collision revenue and a $4.9 million (2%) decrease in wholesale parts revenue. Consumers are owning a vehicle for longer periods of time due to various factors, including the higher cost of vehicles, higher interest rates, as well as the vehicle inventory constraints experienced in the automotive industry in recent years.</w:t>
      </w:r>
    </w:p>
    <w:p>
      <w:pPr>
        <w:spacing w:after="0" w:line="127" w:lineRule="exact"/>
        <w:rPr>
          <w:sz w:val="20"/>
          <w:szCs w:val="20"/>
          <w:color w:val="auto"/>
        </w:rPr>
      </w:pPr>
    </w:p>
    <w:p>
      <w:pPr>
        <w:ind w:firstLine="237"/>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2025, total parts and service gross profit increased by $23.4 million (3%) to $697.5 million, and same store total parts and service gross profit increased by $36.5 million (6%) to $685.8 million when compared to the same period of the prior year. The all store and same store increases are primarily a result of increased customer pay and warranty volume and reconditioning and preparation, which is in line with the increasing trend of aged vehicles; however these increases were offset by decreases in body shop and wholesale parts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and Insurance, net—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2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8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2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1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gridSpan w:val="8"/>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insurance, net revenue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40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(13.2)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gross profit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(13.8)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Finance and insurance, net per vehicle sold</w:t>
            </w: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3"/>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2,171</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2,205</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4"/>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revenue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and insurance, net gross profit</w:t>
            </w:r>
          </w:p>
        </w:tc>
        <w:tc>
          <w:tcPr>
            <w:tcW w:w="240" w:type="dxa"/>
            <w:vAlign w:val="bottom"/>
            <w:tcBorders>
              <w:top w:val="single" w:sz="8" w:color="auto"/>
              <w:bottom w:val="single" w:sz="8" w:color="auto"/>
            </w:tcBorders>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337.7</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344.8</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4"/>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per vehicle sold</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340" w:firstLine="276"/>
        <w:spacing w:after="0" w:line="268" w:lineRule="auto"/>
        <w:rPr>
          <w:sz w:val="20"/>
          <w:szCs w:val="20"/>
          <w:color w:val="auto"/>
        </w:rPr>
      </w:pPr>
      <w:r>
        <w:rPr>
          <w:rFonts w:ascii="Times New Roman" w:cs="Times New Roman" w:eastAsia="Times New Roman" w:hAnsi="Times New Roman"/>
          <w:sz w:val="18"/>
          <w:szCs w:val="18"/>
          <w:color w:val="auto"/>
        </w:rPr>
        <w:t>F&amp;I revenue, net decreased $13.2 million (3%) during the six months ended June 30, 2025 when compared to the six months ended June 30, 2024, as a result of a 2% decrease in total retail units sold and a $34 (2%) decrease in F&amp;I per vehicle retailed.</w:t>
      </w:r>
    </w:p>
    <w:p>
      <w:pPr>
        <w:spacing w:after="0" w:line="117" w:lineRule="exact"/>
        <w:rPr>
          <w:sz w:val="20"/>
          <w:szCs w:val="20"/>
          <w:color w:val="auto"/>
        </w:rPr>
      </w:pPr>
    </w:p>
    <w:p>
      <w:pPr>
        <w:jc w:val="both"/>
        <w:ind w:right="300" w:firstLine="276"/>
        <w:spacing w:after="0" w:line="256" w:lineRule="auto"/>
        <w:rPr>
          <w:sz w:val="20"/>
          <w:szCs w:val="20"/>
          <w:color w:val="auto"/>
        </w:rPr>
      </w:pPr>
      <w:r>
        <w:rPr>
          <w:rFonts w:ascii="Times New Roman" w:cs="Times New Roman" w:eastAsia="Times New Roman" w:hAnsi="Times New Roman"/>
          <w:sz w:val="18"/>
          <w:szCs w:val="18"/>
          <w:color w:val="auto"/>
        </w:rPr>
        <w:t>On a same store basis, F&amp;I revenue, net decreased by $6.4 million during the six months ended June 30, 2025 when compared to the six months ended June 30, 2024 as a result of a a $50 decrease in F&amp;I per vehicle retailed. We are seeing slightly lower gross profit in our F&amp;I products as customers look for ways to manage lower monthly payments in a higher interest rate environment.</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financial results of the TCA segment, after dealership eliminations,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2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8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restart"/>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20" w:type="dxa"/>
            <w:vAlign w:val="bottom"/>
            <w:vMerge w:val="restart"/>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11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3"/>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revenue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(13.0)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and insurance, cost of sales</w:t>
            </w:r>
          </w:p>
        </w:tc>
        <w:tc>
          <w:tcPr>
            <w:tcW w:w="240" w:type="dxa"/>
            <w:vAlign w:val="bottom"/>
            <w:tcBorders>
              <w:top w:val="single" w:sz="8" w:color="auto"/>
              <w:bottom w:val="single" w:sz="8" w:color="auto"/>
            </w:tcBorders>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26.9</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26.3</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6"/>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gross profit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(13.7)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40" w:firstLine="276"/>
        <w:spacing w:after="0" w:line="268" w:lineRule="auto"/>
        <w:rPr>
          <w:sz w:val="20"/>
          <w:szCs w:val="20"/>
          <w:color w:val="auto"/>
        </w:rPr>
      </w:pPr>
      <w:r>
        <w:rPr>
          <w:rFonts w:ascii="Times New Roman" w:cs="Times New Roman" w:eastAsia="Times New Roman" w:hAnsi="Times New Roman"/>
          <w:sz w:val="18"/>
          <w:szCs w:val="18"/>
          <w:color w:val="auto"/>
        </w:rPr>
        <w:t>TCA offers a variety of F&amp;I products, such as extended vehicle service contracts, prepaid maintenance contracts, GAP, appearance protection contracts and lease wear-and-tear contracts. TCA's products are sold through our automobile dealerships.</w:t>
      </w:r>
    </w:p>
    <w:p>
      <w:pPr>
        <w:spacing w:after="0" w:line="117" w:lineRule="exact"/>
        <w:rPr>
          <w:sz w:val="20"/>
          <w:szCs w:val="20"/>
          <w:color w:val="auto"/>
        </w:rPr>
      </w:pPr>
    </w:p>
    <w:p>
      <w:pPr>
        <w:ind w:right="160" w:firstLine="276"/>
        <w:spacing w:after="0" w:line="286" w:lineRule="auto"/>
        <w:rPr>
          <w:sz w:val="20"/>
          <w:szCs w:val="20"/>
          <w:color w:val="auto"/>
        </w:rPr>
      </w:pPr>
      <w:r>
        <w:rPr>
          <w:rFonts w:ascii="Times New Roman" w:cs="Times New Roman" w:eastAsia="Times New Roman" w:hAnsi="Times New Roman"/>
          <w:sz w:val="16"/>
          <w:szCs w:val="16"/>
          <w:color w:val="auto"/>
        </w:rPr>
        <w:t>Revenue generated by TCA is earned over the period of the related product contract. The method for recognizing revenue is assigned based on contract type and expected claim patterns. Premium revenues are supplemented with investment gains or losses and income earned associated with the performance of TCA's investment portfolio. During the six months ended June 30, 2025, TCA generated $46.6 million of revenue, consisting primarily of earned premiums and $9.7 million investment income from the investment portfolio. F&amp;I revenue decreased by $13.0 million (22%) for the six months ended June 30, 2025 as compared to the six months ended June 30, 2024 due to the continued roll-out of TCA products across Asbury dealerships resulting in the deferral of F&amp;I revenue over the TCA contract term as opposed to the immediate recognition of revenue associated with third-party F&amp;I product sales.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firstLine="276"/>
        <w:spacing w:after="0" w:line="252" w:lineRule="auto"/>
        <w:rPr>
          <w:sz w:val="20"/>
          <w:szCs w:val="20"/>
          <w:color w:val="auto"/>
        </w:rPr>
      </w:pPr>
      <w:r>
        <w:rPr>
          <w:rFonts w:ascii="Times New Roman" w:cs="Times New Roman" w:eastAsia="Times New Roman" w:hAnsi="Times New Roman"/>
          <w:sz w:val="18"/>
          <w:szCs w:val="18"/>
          <w:color w:val="auto"/>
        </w:rPr>
        <w:t>Direct expenses incurred for the acquisition of F&amp;I contracts on which revenue has not yet been recognized have been deferred and are amortized over the related contract period. During the six months ended June 30, 2025, TCA recorded $26.9 million of cost of sales consisting primarily of claims expense. Commissions expense paid by TCA to our affiliated dealerships and reflected as F&amp;I revenue in our Dealerships segment is eliminated in the TCA segment upon consolidation.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bl>
      <w:tblPr>
        <w:tblLayout w:type="fixed"/>
        <w:tblInd w:w="0" w:type="dxa"/>
        <w:tblCellMar>
          <w:top w:w="0" w:type="dxa"/>
          <w:left w:w="0" w:type="dxa"/>
          <w:bottom w:w="0" w:type="dxa"/>
          <w:right w:w="0" w:type="dxa"/>
        </w:tblCellMar>
      </w:tblPr>
      <w:tr>
        <w:trPr>
          <w:trHeight w:val="49"/>
        </w:trPr>
        <w:tc>
          <w:tcPr>
            <w:tcW w:w="39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w w:val="98"/>
              </w:rPr>
              <w:t>% of Gross</w:t>
            </w:r>
          </w:p>
        </w:tc>
        <w:tc>
          <w:tcPr>
            <w:tcW w:w="0" w:type="dxa"/>
            <w:vAlign w:val="bottom"/>
          </w:tcPr>
          <w:p>
            <w:pPr>
              <w:spacing w:after="0"/>
              <w:rPr>
                <w:sz w:val="1"/>
                <w:szCs w:val="1"/>
                <w:color w:val="auto"/>
              </w:rPr>
            </w:pPr>
          </w:p>
        </w:tc>
      </w:tr>
      <w:tr>
        <w:trPr>
          <w:trHeight w:val="72"/>
        </w:trPr>
        <w:tc>
          <w:tcPr>
            <w:tcW w:w="3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40" w:type="dxa"/>
            <w:vAlign w:val="bottom"/>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of Gross</w:t>
            </w: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2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 of Gross</w:t>
            </w:r>
          </w:p>
        </w:tc>
        <w:tc>
          <w:tcPr>
            <w:tcW w:w="260" w:type="dxa"/>
            <w:vAlign w:val="bottom"/>
          </w:tcPr>
          <w:p>
            <w:pPr>
              <w:spacing w:after="0"/>
              <w:rPr>
                <w:sz w:val="6"/>
                <w:szCs w:val="6"/>
                <w:color w:val="auto"/>
              </w:rPr>
            </w:pPr>
          </w:p>
        </w:tc>
        <w:tc>
          <w:tcPr>
            <w:tcW w:w="1000" w:type="dxa"/>
            <w:vAlign w:val="bottom"/>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Profit Increase</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0" w:type="dxa"/>
            <w:vAlign w:val="bottom"/>
          </w:tcPr>
          <w:p>
            <w:pPr>
              <w:spacing w:after="0"/>
              <w:rPr>
                <w:sz w:val="1"/>
                <w:szCs w:val="1"/>
                <w:color w:val="auto"/>
              </w:rPr>
            </w:pPr>
          </w:p>
        </w:tc>
      </w:tr>
      <w:tr>
        <w:trPr>
          <w:trHeight w:val="204"/>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41.9 %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(16.1)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6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15.6 %</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17"/>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63.1 %</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1,476.1</w:t>
            </w: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w:t>
            </w:r>
          </w:p>
        </w:tc>
        <w:tc>
          <w:tcPr>
            <w:tcW w:w="1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41.8 %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15.5 %</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17"/>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62.8 %</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1,454.1</w:t>
            </w: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1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firstLine="237"/>
        <w:spacing w:after="0" w:line="278" w:lineRule="auto"/>
        <w:rPr>
          <w:sz w:val="20"/>
          <w:szCs w:val="20"/>
          <w:color w:val="auto"/>
        </w:rPr>
      </w:pPr>
      <w:r>
        <w:rPr>
          <w:rFonts w:ascii="Times New Roman" w:cs="Times New Roman" w:eastAsia="Times New Roman" w:hAnsi="Times New Roman"/>
          <w:sz w:val="16"/>
          <w:szCs w:val="16"/>
          <w:color w:val="auto"/>
        </w:rPr>
        <w:t>SG&amp;A expense as a percentage of gross profit decreased 70 basis points from 63.8% for the six months ended June 30, 2024 to 63.1% for the six months ended June 30, 2025, while same store SG&amp;A expense as a percentage of gross profit decreased 56 basis points to 62.8% over the same period. The decrease in SG&amp;A as a percentage of gross profit on a total company and same store basis during the six months ended June 30, 2025 is primarily the result of lower rent and related expenses due to an insurance recovery of $15.0 million, offset by an increase in other expenses of $5.1 million arising from transaction costs associated with an acquisition, when compared to the six months ended June 30, 2024. On a total company basis, SG&amp;A expense decreased by $13.3 million for the six months ended June 30, 2025 as compared to the six months ended June 30, 2024, primarily due to a decrease in rent and related expenses of</w:t>
      </w:r>
    </w:p>
    <w:p>
      <w:pPr>
        <w:spacing w:after="0" w:line="2"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8"/>
          <w:szCs w:val="18"/>
          <w:color w:val="auto"/>
        </w:rPr>
        <w:t>$16.1 million (inclusive of $15.0 million in insurance recoveries in the period) offset by increases in other SG&amp;A expense due to the $5.1 million transaction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Impairments—</w:t>
      </w:r>
    </w:p>
    <w:p>
      <w:pPr>
        <w:spacing w:after="0" w:line="163" w:lineRule="exact"/>
        <w:rPr>
          <w:sz w:val="20"/>
          <w:szCs w:val="20"/>
          <w:color w:val="auto"/>
        </w:rPr>
      </w:pPr>
    </w:p>
    <w:p>
      <w:pPr>
        <w:ind w:right="20" w:firstLine="237"/>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2025, we recognized asset impairment charges of $14.3 million as compared to $135.4 million asset impairment charges during the six months ended June 30, 2024. For the six months ended June 30, 2025, asset impairment charges related to five dealerships that met the criteria to be reflected as assets held for sale in March 2025, and whose franchise rights carrying values exceeded the Company's estimate of the franchise rights fair value less costs to sell. For the six months ended June 30, 2024, the asset impairments resulted from our interim franchise rights impairment tests for certain underperforming stores, limited primarily to one brand.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 Plan Interest Expense—</w:t>
      </w:r>
    </w:p>
    <w:p>
      <w:pPr>
        <w:spacing w:after="0" w:line="163" w:lineRule="exact"/>
        <w:rPr>
          <w:sz w:val="20"/>
          <w:szCs w:val="20"/>
          <w:color w:val="auto"/>
        </w:rPr>
      </w:pPr>
    </w:p>
    <w:p>
      <w:pPr>
        <w:ind w:right="100" w:firstLine="237"/>
        <w:spacing w:after="0" w:line="256" w:lineRule="auto"/>
        <w:rPr>
          <w:sz w:val="20"/>
          <w:szCs w:val="20"/>
          <w:color w:val="auto"/>
        </w:rPr>
      </w:pPr>
      <w:r>
        <w:rPr>
          <w:rFonts w:ascii="Times New Roman" w:cs="Times New Roman" w:eastAsia="Times New Roman" w:hAnsi="Times New Roman"/>
          <w:sz w:val="18"/>
          <w:szCs w:val="18"/>
          <w:color w:val="auto"/>
        </w:rPr>
        <w:t>Floor plan interest expense decreased by $5.0 million (11%) to $38.8 million during the six months ended June 30, 2025 compared to $43.8 million during the six months ended June 30, 2024 primarily due to lower interest rates and higher cash balances held in the floor plan offset account during the six months ended June 30, 2025 as compared to the six months ended June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Interest Expense—</w:t>
      </w:r>
    </w:p>
    <w:p>
      <w:pPr>
        <w:spacing w:after="0" w:line="163" w:lineRule="exact"/>
        <w:rPr>
          <w:sz w:val="20"/>
          <w:szCs w:val="20"/>
          <w:color w:val="auto"/>
        </w:rPr>
      </w:pPr>
    </w:p>
    <w:p>
      <w:pPr>
        <w:ind w:right="460" w:firstLine="237"/>
        <w:spacing w:after="0" w:line="268" w:lineRule="auto"/>
        <w:rPr>
          <w:sz w:val="20"/>
          <w:szCs w:val="20"/>
          <w:color w:val="auto"/>
        </w:rPr>
      </w:pPr>
      <w:r>
        <w:rPr>
          <w:rFonts w:ascii="Times New Roman" w:cs="Times New Roman" w:eastAsia="Times New Roman" w:hAnsi="Times New Roman"/>
          <w:sz w:val="18"/>
          <w:szCs w:val="18"/>
          <w:color w:val="auto"/>
        </w:rPr>
        <w:t>Other interest expense, net decreased $5.4 million (6%) from $89.2 million during the six months ended June 30, 2024 to $83.7 million during the six months ended June 30, 2025. This decrease was primarily due to the $4.2 million decrease in our</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credit facility interest expense and a $0.7 million decrease in loaner payable interest expense driven by lower interest rates applicable during the six months ended June 30, 2025 as compared to the same period in the prior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Dealership Divestitures, net—</w:t>
      </w:r>
    </w:p>
    <w:p>
      <w:pPr>
        <w:spacing w:after="0" w:line="163" w:lineRule="exact"/>
        <w:rPr>
          <w:sz w:val="20"/>
          <w:szCs w:val="20"/>
          <w:color w:val="auto"/>
        </w:rPr>
      </w:pPr>
    </w:p>
    <w:p>
      <w:pPr>
        <w:ind w:right="220" w:firstLine="276"/>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2025, we sold two Toyota franchises (two dealership locations) in San Diego, California, and Los Angeles, California, one Nissan franchise (one dealership location) in Denver, Colorado, one Volvo franchise (one dealership location) in Greenville, South Carolina, and three franchises in Salt Lake City, Utah, comprising one Chevrolet franchise (one dealership location), one Chrysler Jeep Dodge Ram franchise (one dealership location) and one Ford franchise (one dealership location). The Company recorded a pre-tax gain totaling $10.1 million, which is presented in our accompanying condensed consolidated statements of income as a gain on dealership divestitures, net.</w:t>
      </w:r>
    </w:p>
    <w:p>
      <w:pPr>
        <w:spacing w:after="0" w:line="133" w:lineRule="exact"/>
        <w:rPr>
          <w:sz w:val="20"/>
          <w:szCs w:val="20"/>
          <w:color w:val="auto"/>
        </w:rPr>
      </w:pPr>
    </w:p>
    <w:p>
      <w:pPr>
        <w:jc w:val="both"/>
        <w:ind w:right="40" w:firstLine="276"/>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2024, we sold one Lexus franchise (one dealership location) in Wilmington, Delaware due to OEM requirements in connection with the Koons acquisition, one Nissan franchise (one dealership location) in Denver, Colorado, and one Nissan franchise (one dealership location) in Atlanta, Georgia. The Company recorded a pre-tax gain totaling $3.6 million, which is presented in our accompanying condensed consolidated statements of income as a gain on dealership divestitures, net.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63" w:lineRule="exact"/>
        <w:rPr>
          <w:sz w:val="20"/>
          <w:szCs w:val="20"/>
          <w:color w:val="auto"/>
        </w:rPr>
      </w:pPr>
    </w:p>
    <w:p>
      <w:pPr>
        <w:ind w:right="20" w:firstLine="237"/>
        <w:spacing w:after="0" w:line="249" w:lineRule="auto"/>
        <w:rPr>
          <w:sz w:val="20"/>
          <w:szCs w:val="20"/>
          <w:color w:val="auto"/>
        </w:rPr>
      </w:pPr>
      <w:r>
        <w:rPr>
          <w:rFonts w:ascii="Times New Roman" w:cs="Times New Roman" w:eastAsia="Times New Roman" w:hAnsi="Times New Roman"/>
          <w:sz w:val="18"/>
          <w:szCs w:val="18"/>
          <w:color w:val="auto"/>
        </w:rPr>
        <w:t>The $35.7 million (61%) increase in income tax expense was primarily the result of a $145.3 million (62%) increase in income before income taxes. For the six months ended June 30, 2025, our effective income tax rate was 24.9% compared to 25.1% in the comparative period, respectively, which differed from the U.S. statutory rate primarily due to the favorable effects of the windfall component of equity compensation as well as the favorable effects of amended state income tax returns, which are discrete items, and unfavorable effects of various permanent tax adjustments such as executive compensation. We estimate our effective tax rate for the year ended December 31, 2025 at 25.5%. This estimated effective tax rate includes the effects of the deferred tax impact related to an increase in our estimated future state effective tax rate due to the acquisition of the Herb Chambers Dealerships.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3" w:lineRule="exact"/>
        <w:rPr>
          <w:sz w:val="20"/>
          <w:szCs w:val="20"/>
          <w:color w:val="auto"/>
        </w:rPr>
      </w:pPr>
    </w:p>
    <w:p>
      <w:pPr>
        <w:ind w:right="120" w:firstLine="276"/>
        <w:spacing w:after="0" w:line="250" w:lineRule="auto"/>
        <w:rPr>
          <w:sz w:val="20"/>
          <w:szCs w:val="20"/>
          <w:color w:val="auto"/>
        </w:rPr>
      </w:pPr>
      <w:r>
        <w:rPr>
          <w:rFonts w:ascii="Times New Roman" w:cs="Times New Roman" w:eastAsia="Times New Roman" w:hAnsi="Times New Roman"/>
          <w:sz w:val="18"/>
          <w:szCs w:val="18"/>
          <w:color w:val="auto"/>
        </w:rPr>
        <w:t>As of June 30, 2025, we had total available liquidity of $1.12 billion, which consisted of cash and cash equivalents of $20.5 million (excluding $34.2 million held by TCA), available funds in our floor plan offset accounts of $297.7 million, $474.8 million of availability under our revolving credit facility and $323.1 million of availability under our used vehicle floor plan facility. The borrowing capacities under our revolving credit facility and our used vehicle revolving floor plan facility are limited by borrowing base calculations and, from time to time, may be further limited by our required compliance with certain financial covenants. As of June 30, 2025, these financial covenants did not further limit our availability under our other credit facilities.</w:t>
      </w:r>
    </w:p>
    <w:p>
      <w:pPr>
        <w:spacing w:after="0" w:line="133" w:lineRule="exact"/>
        <w:rPr>
          <w:sz w:val="20"/>
          <w:szCs w:val="20"/>
          <w:color w:val="auto"/>
        </w:rPr>
      </w:pPr>
    </w:p>
    <w:p>
      <w:pPr>
        <w:ind w:firstLine="276"/>
        <w:spacing w:after="0" w:line="249" w:lineRule="auto"/>
        <w:rPr>
          <w:sz w:val="20"/>
          <w:szCs w:val="20"/>
          <w:color w:val="auto"/>
        </w:rPr>
      </w:pPr>
      <w:r>
        <w:rPr>
          <w:rFonts w:ascii="Times New Roman" w:cs="Times New Roman" w:eastAsia="Times New Roman" w:hAnsi="Times New Roman"/>
          <w:sz w:val="18"/>
          <w:szCs w:val="18"/>
          <w:color w:val="auto"/>
        </w:rPr>
        <w:t>We continually evaluate our liquidity and capital resources based upon (i) our cash and cash equivalents on hand, (ii) the funds that we expect to generate through future operations, (iii) current and expected borrowing availability under our 2023 Senior Credit Facility, (iv) amounts in our new vehicle floor plan notes payable offset accounts, and (v) the potential impact of our capital allocation strategy and any contemplated or pending future transactions, including, but not limited to, financings, acquisitions, dispositions, equity and/or debt repurchases, dividends, or other capital expenditures. We believe we will have sufficient liquidity to meet our debt service and working capital requirements; commitments and contingencies; debt repayment, maturity and repurchase obligations; acquisitions; capital expenditures; and any operating requirements for at least the next twelve months and the foreseeable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63" w:lineRule="exact"/>
        <w:rPr>
          <w:sz w:val="20"/>
          <w:szCs w:val="20"/>
          <w:color w:val="auto"/>
        </w:rPr>
      </w:pPr>
    </w:p>
    <w:p>
      <w:pPr>
        <w:ind w:right="180" w:firstLine="276"/>
        <w:spacing w:after="0" w:line="268" w:lineRule="auto"/>
        <w:rPr>
          <w:sz w:val="20"/>
          <w:szCs w:val="20"/>
          <w:color w:val="auto"/>
        </w:rPr>
      </w:pPr>
      <w:r>
        <w:rPr>
          <w:rFonts w:ascii="Times New Roman" w:cs="Times New Roman" w:eastAsia="Times New Roman" w:hAnsi="Times New Roman"/>
          <w:sz w:val="18"/>
          <w:szCs w:val="18"/>
          <w:color w:val="auto"/>
        </w:rPr>
        <w:t>We are subject to a number of customary operating and other restrictive covenants in our various debt and lease agreements. We were in compliance with all of our covenants as of June 30,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Dividend Restrictions</w:t>
      </w:r>
    </w:p>
    <w:p>
      <w:pPr>
        <w:spacing w:after="0" w:line="163" w:lineRule="exact"/>
        <w:rPr>
          <w:sz w:val="20"/>
          <w:szCs w:val="20"/>
          <w:color w:val="auto"/>
        </w:rPr>
      </w:pPr>
    </w:p>
    <w:p>
      <w:pPr>
        <w:jc w:val="both"/>
        <w:ind w:right="120" w:firstLine="237"/>
        <w:spacing w:after="0" w:line="268" w:lineRule="auto"/>
        <w:rPr>
          <w:sz w:val="20"/>
          <w:szCs w:val="20"/>
          <w:color w:val="auto"/>
        </w:rPr>
      </w:pPr>
      <w:r>
        <w:rPr>
          <w:rFonts w:ascii="Times New Roman" w:cs="Times New Roman" w:eastAsia="Times New Roman" w:hAnsi="Times New Roman"/>
          <w:sz w:val="18"/>
          <w:szCs w:val="18"/>
          <w:color w:val="auto"/>
        </w:rPr>
        <w:t>Our ability to repurchase shares or pay dividends on our common stock is subject to our compliance with the covenants and restrictions in our various debt and lease agreements.</w:t>
      </w:r>
    </w:p>
    <w:p>
      <w:pPr>
        <w:spacing w:after="0" w:line="117" w:lineRule="exact"/>
        <w:rPr>
          <w:sz w:val="20"/>
          <w:szCs w:val="20"/>
          <w:color w:val="auto"/>
        </w:rPr>
      </w:pPr>
    </w:p>
    <w:p>
      <w:pPr>
        <w:jc w:val="both"/>
        <w:ind w:right="100" w:firstLine="237"/>
        <w:spacing w:after="0" w:line="256" w:lineRule="auto"/>
        <w:rPr>
          <w:sz w:val="20"/>
          <w:szCs w:val="20"/>
          <w:color w:val="auto"/>
        </w:rPr>
      </w:pPr>
      <w:r>
        <w:rPr>
          <w:rFonts w:ascii="Times New Roman" w:cs="Times New Roman" w:eastAsia="Times New Roman" w:hAnsi="Times New Roman"/>
          <w:sz w:val="18"/>
          <w:szCs w:val="18"/>
          <w:color w:val="auto"/>
        </w:rPr>
        <w:t>There were no share repurchases or retirements during the three and six months ended June 30, 2025 under our share repurchase program. During the three and six months ended June 30, 2024, the Company repurchased 192,599 and 432,389 shares of our common stock under our repurchase program for a total of $43.2 million and $93.2 million.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firstLine="237"/>
        <w:spacing w:after="0" w:line="250" w:lineRule="auto"/>
        <w:rPr>
          <w:sz w:val="20"/>
          <w:szCs w:val="20"/>
          <w:color w:val="auto"/>
        </w:rPr>
      </w:pPr>
      <w:r>
        <w:rPr>
          <w:rFonts w:ascii="Times New Roman" w:cs="Times New Roman" w:eastAsia="Times New Roman" w:hAnsi="Times New Roman"/>
          <w:sz w:val="18"/>
          <w:szCs w:val="18"/>
          <w:color w:val="auto"/>
        </w:rPr>
        <w:t>On May 15, 2024, the Company announced that its Board of Directors approved an increase of $256.2 million in the Company's common share repurchase authorization to $400.0 million (the "New Share Repurchase Authorization"). As of June 30, 2025, the Company had $275.9 million remaining on its share repurchase authorization.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w:t>
      </w:r>
    </w:p>
    <w:p>
      <w:pPr>
        <w:spacing w:after="0" w:line="133" w:lineRule="exact"/>
        <w:rPr>
          <w:sz w:val="20"/>
          <w:szCs w:val="20"/>
          <w:color w:val="auto"/>
        </w:rPr>
      </w:pPr>
    </w:p>
    <w:p>
      <w:pPr>
        <w:ind w:right="700" w:firstLine="237"/>
        <w:spacing w:after="0" w:line="26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repurchased 646 and 43,426 shares of our common stock for $0.2 million and $12.7 million, respectively, from employees in connection with a net share settlement feature of employee equity-based awards.</w:t>
      </w:r>
    </w:p>
    <w:p>
      <w:pPr>
        <w:spacing w:after="0" w:line="117" w:lineRule="exact"/>
        <w:rPr>
          <w:sz w:val="20"/>
          <w:szCs w:val="20"/>
          <w:color w:val="auto"/>
        </w:rPr>
      </w:pPr>
    </w:p>
    <w:p>
      <w:pPr>
        <w:ind w:right="660" w:firstLine="276"/>
        <w:spacing w:after="0" w:line="253"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repurchased 262 and 45,661 shares of our common stock for $0.1 million and $9.9 million, respectively, from employees in connection with a net share settlement feature of employee equity-based awards.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Cash Flows Associated with Floor Plan Notes Payable</w:t>
      </w:r>
    </w:p>
    <w:p>
      <w:pPr>
        <w:spacing w:after="0" w:line="163" w:lineRule="exact"/>
        <w:rPr>
          <w:sz w:val="20"/>
          <w:szCs w:val="20"/>
          <w:color w:val="auto"/>
        </w:rPr>
      </w:pPr>
    </w:p>
    <w:p>
      <w:pPr>
        <w:ind w:firstLine="276"/>
        <w:spacing w:after="0" w:line="246" w:lineRule="auto"/>
        <w:rPr>
          <w:sz w:val="20"/>
          <w:szCs w:val="20"/>
          <w:color w:val="auto"/>
        </w:rPr>
      </w:pPr>
      <w:r>
        <w:rPr>
          <w:rFonts w:ascii="Times New Roman" w:cs="Times New Roman" w:eastAsia="Times New Roman" w:hAnsi="Times New Roman"/>
          <w:sz w:val="18"/>
          <w:szCs w:val="18"/>
          <w:color w:val="auto"/>
        </w:rPr>
        <w:t>Borrowings and repayments of floor plan notes payable through our 2023 Senior Credit Facility ("Non-Trade"), and all floor plan notes payable relating to used vehicles (together referred to as "Floor Plan Notes Payable—Non-Trade"), are classified as financing activities on the accompanying condensed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on the accompanying condensed consolidated statements of cash flows. Borrowings of floor plan notes payable associated with inventory acquired in connection with all acquisitions and repayments made in connection with all divestitures are classified as a financing activity in the accompanying condensed consolidated statements of cash flows. Cash flows related 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2023 Senior Credit Facility that includes lenders affiliated with the manufacturers and lenders not affiliated with the manufacturers from which we purchased the related inventory. The majority of our floor plan notes are payable to our 2023 Senior Credit Facility, with the exception of floor plan notes payable relating to the financing of new Ford and Lincoln vehicles and certain loaner vehicle programs.</w:t>
      </w:r>
    </w:p>
    <w:p>
      <w:pPr>
        <w:spacing w:after="0" w:line="138" w:lineRule="exact"/>
        <w:rPr>
          <w:sz w:val="20"/>
          <w:szCs w:val="20"/>
          <w:color w:val="auto"/>
        </w:rPr>
      </w:pPr>
    </w:p>
    <w:p>
      <w:pPr>
        <w:ind w:right="40" w:firstLine="276"/>
        <w:spacing w:after="0" w:line="247" w:lineRule="auto"/>
        <w:rPr>
          <w:sz w:val="20"/>
          <w:szCs w:val="20"/>
          <w:color w:val="auto"/>
        </w:rPr>
      </w:pPr>
      <w:r>
        <w:rPr>
          <w:rFonts w:ascii="Times New Roman" w:cs="Times New Roman" w:eastAsia="Times New Roman" w:hAnsi="Times New Roman"/>
          <w:sz w:val="18"/>
          <w:szCs w:val="18"/>
          <w:color w:val="auto"/>
        </w:rPr>
        <w:t>Floor plan borrowings are required by all vehicle manufacturers for the purchase of new vehicles, and all floor plan lenders require amounts borrowed for the purchase of a vehicle to be repaid within a short time period after the related vehicle is sold. As a result, we believe that it is important to understand the relationship between the cash flows of all of our floor plan notes payable and new vehicle inventory in order to understand our working capital and operating cash flow and to be able to compare our operating cash flow to that of our competitors (i.e., if our competitors have a different mix of trade and non-trade floor plan financing as compared to us). In addition, we include all floor plan borrowings and repayments in our internal operating cash flow forecasts. As a result, we use the non-GAAP measure "Adjusted cash flow provided by operating activities" (defined below) to compare our results to forecasts. We believe that splitting the cash flows of floor plan notes payable between operating activities and financing activities, while all new vehicle inventory activity is included in operating activities, results in significantly different operating cash flow than if all the cash flows of floor plan notes payable were classified together in operating activities.</w:t>
      </w:r>
    </w:p>
    <w:p>
      <w:pPr>
        <w:spacing w:after="0" w:line="136" w:lineRule="exact"/>
        <w:rPr>
          <w:sz w:val="20"/>
          <w:szCs w:val="20"/>
          <w:color w:val="auto"/>
        </w:rPr>
      </w:pPr>
    </w:p>
    <w:p>
      <w:pPr>
        <w:ind w:right="180" w:firstLine="276"/>
        <w:spacing w:after="0" w:line="286" w:lineRule="auto"/>
        <w:rPr>
          <w:sz w:val="20"/>
          <w:szCs w:val="20"/>
          <w:color w:val="auto"/>
        </w:rPr>
      </w:pPr>
      <w:r>
        <w:rPr>
          <w:rFonts w:ascii="Times New Roman" w:cs="Times New Roman" w:eastAsia="Times New Roman" w:hAnsi="Times New Roman"/>
          <w:sz w:val="16"/>
          <w:szCs w:val="16"/>
          <w:color w:val="auto"/>
        </w:rPr>
        <w:t>Adjusted cash flow provided by operating activities includes borrowings and repayments of floor plan notes payable non-trade and used floor plan notes payable borrowing base changes. Adjusted cash flow provided by operating activities may not be comparable to similarly titled measures of other companies and should not be considered in isolation, or as a substitute for analysis of our operating results in accordance with GAAP. In order to compensate for these potential limitations, we also review the related GAAP measures. We believe that the adjustments related to cash flows associated with our used vehicle borrowing base, floor plan offset accounts and the impact of acquisitions and divestitures eliminates cash flow volatility and provides an adjusted operating cash flow metric that best reflects our results of operations and our management of inventory and related financing activities.</w:t>
      </w:r>
    </w:p>
    <w:p>
      <w:pPr>
        <w:spacing w:after="0" w:line="106" w:lineRule="exact"/>
        <w:rPr>
          <w:sz w:val="20"/>
          <w:szCs w:val="20"/>
          <w:color w:val="auto"/>
        </w:rPr>
      </w:pPr>
    </w:p>
    <w:p>
      <w:pPr>
        <w:ind w:right="120" w:firstLine="276"/>
        <w:spacing w:after="0" w:line="252" w:lineRule="auto"/>
        <w:rPr>
          <w:sz w:val="20"/>
          <w:szCs w:val="20"/>
          <w:color w:val="auto"/>
        </w:rPr>
      </w:pPr>
      <w:r>
        <w:rPr>
          <w:rFonts w:ascii="Times New Roman" w:cs="Times New Roman" w:eastAsia="Times New Roman" w:hAnsi="Times New Roman"/>
          <w:sz w:val="18"/>
          <w:szCs w:val="18"/>
          <w:color w:val="auto"/>
        </w:rPr>
        <w:t>We have provided below a reconciliation of cash flow provided by operating activities, as if all changes in floor plan notes payable, except for (i) borrowings associated with acquisitions and repayments associated with divestitures and (ii) borrowings and repayments associated with the purchase of used vehicle inventory and (iii) changes in the floor plan offset accounts were classified as an operating activity for both floor plan notes payable - non-trade and floor plan notes payable - trade.</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right="1160" w:hanging="433"/>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Reconciliation of cash provided by operating activities to cash provided by operating activities, as adjusted </w:t>
      </w:r>
      <w:r>
        <w:rPr>
          <w:rFonts w:ascii="Times New Roman" w:cs="Times New Roman" w:eastAsia="Times New Roman" w:hAnsi="Times New Roman"/>
          <w:sz w:val="18"/>
          <w:szCs w:val="18"/>
          <w:color w:val="auto"/>
        </w:rPr>
        <w:t>Cash provided by operating activities,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-282575</wp:posOffset>
            </wp:positionV>
            <wp:extent cx="7118985" cy="142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8985" cy="14224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Change in Floor Plan Notes Payable—Non-Trade,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18985" cy="142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8985" cy="142240"/>
                    </a:xfrm>
                    <a:prstGeom prst="rect">
                      <a:avLst/>
                    </a:prstGeom>
                    <a:noFill/>
                  </pic:spPr>
                </pic:pic>
              </a:graphicData>
            </a:graphic>
          </wp:anchor>
        </w:drawing>
      </w:r>
    </w:p>
    <w:p>
      <w:pPr>
        <w:ind w:left="860"/>
        <w:spacing w:after="0" w:line="228" w:lineRule="auto"/>
        <w:rPr>
          <w:sz w:val="20"/>
          <w:szCs w:val="20"/>
          <w:color w:val="auto"/>
        </w:rPr>
      </w:pPr>
      <w:r>
        <w:rPr>
          <w:rFonts w:ascii="Times New Roman" w:cs="Times New Roman" w:eastAsia="Times New Roman" w:hAnsi="Times New Roman"/>
          <w:sz w:val="18"/>
          <w:szCs w:val="18"/>
          <w:color w:val="auto"/>
        </w:rPr>
        <w:t>Change in Floor Plan Notes Payable—Non-Trade associated with floor plan offset, used vehicle borrowing base changes adjusted for acquisitions and divestitures</w:t>
      </w:r>
    </w:p>
    <w:p>
      <w:pPr>
        <w:spacing w:after="0" w:line="10" w:lineRule="exact"/>
        <w:rPr>
          <w:sz w:val="20"/>
          <w:szCs w:val="20"/>
          <w:color w:val="auto"/>
        </w:rPr>
      </w:pPr>
    </w:p>
    <w:p>
      <w:pPr>
        <w:ind w:left="860" w:right="360"/>
        <w:spacing w:after="0" w:line="231" w:lineRule="auto"/>
        <w:rPr>
          <w:sz w:val="20"/>
          <w:szCs w:val="20"/>
          <w:color w:val="auto"/>
        </w:rPr>
      </w:pPr>
      <w:r>
        <w:rPr>
          <w:rFonts w:ascii="Times New Roman" w:cs="Times New Roman" w:eastAsia="Times New Roman" w:hAnsi="Times New Roman"/>
          <w:sz w:val="18"/>
          <w:szCs w:val="18"/>
          <w:color w:val="auto"/>
        </w:rPr>
        <w:t>Change in Floor Plan Notes Payable—Trade associated with floor plan offset, adjusted for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118985" cy="259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8985" cy="25908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Adjusted cash flow provided by operating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100" w:right="20"/>
        <w:spacing w:after="0" w:line="239" w:lineRule="auto"/>
        <w:rPr>
          <w:sz w:val="20"/>
          <w:szCs w:val="20"/>
          <w:color w:val="auto"/>
        </w:rPr>
      </w:pPr>
      <w:r>
        <w:rPr>
          <w:rFonts w:ascii="Times New Roman" w:cs="Times New Roman" w:eastAsia="Times New Roman" w:hAnsi="Times New Roman"/>
          <w:sz w:val="16"/>
          <w:szCs w:val="16"/>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4789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ind w:left="400"/>
        <w:spacing w:after="0"/>
        <w:tabs>
          <w:tab w:leader="none" w:pos="160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14789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8"/>
        </w:trPr>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408"/>
        </w:trPr>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408"/>
        </w:trPr>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17"/>
        </w:trPr>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81" w:lineRule="exact"/>
        <w:rPr>
          <w:sz w:val="20"/>
          <w:szCs w:val="20"/>
          <w:color w:val="auto"/>
        </w:rPr>
      </w:pPr>
    </w:p>
    <w:p>
      <w:pPr>
        <w:sectPr>
          <w:pgSz w:w="11900" w:h="16838" w:orient="portrait"/>
          <w:cols w:equalWidth="0" w:num="2">
            <w:col w:w="8720" w:space="160"/>
            <w:col w:w="2360"/>
          </w:cols>
          <w:pgMar w:left="320" w:top="119" w:right="339" w:bottom="1440" w:gutter="0" w:footer="0" w:header="0"/>
        </w:sectPr>
      </w:pPr>
    </w:p>
    <w:p>
      <w:pPr>
        <w:ind w:right="20" w:firstLine="276"/>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totaled $316.4 million and $22.7 million, for the six months ended June 30, 2025 and 2024, respectively. Adjusted cash flow provided by operating activities totaled $334.0 million and $402.0 million, for the six months ended June 30, 2025 and 2024, respectively. Adjusted cash flow provided by operating activities includes net income, adjustments to reconcile net income to net cash provided by operating activities, changes in working capital, changes in used vehicle borrowing base, changes in floor plan notes payable—non-trade and trade, excluding the impact of offsets, and excluding operating cash flows associated with acquisitions and divestitures related to loaner vehicles and new vehicle inventories financed through floor plan notes payable—trade.</w:t>
      </w:r>
    </w:p>
    <w:p>
      <w:pPr>
        <w:spacing w:after="0" w:line="1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$68.0 million decrease in adjusted cash flow provided by operating activities for the six months ended June 30, 2025 compared to the six months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was primarily the result of the following:</w:t>
      </w:r>
    </w:p>
    <w:p>
      <w:pPr>
        <w:spacing w:after="0" w:line="144" w:lineRule="exact"/>
        <w:rPr>
          <w:sz w:val="20"/>
          <w:szCs w:val="20"/>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$19.8 million in net income and non-cash adjustments to net income;</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$162.3 million related to accounts payable and accrued liabilities; and</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$35.9 million in other current assets, net.</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decrease in our adjusted cash flow provided by operating activities was partially offset by:</w:t>
      </w:r>
    </w:p>
    <w:p>
      <w:pPr>
        <w:spacing w:after="0" w:line="161" w:lineRule="exact"/>
        <w:rPr>
          <w:sz w:val="20"/>
          <w:szCs w:val="20"/>
          <w:color w:val="auto"/>
        </w:rPr>
      </w:pPr>
    </w:p>
    <w:p>
      <w:pPr>
        <w:ind w:left="640" w:hanging="319"/>
        <w:spacing w:after="0" w:line="268"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$123.9 million in inventory, net of floor plan notes payable, including both trade and non-trade, excluding offset and including used vehicle borrowing base changes adjusted for acquisitions and divestitures;</w:t>
      </w:r>
    </w:p>
    <w:p>
      <w:pPr>
        <w:spacing w:after="0" w:line="116"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 million increase related to sales volume and the timing of collection of accounts receivable and contracts-in-transit during 2025 as compared to 2024; and</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million increase related to other long term assets and liabilities, net.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3" w:lineRule="exact"/>
        <w:rPr>
          <w:sz w:val="20"/>
          <w:szCs w:val="20"/>
          <w:color w:val="auto"/>
        </w:rPr>
      </w:pPr>
    </w:p>
    <w:p>
      <w:pPr>
        <w:ind w:right="80" w:firstLine="276"/>
        <w:spacing w:after="0" w:line="268" w:lineRule="auto"/>
        <w:rPr>
          <w:sz w:val="20"/>
          <w:szCs w:val="20"/>
          <w:color w:val="auto"/>
        </w:rPr>
      </w:pPr>
      <w:r>
        <w:rPr>
          <w:rFonts w:ascii="Times New Roman" w:cs="Times New Roman" w:eastAsia="Times New Roman" w:hAnsi="Times New Roman"/>
          <w:sz w:val="18"/>
          <w:szCs w:val="18"/>
          <w:color w:val="auto"/>
        </w:rPr>
        <w:t>Net cash provided by investing activities totaled $129.1 million for the six months ended June 30, 2025 compared to net cash used in investing activities of $18.0 million for the six months ended June 30, 2024.</w:t>
      </w:r>
    </w:p>
    <w:p>
      <w:pPr>
        <w:spacing w:after="0" w:line="117" w:lineRule="exact"/>
        <w:rPr>
          <w:sz w:val="20"/>
          <w:szCs w:val="20"/>
          <w:color w:val="auto"/>
        </w:rPr>
      </w:pPr>
    </w:p>
    <w:p>
      <w:pPr>
        <w:ind w:right="620" w:firstLine="276"/>
        <w:spacing w:after="0" w:line="268" w:lineRule="auto"/>
        <w:rPr>
          <w:sz w:val="20"/>
          <w:szCs w:val="20"/>
          <w:color w:val="auto"/>
        </w:rPr>
      </w:pPr>
      <w:r>
        <w:rPr>
          <w:rFonts w:ascii="Times New Roman" w:cs="Times New Roman" w:eastAsia="Times New Roman" w:hAnsi="Times New Roman"/>
          <w:sz w:val="18"/>
          <w:szCs w:val="18"/>
          <w:color w:val="auto"/>
        </w:rPr>
        <w:t>Capital expenditures, excluding the purchase of real estate, were $59.5 million and $65.4 million for the six months ended June 30, 2025 and 2024, respectively.</w:t>
      </w:r>
    </w:p>
    <w:p>
      <w:pPr>
        <w:spacing w:after="0" w:line="117" w:lineRule="exact"/>
        <w:rPr>
          <w:sz w:val="20"/>
          <w:szCs w:val="20"/>
          <w:color w:val="auto"/>
        </w:rPr>
      </w:pPr>
    </w:p>
    <w:p>
      <w:pPr>
        <w:ind w:right="100" w:firstLine="276"/>
        <w:spacing w:after="0" w:line="268" w:lineRule="auto"/>
        <w:rPr>
          <w:sz w:val="20"/>
          <w:szCs w:val="20"/>
          <w:color w:val="auto"/>
        </w:rPr>
      </w:pPr>
      <w:r>
        <w:rPr>
          <w:rFonts w:ascii="Times New Roman" w:cs="Times New Roman" w:eastAsia="Times New Roman" w:hAnsi="Times New Roman"/>
          <w:sz w:val="18"/>
          <w:szCs w:val="18"/>
          <w:color w:val="auto"/>
        </w:rPr>
        <w:t>During the six months ended June 30, 2024, we acquired real estate properties for $67.4 million and also purchased previously leased real estate properties for $11.9 million. We did not acquire real estate properties during the six months ended June 30, 2025.</w:t>
      </w:r>
    </w:p>
    <w:p>
      <w:pPr>
        <w:spacing w:after="0" w:line="117" w:lineRule="exact"/>
        <w:rPr>
          <w:sz w:val="20"/>
          <w:szCs w:val="20"/>
          <w:color w:val="auto"/>
        </w:rPr>
      </w:pPr>
    </w:p>
    <w:p>
      <w:pPr>
        <w:ind w:right="60" w:firstLine="276"/>
        <w:spacing w:after="0" w:line="249" w:lineRule="auto"/>
        <w:rPr>
          <w:sz w:val="20"/>
          <w:szCs w:val="20"/>
          <w:color w:val="auto"/>
        </w:rPr>
      </w:pPr>
      <w:r>
        <w:rPr>
          <w:rFonts w:ascii="Times New Roman" w:cs="Times New Roman" w:eastAsia="Times New Roman" w:hAnsi="Times New Roman"/>
          <w:sz w:val="18"/>
          <w:szCs w:val="18"/>
          <w:color w:val="auto"/>
        </w:rPr>
        <w:t>During the six months ended June 30, 2025, we sold two Toyota franchises (two dealership locations) in San Diego, California, and Los Angeles, California, one Nissan franchise (one dealership location) in Denver, Colorado, one Volvo franchise in Greenville, South Carolina, and three franchises in Salt Lake City, Utah, comprising one Chevrolet franchise (one dealership location), one Chrysler Jeep Dodge Ram franchise (one dealership location) and one Ford franchise (one dealership location) for proceeds of $222.3 million. During the six months ended June 30, 2024, we sold one Lexus franchise (one dealership location) in Wilmington, Delaware, one Nissan franchise (one dealership location) in Denver, Colorado, and one Nissan franchise (one dealership location) in Atlanta, Georgia, for an aggregate purchase price of $149.3 million.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 purchased $97.9 million and $39.4 million of debt securities during the six months ended June 30, 2025 and 2024, respectively.</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received proceeds of $64.2 million and $21.5 million from the sale of debt securities during the six months ended June 30, 2025 and 2024, respectively.</w:t>
      </w:r>
    </w:p>
    <w:p>
      <w:pPr>
        <w:spacing w:after="0" w:line="184" w:lineRule="exact"/>
        <w:rPr>
          <w:sz w:val="20"/>
          <w:szCs w:val="20"/>
          <w:color w:val="auto"/>
        </w:rPr>
      </w:pPr>
    </w:p>
    <w:p>
      <w:pPr>
        <w:ind w:right="260" w:firstLine="276"/>
        <w:spacing w:after="0" w:line="252" w:lineRule="auto"/>
        <w:rPr>
          <w:sz w:val="20"/>
          <w:szCs w:val="20"/>
          <w:color w:val="auto"/>
        </w:rPr>
      </w:pPr>
      <w:r>
        <w:rPr>
          <w:rFonts w:ascii="Times New Roman" w:cs="Times New Roman" w:eastAsia="Times New Roman" w:hAnsi="Times New Roman"/>
          <w:sz w:val="18"/>
          <w:szCs w:val="18"/>
          <w:color w:val="auto"/>
        </w:rPr>
        <w:t>We expect that capital expenditures during 2025 will total approximately $273.1 million to upgrade or replace our existing facilities, construct new facilities, expand our service capacity, and invest in technology and equipment. In addition, as part of our capital allocation strategy, we continually evaluate opportunities to purchase properties currently under lease and acquire properties in connection with future dealership relocations. No assurances can be provided that we will have or be able to access capital at times or on terms in amounts deemed necessary to execute this strategy.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3" w:lineRule="exact"/>
        <w:rPr>
          <w:sz w:val="20"/>
          <w:szCs w:val="20"/>
          <w:color w:val="auto"/>
        </w:rPr>
      </w:pPr>
    </w:p>
    <w:p>
      <w:pPr>
        <w:ind w:right="220" w:firstLine="276"/>
        <w:spacing w:after="0" w:line="268" w:lineRule="auto"/>
        <w:rPr>
          <w:sz w:val="20"/>
          <w:szCs w:val="20"/>
          <w:color w:val="auto"/>
        </w:rPr>
      </w:pPr>
      <w:r>
        <w:rPr>
          <w:rFonts w:ascii="Times New Roman" w:cs="Times New Roman" w:eastAsia="Times New Roman" w:hAnsi="Times New Roman"/>
          <w:sz w:val="18"/>
          <w:szCs w:val="18"/>
          <w:color w:val="auto"/>
        </w:rPr>
        <w:t>Net cash used in financing activities totaled $460.1 million for the six months ended June 30, 2025 compared to net cash provided by financing activities totaled $16.7 million for the six months ended June 30, 2024.</w:t>
      </w:r>
    </w:p>
    <w:p>
      <w:pPr>
        <w:spacing w:after="0" w:line="117" w:lineRule="exact"/>
        <w:rPr>
          <w:sz w:val="20"/>
          <w:szCs w:val="20"/>
          <w:color w:val="auto"/>
        </w:rPr>
      </w:pPr>
    </w:p>
    <w:p>
      <w:pPr>
        <w:ind w:right="40" w:firstLine="276"/>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and 2024, we had non-trade floor plan borrowings, excluding floor plan borrowings associated with acquisitions, of $4.51 billion and $4.83 billion, respectively, and non-trade floor plan repayments, excluding floor plan repayments associated with divestitures, of $4.82 billion and $5.08 billion, respectively.</w:t>
      </w:r>
    </w:p>
    <w:p>
      <w:pPr>
        <w:spacing w:after="0" w:line="127" w:lineRule="exact"/>
        <w:rPr>
          <w:sz w:val="20"/>
          <w:szCs w:val="20"/>
          <w:color w:val="auto"/>
        </w:rPr>
      </w:pPr>
    </w:p>
    <w:p>
      <w:pPr>
        <w:ind w:right="120" w:firstLine="276"/>
        <w:spacing w:after="0" w:line="268" w:lineRule="auto"/>
        <w:rPr>
          <w:sz w:val="20"/>
          <w:szCs w:val="20"/>
          <w:color w:val="auto"/>
        </w:rPr>
      </w:pPr>
      <w:r>
        <w:rPr>
          <w:rFonts w:ascii="Times New Roman" w:cs="Times New Roman" w:eastAsia="Times New Roman" w:hAnsi="Times New Roman"/>
          <w:sz w:val="18"/>
          <w:szCs w:val="18"/>
          <w:color w:val="auto"/>
        </w:rPr>
        <w:t>During the six months ended June 30, 2025 and 2024, we had non-trade floor plan repayments associated with dealership divestitures of $41.8 million and $26.1 million, respectively.</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Repayments of borrowings totaled $98.2 million and $37.6 million for the six months ended June 30, 2025 and 2024, respectively.</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were $602.7 million borrowings and $602.7 million repayments under our revolving credit facility during the six months ended June 30, 2025.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there were $1.01 billion borrowings and $582.8 million repayments under our revolving credit facility.</w:t>
      </w:r>
    </w:p>
    <w:p>
      <w:pPr>
        <w:spacing w:after="0" w:line="144" w:lineRule="exact"/>
        <w:rPr>
          <w:sz w:val="20"/>
          <w:szCs w:val="20"/>
          <w:color w:val="auto"/>
        </w:rPr>
      </w:pPr>
    </w:p>
    <w:p>
      <w:pPr>
        <w:ind w:right="80" w:firstLine="237"/>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2025, we repurchased 43,426 shares of our common stock for $12.7 million from employees in connection with a net share settlement feature of employee equity-based awards. During the six months ended June 30, 2024, we repurchased 432,389 shares of our common stock under our share repurchase program for a total of $93.2 million and repurchased 45,661 shares of our common stock for $9.9 million from employees in connection with a net share settlement feature of employee equity-based awards.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63" w:lineRule="exact"/>
        <w:rPr>
          <w:sz w:val="20"/>
          <w:szCs w:val="20"/>
          <w:color w:val="auto"/>
        </w:rPr>
      </w:pPr>
    </w:p>
    <w:p>
      <w:pPr>
        <w:ind w:right="120" w:firstLine="276"/>
        <w:spacing w:after="0" w:line="268" w:lineRule="auto"/>
        <w:rPr>
          <w:sz w:val="20"/>
          <w:szCs w:val="20"/>
          <w:color w:val="auto"/>
        </w:rPr>
      </w:pPr>
      <w:r>
        <w:rPr>
          <w:rFonts w:ascii="Times New Roman" w:cs="Times New Roman" w:eastAsia="Times New Roman" w:hAnsi="Times New Roman"/>
          <w:sz w:val="18"/>
          <w:szCs w:val="18"/>
          <w:color w:val="auto"/>
        </w:rPr>
        <w:t>We had no off balance sheet arrangements during any of the periods presented other than those disclosed in Note 13 "Commitments and Contingencies" of the Company's condensed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Financial Information</w:t>
      </w:r>
    </w:p>
    <w:p>
      <w:pPr>
        <w:spacing w:after="0" w:line="163" w:lineRule="exact"/>
        <w:rPr>
          <w:sz w:val="20"/>
          <w:szCs w:val="20"/>
          <w:color w:val="auto"/>
        </w:rPr>
      </w:pPr>
    </w:p>
    <w:p>
      <w:pPr>
        <w:ind w:right="20" w:firstLine="276"/>
        <w:spacing w:after="0" w:line="249" w:lineRule="auto"/>
        <w:rPr>
          <w:sz w:val="20"/>
          <w:szCs w:val="20"/>
          <w:color w:val="auto"/>
        </w:rPr>
      </w:pPr>
      <w:r>
        <w:rPr>
          <w:rFonts w:ascii="Times New Roman" w:cs="Times New Roman" w:eastAsia="Times New Roman" w:hAnsi="Times New Roman"/>
          <w:sz w:val="18"/>
          <w:szCs w:val="18"/>
          <w:color w:val="auto"/>
        </w:rPr>
        <w:t>As of June 30, 2025, the Company had outstanding $405.0 million of 4.500% Senior Notes due 2028 and $445.0 million of 4.750% Senior Notes due 2030. The Senior Notes have been fully and unconditionally guaranteed, jointly and severally, on a senior unsecured basis, by each existing and future restricted subsidiary of the Company (the “Guarantor Subsidiaries”), with the exception of Landcar Administration Company, Landcar Agency, Inc. and Landcar Casualty Company and their respective subsidiaries (collectively, the “TCA Non-Guarantor Subsidiaries"). The 2028 Notes and the 2030 Notes were required to be registered under the Securities Act of 1933 within 270 days of the closing date for the offering of each respective series. The Company completed the registration of the 2028 Notes and 2030 Notes in October 2020.</w:t>
      </w:r>
    </w:p>
    <w:p>
      <w:pPr>
        <w:spacing w:after="0" w:line="133" w:lineRule="exact"/>
        <w:rPr>
          <w:sz w:val="20"/>
          <w:szCs w:val="20"/>
          <w:color w:val="auto"/>
        </w:rPr>
      </w:pPr>
    </w:p>
    <w:p>
      <w:pPr>
        <w:jc w:val="both"/>
        <w:ind w:firstLine="276"/>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Company and the Guarantor Subsidiaries on a combined basis after elimination of (i) intercompany transactions and balances among Asbury and the Guarantor Subsidiaries and (ii) assets, liabilities, and equity in earnings from and investments in any non-guarantor subsidiaries.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 Data of Asbury and Guarantor Subsidiaries</w:t>
            </w:r>
          </w:p>
        </w:tc>
        <w:tc>
          <w:tcPr>
            <w:tcW w:w="220" w:type="dxa"/>
            <w:vAlign w:val="bottom"/>
          </w:tcPr>
          <w:p>
            <w:pPr>
              <w:spacing w:after="0"/>
              <w:rPr>
                <w:sz w:val="24"/>
                <w:szCs w:val="24"/>
                <w:color w:val="auto"/>
              </w:rPr>
            </w:pPr>
          </w:p>
        </w:tc>
        <w:tc>
          <w:tcPr>
            <w:tcW w:w="2000" w:type="dxa"/>
            <w:vAlign w:val="bottom"/>
            <w:gridSpan w:val="2"/>
            <w:vMerge w:val="restart"/>
          </w:tcPr>
          <w:p>
            <w:pPr>
              <w:ind w:left="15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vMerge w:val="continue"/>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6"/>
              </w:rPr>
              <w:t>December 31, 2024</w:t>
            </w: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3"/>
          </w:tcPr>
          <w:p>
            <w:pPr>
              <w:jc w:val="right"/>
              <w:ind w:right="139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24"/>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2,915.9</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2,927.7</w:t>
            </w:r>
          </w:p>
        </w:tc>
        <w:tc>
          <w:tcPr>
            <w:tcW w:w="0" w:type="dxa"/>
            <w:vAlign w:val="bottom"/>
          </w:tcPr>
          <w:p>
            <w:pPr>
              <w:spacing w:after="0"/>
              <w:rPr>
                <w:sz w:val="1"/>
                <w:szCs w:val="1"/>
                <w:color w:val="auto"/>
              </w:rPr>
            </w:pPr>
          </w:p>
        </w:tc>
      </w:tr>
      <w:tr>
        <w:trPr>
          <w:trHeight w:val="224"/>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 - affiliates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4"/>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6,416.9</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c>
          <w:tcPr>
            <w:tcW w:w="0" w:type="dxa"/>
            <w:vAlign w:val="bottom"/>
          </w:tcPr>
          <w:p>
            <w:pPr>
              <w:spacing w:after="0"/>
              <w:rPr>
                <w:sz w:val="1"/>
                <w:szCs w:val="1"/>
                <w:color w:val="auto"/>
              </w:rPr>
            </w:pPr>
          </w:p>
        </w:tc>
      </w:tr>
      <w:tr>
        <w:trPr>
          <w:trHeight w:val="263"/>
        </w:trPr>
        <w:tc>
          <w:tcPr>
            <w:tcW w:w="736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0" w:type="dxa"/>
            <w:vAlign w:val="bottom"/>
          </w:tcPr>
          <w:p>
            <w:pPr>
              <w:spacing w:after="0"/>
              <w:rPr>
                <w:sz w:val="1"/>
                <w:szCs w:val="1"/>
                <w:color w:val="auto"/>
              </w:rPr>
            </w:pPr>
          </w:p>
        </w:tc>
      </w:tr>
      <w:tr>
        <w:trPr>
          <w:trHeight w:val="224"/>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 - affiliates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4"/>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3,453.1</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3,522.5</w:t>
            </w:r>
          </w:p>
        </w:tc>
        <w:tc>
          <w:tcPr>
            <w:tcW w:w="0" w:type="dxa"/>
            <w:vAlign w:val="bottom"/>
          </w:tcPr>
          <w:p>
            <w:pPr>
              <w:spacing w:after="0"/>
              <w:rPr>
                <w:sz w:val="1"/>
                <w:szCs w:val="1"/>
                <w:color w:val="auto"/>
              </w:rPr>
            </w:pPr>
          </w:p>
        </w:tc>
      </w:tr>
      <w:tr>
        <w:trPr>
          <w:trHeight w:val="513"/>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Summarized Statement of Operations Data for Asbury and Guarantor Subsidiaries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3"/>
          </w:tcPr>
          <w:p>
            <w:pPr>
              <w:jc w:val="right"/>
              <w:ind w:right="129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24"/>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8,413.4</w:t>
            </w:r>
          </w:p>
        </w:tc>
        <w:tc>
          <w:tcPr>
            <w:tcW w:w="0" w:type="dxa"/>
            <w:vAlign w:val="bottom"/>
          </w:tcPr>
          <w:p>
            <w:pPr>
              <w:spacing w:after="0"/>
              <w:rPr>
                <w:sz w:val="1"/>
                <w:szCs w:val="1"/>
                <w:color w:val="auto"/>
              </w:rPr>
            </w:pPr>
          </w:p>
        </w:tc>
      </w:tr>
      <w:tr>
        <w:trPr>
          <w:trHeight w:val="224"/>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620" w:type="dxa"/>
            <w:vAlign w:val="bottom"/>
          </w:tcPr>
          <w:p>
            <w:pPr>
              <w:jc w:val="right"/>
              <w:ind w:right="14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1,447.3</w:t>
            </w:r>
          </w:p>
        </w:tc>
        <w:tc>
          <w:tcPr>
            <w:tcW w:w="0" w:type="dxa"/>
            <w:vAlign w:val="bottom"/>
          </w:tcPr>
          <w:p>
            <w:pPr>
              <w:spacing w:after="0"/>
              <w:rPr>
                <w:sz w:val="1"/>
                <w:szCs w:val="1"/>
                <w:color w:val="auto"/>
              </w:rPr>
            </w:pPr>
          </w:p>
        </w:tc>
      </w:tr>
      <w:tr>
        <w:trPr>
          <w:trHeight w:val="224"/>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228"/>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620" w:type="dxa"/>
            <w:vAlign w:val="bottom"/>
          </w:tcPr>
          <w:p>
            <w:pPr>
              <w:jc w:val="right"/>
              <w:ind w:right="14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0" w:lineRule="exact"/>
        <w:rPr>
          <w:sz w:val="20"/>
          <w:szCs w:val="20"/>
          <w:color w:val="auto"/>
        </w:rPr>
      </w:pPr>
    </w:p>
    <w:p>
      <w:pPr>
        <w:ind w:right="180" w:firstLine="237"/>
        <w:spacing w:after="0" w:line="268"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December 31, 2024. Our critical accounting policies and estimates have not changed materially during the six months ended June 30,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3" w:lineRule="exact"/>
        <w:rPr>
          <w:sz w:val="20"/>
          <w:szCs w:val="20"/>
          <w:color w:val="auto"/>
        </w:rPr>
      </w:pPr>
    </w:p>
    <w:p>
      <w:pPr>
        <w:ind w:right="480" w:firstLine="276"/>
        <w:spacing w:after="0" w:line="303" w:lineRule="auto"/>
        <w:rPr>
          <w:sz w:val="20"/>
          <w:szCs w:val="20"/>
          <w:color w:val="auto"/>
        </w:rPr>
      </w:pPr>
      <w:r>
        <w:rPr>
          <w:rFonts w:ascii="Times New Roman" w:cs="Times New Roman" w:eastAsia="Times New Roman" w:hAnsi="Times New Roman"/>
          <w:sz w:val="16"/>
          <w:szCs w:val="16"/>
          <w:color w:val="auto"/>
        </w:rPr>
        <w:t>We are exposed to risk from changes in interest rates on a significant portion of our outstanding indebtedness. Based on $1.28 billion of total variable interest rate debt, which includes our floor plan notes payable, amounts drawn on our used vehicle floor plan, revolver and certain mortgage liabilities, outstanding as of June 30, 2025, a 100 basis point change in interest rates would result in a change of $12.8 million in annual interest expense.</w:t>
      </w:r>
    </w:p>
    <w:p>
      <w:pPr>
        <w:spacing w:after="0" w:line="93" w:lineRule="exact"/>
        <w:rPr>
          <w:sz w:val="20"/>
          <w:szCs w:val="20"/>
          <w:color w:val="auto"/>
        </w:rPr>
      </w:pPr>
    </w:p>
    <w:p>
      <w:pPr>
        <w:ind w:right="40" w:firstLine="276"/>
        <w:spacing w:after="0" w:line="252" w:lineRule="auto"/>
        <w:rPr>
          <w:sz w:val="20"/>
          <w:szCs w:val="20"/>
          <w:color w:val="auto"/>
        </w:rPr>
      </w:pPr>
      <w:r>
        <w:rPr>
          <w:rFonts w:ascii="Times New Roman" w:cs="Times New Roman" w:eastAsia="Times New Roman" w:hAnsi="Times New Roman"/>
          <w:sz w:val="18"/>
          <w:szCs w:val="18"/>
          <w:color w:val="auto"/>
        </w:rPr>
        <w:t>We periodically receive floor plan assistance from certain automobile manufacturers, which is primarily accounted for as a reduction in our new vehicle inventory cost. Floor plan assistance reduced our cost of sales for the six months ended June 30, 2025 and 2024 by $54.0 million and $46.3 million, respectively. We cannot provide assurance as to the future amount of floor plan assistance and these amounts may be negatively impacted due to future changes in interest rates.</w:t>
      </w:r>
    </w:p>
    <w:p>
      <w:pPr>
        <w:spacing w:after="0" w:line="131" w:lineRule="exact"/>
        <w:rPr>
          <w:sz w:val="20"/>
          <w:szCs w:val="20"/>
          <w:color w:val="auto"/>
        </w:rPr>
      </w:pPr>
    </w:p>
    <w:p>
      <w:pPr>
        <w:ind w:firstLine="276"/>
        <w:spacing w:after="0" w:line="268" w:lineRule="auto"/>
        <w:rPr>
          <w:sz w:val="20"/>
          <w:szCs w:val="20"/>
          <w:color w:val="auto"/>
        </w:rPr>
      </w:pPr>
      <w:r>
        <w:rPr>
          <w:rFonts w:ascii="Times New Roman" w:cs="Times New Roman" w:eastAsia="Times New Roman" w:hAnsi="Times New Roman"/>
          <w:sz w:val="18"/>
          <w:szCs w:val="18"/>
          <w:color w:val="auto"/>
        </w:rPr>
        <w:t>As part of our strategy to mitigate our exposure to fluctuations in interest rates, we have various interest rate swap agreements. All of our interest rate swaps qualify for cash flow hedge accounting treatment and do not contain any ineffectiveness.</w:t>
      </w:r>
    </w:p>
    <w:p>
      <w:pPr>
        <w:spacing w:after="0" w:line="117" w:lineRule="exact"/>
        <w:rPr>
          <w:sz w:val="20"/>
          <w:szCs w:val="20"/>
          <w:color w:val="auto"/>
        </w:rPr>
      </w:pPr>
    </w:p>
    <w:p>
      <w:pPr>
        <w:ind w:right="300" w:firstLine="276"/>
        <w:spacing w:after="0" w:line="268" w:lineRule="auto"/>
        <w:rPr>
          <w:sz w:val="20"/>
          <w:szCs w:val="20"/>
          <w:color w:val="auto"/>
        </w:rPr>
      </w:pPr>
      <w:r>
        <w:rPr>
          <w:rFonts w:ascii="Times New Roman" w:cs="Times New Roman" w:eastAsia="Times New Roman" w:hAnsi="Times New Roman"/>
          <w:sz w:val="18"/>
          <w:szCs w:val="18"/>
          <w:color w:val="auto"/>
        </w:rPr>
        <w:t>As of June 30, 2025 we had five interest rate swap agreements. These swaps are designed to provide a hedge against changes in variable rate cash flows regarding fluctuations in SOFR. The following table provides information on the attributes of each swap as of June 30,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Inception Date</w:t>
            </w: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Notional Principal at Inception</w:t>
            </w:r>
          </w:p>
        </w:tc>
        <w:tc>
          <w:tcPr>
            <w:tcW w:w="400" w:type="dxa"/>
            <w:vAlign w:val="bottom"/>
          </w:tcPr>
          <w:p>
            <w:pPr>
              <w:spacing w:after="0"/>
              <w:rPr>
                <w:sz w:val="18"/>
                <w:szCs w:val="18"/>
                <w:color w:val="auto"/>
              </w:rPr>
            </w:pPr>
          </w:p>
        </w:tc>
        <w:tc>
          <w:tcPr>
            <w:tcW w:w="186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Notional Value</w:t>
            </w: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Notional Principal at Maturity</w:t>
            </w:r>
          </w:p>
        </w:tc>
        <w:tc>
          <w:tcPr>
            <w:tcW w:w="204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r>
      <w:tr>
        <w:trPr>
          <w:trHeight w:val="205"/>
        </w:trPr>
        <w:tc>
          <w:tcPr>
            <w:tcW w:w="2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r>
      <w:tr>
        <w:trPr>
          <w:trHeight w:val="225"/>
        </w:trPr>
        <w:tc>
          <w:tcPr>
            <w:tcW w:w="2260" w:type="dxa"/>
            <w:vAlign w:val="bottom"/>
            <w:gridSpan w:val="2"/>
            <w:shd w:val="clear" w:color="auto" w:fill="BFE4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January 2022</w:t>
            </w:r>
          </w:p>
        </w:tc>
        <w:tc>
          <w:tcPr>
            <w:tcW w:w="900" w:type="dxa"/>
            <w:vAlign w:val="bottom"/>
            <w:shd w:val="clear" w:color="auto" w:fill="BFE4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c>
          <w:tcPr>
            <w:tcW w:w="400" w:type="dxa"/>
            <w:vAlign w:val="bottom"/>
            <w:shd w:val="clear" w:color="auto" w:fill="BFE4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251.3</w:t>
            </w:r>
          </w:p>
        </w:tc>
        <w:tc>
          <w:tcPr>
            <w:tcW w:w="980" w:type="dxa"/>
            <w:vAlign w:val="bottom"/>
            <w:shd w:val="clear" w:color="auto" w:fill="BFE4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BFE4FF"/>
          </w:tcPr>
          <w:p>
            <w:pPr>
              <w:spacing w:after="0"/>
              <w:rPr>
                <w:sz w:val="19"/>
                <w:szCs w:val="19"/>
                <w:color w:val="auto"/>
              </w:rPr>
            </w:pPr>
          </w:p>
        </w:tc>
        <w:tc>
          <w:tcPr>
            <w:tcW w:w="2040" w:type="dxa"/>
            <w:vAlign w:val="bottom"/>
            <w:shd w:val="clear" w:color="auto" w:fill="BFE4FF"/>
          </w:tcPr>
          <w:p>
            <w:pPr>
              <w:jc w:val="center"/>
              <w:ind w:left="74"/>
              <w:spacing w:after="0"/>
              <w:rPr>
                <w:sz w:val="20"/>
                <w:szCs w:val="20"/>
                <w:color w:val="auto"/>
              </w:rPr>
            </w:pPr>
            <w:r>
              <w:rPr>
                <w:rFonts w:ascii="Times New Roman" w:cs="Times New Roman" w:eastAsia="Times New Roman" w:hAnsi="Times New Roman"/>
                <w:sz w:val="18"/>
                <w:szCs w:val="18"/>
                <w:color w:val="auto"/>
                <w:w w:val="97"/>
              </w:rPr>
              <w:t>December 2026</w:t>
            </w:r>
          </w:p>
        </w:tc>
      </w:tr>
      <w:tr>
        <w:trPr>
          <w:trHeight w:val="224"/>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January 2022</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250.0</w:t>
            </w:r>
          </w:p>
        </w:tc>
        <w:tc>
          <w:tcPr>
            <w:tcW w:w="9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204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7"/>
              </w:rPr>
              <w:t>December 2031</w:t>
            </w:r>
          </w:p>
        </w:tc>
      </w:tr>
      <w:tr>
        <w:trPr>
          <w:trHeight w:val="224"/>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2021</w:t>
            </w:r>
          </w:p>
        </w:tc>
        <w:tc>
          <w:tcPr>
            <w:tcW w:w="900" w:type="dxa"/>
            <w:vAlign w:val="bottom"/>
            <w:shd w:val="clear" w:color="auto" w:fill="BFE4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184.4</w:t>
            </w:r>
          </w:p>
        </w:tc>
        <w:tc>
          <w:tcPr>
            <w:tcW w:w="400" w:type="dxa"/>
            <w:vAlign w:val="bottom"/>
            <w:shd w:val="clear" w:color="auto" w:fill="BFE4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154.9</w:t>
            </w:r>
          </w:p>
        </w:tc>
        <w:tc>
          <w:tcPr>
            <w:tcW w:w="980" w:type="dxa"/>
            <w:vAlign w:val="bottom"/>
            <w:shd w:val="clear" w:color="auto" w:fill="BFE4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BFE4FF"/>
          </w:tcPr>
          <w:p>
            <w:pPr>
              <w:spacing w:after="0"/>
              <w:rPr>
                <w:sz w:val="19"/>
                <w:szCs w:val="19"/>
                <w:color w:val="auto"/>
              </w:rPr>
            </w:pPr>
          </w:p>
        </w:tc>
        <w:tc>
          <w:tcPr>
            <w:tcW w:w="2040" w:type="dxa"/>
            <w:vAlign w:val="bottom"/>
            <w:shd w:val="clear" w:color="auto" w:fill="BFE4FF"/>
          </w:tcPr>
          <w:p>
            <w:pPr>
              <w:jc w:val="center"/>
              <w:ind w:left="74"/>
              <w:spacing w:after="0"/>
              <w:rPr>
                <w:sz w:val="20"/>
                <w:szCs w:val="20"/>
                <w:color w:val="auto"/>
              </w:rPr>
            </w:pPr>
            <w:r>
              <w:rPr>
                <w:rFonts w:ascii="Times New Roman" w:cs="Times New Roman" w:eastAsia="Times New Roman" w:hAnsi="Times New Roman"/>
                <w:sz w:val="18"/>
                <w:szCs w:val="18"/>
                <w:color w:val="auto"/>
                <w:w w:val="97"/>
              </w:rPr>
              <w:t>May 2031</w:t>
            </w:r>
          </w:p>
        </w:tc>
      </w:tr>
      <w:tr>
        <w:trPr>
          <w:trHeight w:val="224"/>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2020</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93.5</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68.4</w:t>
            </w:r>
          </w:p>
        </w:tc>
        <w:tc>
          <w:tcPr>
            <w:tcW w:w="9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204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7"/>
              </w:rPr>
              <w:t>December 2028</w:t>
            </w:r>
          </w:p>
        </w:tc>
      </w:tr>
      <w:tr>
        <w:trPr>
          <w:trHeight w:val="224"/>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2020</w:t>
            </w:r>
          </w:p>
        </w:tc>
        <w:tc>
          <w:tcPr>
            <w:tcW w:w="900" w:type="dxa"/>
            <w:vAlign w:val="bottom"/>
            <w:shd w:val="clear" w:color="auto" w:fill="BFE4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85.5</w:t>
            </w:r>
          </w:p>
        </w:tc>
        <w:tc>
          <w:tcPr>
            <w:tcW w:w="400" w:type="dxa"/>
            <w:vAlign w:val="bottom"/>
            <w:shd w:val="clear" w:color="auto" w:fill="BFE4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60.0</w:t>
            </w:r>
          </w:p>
        </w:tc>
        <w:tc>
          <w:tcPr>
            <w:tcW w:w="980" w:type="dxa"/>
            <w:vAlign w:val="bottom"/>
            <w:shd w:val="clear" w:color="auto" w:fill="BFE4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BFE4FF"/>
          </w:tcPr>
          <w:p>
            <w:pPr>
              <w:spacing w:after="0"/>
              <w:rPr>
                <w:sz w:val="19"/>
                <w:szCs w:val="19"/>
                <w:color w:val="auto"/>
              </w:rPr>
            </w:pPr>
          </w:p>
        </w:tc>
        <w:tc>
          <w:tcPr>
            <w:tcW w:w="2040" w:type="dxa"/>
            <w:vAlign w:val="bottom"/>
            <w:shd w:val="clear" w:color="auto" w:fill="BFE4FF"/>
          </w:tcPr>
          <w:p>
            <w:pPr>
              <w:jc w:val="center"/>
              <w:ind w:left="54"/>
              <w:spacing w:after="0"/>
              <w:rPr>
                <w:sz w:val="20"/>
                <w:szCs w:val="20"/>
                <w:color w:val="auto"/>
              </w:rPr>
            </w:pPr>
            <w:r>
              <w:rPr>
                <w:rFonts w:ascii="Times New Roman" w:cs="Times New Roman" w:eastAsia="Times New Roman" w:hAnsi="Times New Roman"/>
                <w:sz w:val="18"/>
                <w:szCs w:val="18"/>
                <w:color w:val="auto"/>
                <w:w w:val="97"/>
              </w:rPr>
              <w:t>November 2025</w:t>
            </w:r>
          </w:p>
        </w:tc>
      </w:tr>
    </w:tbl>
    <w:p>
      <w:pPr>
        <w:spacing w:after="0" w:line="232" w:lineRule="exact"/>
        <w:rPr>
          <w:sz w:val="20"/>
          <w:szCs w:val="20"/>
          <w:color w:val="auto"/>
        </w:rPr>
      </w:pPr>
    </w:p>
    <w:p>
      <w:pPr>
        <w:ind w:right="160" w:firstLine="276"/>
        <w:spacing w:after="0" w:line="252" w:lineRule="auto"/>
        <w:rPr>
          <w:sz w:val="20"/>
          <w:szCs w:val="20"/>
          <w:color w:val="auto"/>
        </w:rPr>
      </w:pPr>
      <w:r>
        <w:rPr>
          <w:rFonts w:ascii="Times New Roman" w:cs="Times New Roman" w:eastAsia="Times New Roman" w:hAnsi="Times New Roman"/>
          <w:sz w:val="18"/>
          <w:szCs w:val="18"/>
          <w:color w:val="auto"/>
        </w:rPr>
        <w:t>These interest rate swaps are marked to market at each reporting date and any unrealized gains or losses are included in accumulated other comprehensive income and reclassified to other interest expense in the same period or periods during which the hedged transactions affect earnings. For additional information about the effect of our derivative instruments, please refer to Note 10 "Financial Instruments and Fair Value" within the accompanying condensed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63" w:lineRule="exact"/>
        <w:rPr>
          <w:sz w:val="20"/>
          <w:szCs w:val="20"/>
          <w:color w:val="auto"/>
        </w:rPr>
      </w:pPr>
    </w:p>
    <w:p>
      <w:pPr>
        <w:ind w:right="100" w:firstLine="237"/>
        <w:spacing w:after="0" w:line="250" w:lineRule="auto"/>
        <w:rPr>
          <w:sz w:val="20"/>
          <w:szCs w:val="20"/>
          <w:color w:val="auto"/>
        </w:rPr>
      </w:pPr>
      <w:r>
        <w:rPr>
          <w:rFonts w:ascii="Times New Roman" w:cs="Times New Roman" w:eastAsia="Times New Roman" w:hAnsi="Times New Roman"/>
          <w:sz w:val="18"/>
          <w:szCs w:val="18"/>
          <w:color w:val="auto"/>
        </w:rPr>
        <w:t>As of the end of the period covered by this report, we conducted an evaluation, under the supervision and with the participation of our principal executive officer and principal financial officer, of the effectiveness of the design and operation of our disclosure controls and procedures as defined in Rule 13a-15(e) and 15d-15(e) under the Securities Exchange Act of 1934 (the "Exchange Act"). Based on this evaluation, our principal executive officer and principal financial officer concluded that as of the end of such period such disclosure controls and procedures were not effective, solely as a result of a previously reported material weakness.</w:t>
      </w:r>
    </w:p>
    <w:p>
      <w:pPr>
        <w:spacing w:after="0" w:line="133" w:lineRule="exact"/>
        <w:rPr>
          <w:sz w:val="20"/>
          <w:szCs w:val="20"/>
          <w:color w:val="auto"/>
        </w:rPr>
      </w:pPr>
    </w:p>
    <w:p>
      <w:pPr>
        <w:ind w:right="160" w:firstLine="237"/>
        <w:spacing w:after="0" w:line="252" w:lineRule="auto"/>
        <w:rPr>
          <w:sz w:val="20"/>
          <w:szCs w:val="20"/>
          <w:color w:val="auto"/>
        </w:rPr>
      </w:pPr>
      <w:r>
        <w:rPr>
          <w:rFonts w:ascii="Times New Roman" w:cs="Times New Roman" w:eastAsia="Times New Roman" w:hAnsi="Times New Roman"/>
          <w:sz w:val="18"/>
          <w:szCs w:val="18"/>
          <w:color w:val="auto"/>
        </w:rPr>
        <w:t>Notwithstanding the foregoing, there were no changes to previously issued financial statements and management did not identify any misstatements in our financial statements as a result of this material weakness. Our principal executive officer and principal financial officer believe that the condensed consolidated financial statements included in this Quarterly Report on Form 10-Q fairly present, in all material respects, our financial condition, results of operations and cash flows as of and for the periods presented in accordance with United States Generally Accepted Accounting Principles ("US GAAP").</w:t>
      </w:r>
    </w:p>
    <w:p>
      <w:pPr>
        <w:spacing w:after="0" w:line="131" w:lineRule="exact"/>
        <w:rPr>
          <w:sz w:val="20"/>
          <w:szCs w:val="20"/>
          <w:color w:val="auto"/>
        </w:rPr>
      </w:pPr>
    </w:p>
    <w:p>
      <w:pPr>
        <w:ind w:right="240" w:firstLine="237"/>
        <w:spacing w:after="0" w:line="247"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is due to control deficiencies in information technology general controls ("ITGCs") identified at the Jim Koons Dealerships ("Koons") that we acquired in December 2023. Specifically, the material weakness is due to insufficient control activities at a third-party software vendor for the Dealer Management System ("DMS") utilized by Koons. The third-party software vendor who supports the DMS on behalf of Koons does not have a Service Organization Control ("SOC") report that covers the DMS currently being utilized. The ineffective ITGCs limited the level of assurance over the completeness and accuracy of information derived from the affected IT application used in automated and manual business process controls at Koons. Refer to Item 9A in our Annual Report on Form 10-K for the fiscal year ended December 31, 2024 for more information.</w:t>
      </w:r>
    </w:p>
    <w:p>
      <w:pPr>
        <w:spacing w:after="0" w:line="138" w:lineRule="exact"/>
        <w:rPr>
          <w:sz w:val="20"/>
          <w:szCs w:val="20"/>
          <w:color w:val="auto"/>
        </w:rPr>
      </w:pPr>
    </w:p>
    <w:p>
      <w:pPr>
        <w:ind w:right="180" w:firstLine="237"/>
        <w:spacing w:after="0" w:line="250" w:lineRule="auto"/>
        <w:rPr>
          <w:sz w:val="20"/>
          <w:szCs w:val="20"/>
          <w:color w:val="auto"/>
        </w:rPr>
      </w:pPr>
      <w:r>
        <w:rPr>
          <w:rFonts w:ascii="Times New Roman" w:cs="Times New Roman" w:eastAsia="Times New Roman" w:hAnsi="Times New Roman"/>
          <w:sz w:val="18"/>
          <w:szCs w:val="18"/>
          <w:color w:val="auto"/>
        </w:rPr>
        <w:t>As previously described in Item 9A of our Annual Report on Form 10-K for the fiscal year ended December 31, 2024, management is in the process of implementing its remediation plan. Our remediation efforts include the transition of Koons to another DMS in 2025. As of June 30, 2025, substantially all of the Koons stores have been transitioned to a new DMS. The remaining Koons stores were transitioned to a new DMS in July 2025. We expect that the material weakness will be remediated in 2025, once the ITGCs have operated for a sufficient period for management to conclude, through testing, that the controls are designed and operating effectively.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3" w:lineRule="exact"/>
        <w:rPr>
          <w:sz w:val="20"/>
          <w:szCs w:val="20"/>
          <w:color w:val="auto"/>
        </w:rPr>
      </w:pPr>
    </w:p>
    <w:p>
      <w:pPr>
        <w:ind w:right="100" w:firstLine="237"/>
        <w:spacing w:after="0" w:line="256" w:lineRule="auto"/>
        <w:rPr>
          <w:sz w:val="20"/>
          <w:szCs w:val="20"/>
          <w:color w:val="auto"/>
        </w:rPr>
      </w:pPr>
      <w:r>
        <w:rPr>
          <w:rFonts w:ascii="Times New Roman" w:cs="Times New Roman" w:eastAsia="Times New Roman" w:hAnsi="Times New Roman"/>
          <w:sz w:val="18"/>
          <w:szCs w:val="18"/>
          <w:color w:val="auto"/>
        </w:rPr>
        <w:t>Other than with respect to the remediation efforts described above, there were no changes in our internal control over financial reporting (as such term is defined in Rule 13a-15(f) and 15d-15(f) under the Securities Exchange Act of 1934) during the quarter ended June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2" w:lineRule="exact"/>
        <w:rPr>
          <w:sz w:val="20"/>
          <w:szCs w:val="20"/>
          <w:color w:val="auto"/>
        </w:rPr>
      </w:pPr>
    </w:p>
    <w:p>
      <w:pPr>
        <w:ind w:right="140" w:firstLine="237"/>
        <w:spacing w:after="0" w:line="256" w:lineRule="auto"/>
        <w:rPr>
          <w:sz w:val="20"/>
          <w:szCs w:val="20"/>
          <w:color w:val="auto"/>
        </w:rPr>
      </w:pPr>
      <w:r>
        <w:rPr>
          <w:rFonts w:ascii="Times New Roman" w:cs="Times New Roman" w:eastAsia="Times New Roman" w:hAnsi="Times New Roman"/>
          <w:sz w:val="18"/>
          <w:szCs w:val="18"/>
          <w:color w:val="auto"/>
        </w:rPr>
        <w:t>As of the date of this filing, there have been no additional material legal proceedings or material developments in the legal proceedings disclosed in Part 1, Item 3, of our Annual Report on Form 10-K for the year ended December 31, 2024. For more information, see Note 13 "Commitments and Contingencies" within the accompanying condensed consolidated financial statements.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0" w:lineRule="exact"/>
        <w:rPr>
          <w:sz w:val="20"/>
          <w:szCs w:val="20"/>
          <w:color w:val="auto"/>
        </w:rPr>
      </w:pPr>
    </w:p>
    <w:p>
      <w:pPr>
        <w:ind w:right="220" w:firstLine="237"/>
        <w:spacing w:after="0" w:line="250"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that affect our business and financial results that are discussed in Part I, Item 1A, of our Annual Report on Form 10-K for the year ended December 31, 2024.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There have been no material changes to such risk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1" w:lineRule="exact"/>
        <w:rPr>
          <w:sz w:val="20"/>
          <w:szCs w:val="20"/>
          <w:color w:val="auto"/>
        </w:rPr>
      </w:pPr>
    </w:p>
    <w:p>
      <w:pPr>
        <w:ind w:firstLine="237"/>
        <w:spacing w:after="0" w:line="249" w:lineRule="auto"/>
        <w:rPr>
          <w:sz w:val="20"/>
          <w:szCs w:val="20"/>
          <w:color w:val="auto"/>
        </w:rPr>
      </w:pPr>
      <w:r>
        <w:rPr>
          <w:rFonts w:ascii="Times New Roman" w:cs="Times New Roman" w:eastAsia="Times New Roman" w:hAnsi="Times New Roman"/>
          <w:sz w:val="18"/>
          <w:szCs w:val="18"/>
          <w:color w:val="auto"/>
        </w:rPr>
        <w:t>Share repurchases are implemented through purchases made from time to time in either the open market or private transactions. The share repurchases could include purchases pursuant to a written trading plan in accordance with Rule 10b5-1 under the Securities Exchange Act of 1934, as amended, which allows companies to repurchase shares of stock at times when they might otherwise be prevented from doing so by securities laws or under self-imposed trading blackout periods.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Information about the shares of our common stock that we repurchased during the quarter ended June 30, 2025 is set forth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Maximum Number (or</w:t>
            </w:r>
          </w:p>
        </w:tc>
        <w:tc>
          <w:tcPr>
            <w:tcW w:w="0" w:type="dxa"/>
            <w:vAlign w:val="bottom"/>
          </w:tcPr>
          <w:p>
            <w:pPr>
              <w:spacing w:after="0"/>
              <w:rPr>
                <w:sz w:val="1"/>
                <w:szCs w:val="1"/>
                <w:color w:val="auto"/>
              </w:rPr>
            </w:pPr>
          </w:p>
        </w:tc>
      </w:tr>
      <w:tr>
        <w:trPr>
          <w:trHeight w:val="178"/>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(or Units) Purchased as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tcPr>
          <w:p>
            <w:pPr>
              <w:jc w:val="center"/>
              <w:ind w:right="52"/>
              <w:spacing w:after="0" w:line="178" w:lineRule="exact"/>
              <w:rPr>
                <w:sz w:val="20"/>
                <w:szCs w:val="20"/>
                <w:color w:val="auto"/>
              </w:rPr>
            </w:pPr>
            <w:r>
              <w:rPr>
                <w:rFonts w:ascii="Times New Roman" w:cs="Times New Roman" w:eastAsia="Times New Roman" w:hAnsi="Times New Roman"/>
                <w:sz w:val="18"/>
                <w:szCs w:val="18"/>
                <w:b w:val="1"/>
                <w:bCs w:val="1"/>
                <w:color w:val="auto"/>
                <w:w w:val="96"/>
              </w:rPr>
              <w:t>Approximate Dollar Value) of</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200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Part of Publicly</w:t>
            </w:r>
          </w:p>
        </w:tc>
        <w:tc>
          <w:tcPr>
            <w:tcW w:w="100" w:type="dxa"/>
            <w:vAlign w:val="bottom"/>
          </w:tcPr>
          <w:p>
            <w:pPr>
              <w:spacing w:after="0"/>
              <w:rPr>
                <w:sz w:val="14"/>
                <w:szCs w:val="14"/>
                <w:color w:val="auto"/>
              </w:rPr>
            </w:pPr>
          </w:p>
        </w:tc>
        <w:tc>
          <w:tcPr>
            <w:tcW w:w="2620" w:type="dxa"/>
            <w:vAlign w:val="bottom"/>
            <w:gridSpan w:val="2"/>
          </w:tcPr>
          <w:p>
            <w:pPr>
              <w:ind w:left="40"/>
              <w:spacing w:after="0" w:line="171" w:lineRule="exact"/>
              <w:rPr>
                <w:sz w:val="20"/>
                <w:szCs w:val="20"/>
                <w:color w:val="auto"/>
              </w:rPr>
            </w:pPr>
            <w:r>
              <w:rPr>
                <w:rFonts w:ascii="Times New Roman" w:cs="Times New Roman" w:eastAsia="Times New Roman" w:hAnsi="Times New Roman"/>
                <w:sz w:val="18"/>
                <w:szCs w:val="18"/>
                <w:b w:val="1"/>
                <w:bCs w:val="1"/>
                <w:color w:val="auto"/>
                <w:w w:val="97"/>
              </w:rPr>
              <w:t>Shares (or Units) that May Yet Be</w:t>
            </w:r>
          </w:p>
        </w:tc>
        <w:tc>
          <w:tcPr>
            <w:tcW w:w="0" w:type="dxa"/>
            <w:vAlign w:val="bottom"/>
          </w:tcPr>
          <w:p>
            <w:pPr>
              <w:spacing w:after="0"/>
              <w:rPr>
                <w:sz w:val="1"/>
                <w:szCs w:val="1"/>
                <w:color w:val="auto"/>
              </w:rPr>
            </w:pPr>
          </w:p>
        </w:tc>
      </w:tr>
      <w:tr>
        <w:trPr>
          <w:trHeight w:val="184"/>
        </w:trPr>
        <w:tc>
          <w:tcPr>
            <w:tcW w:w="24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Shares (or Units)</w:t>
            </w: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20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Announced Plans 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tcPr>
          <w:p>
            <w:pPr>
              <w:jc w:val="center"/>
              <w:ind w:right="52"/>
              <w:spacing w:after="0" w:line="184" w:lineRule="exact"/>
              <w:rPr>
                <w:sz w:val="20"/>
                <w:szCs w:val="20"/>
                <w:color w:val="auto"/>
              </w:rPr>
            </w:pPr>
            <w:r>
              <w:rPr>
                <w:rFonts w:ascii="Times New Roman" w:cs="Times New Roman" w:eastAsia="Times New Roman" w:hAnsi="Times New Roman"/>
                <w:sz w:val="18"/>
                <w:szCs w:val="18"/>
                <w:b w:val="1"/>
                <w:bCs w:val="1"/>
                <w:color w:val="auto"/>
                <w:w w:val="97"/>
              </w:rPr>
              <w:t>Purchased Under the Plans or</w:t>
            </w:r>
          </w:p>
        </w:tc>
        <w:tc>
          <w:tcPr>
            <w:tcW w:w="0" w:type="dxa"/>
            <w:vAlign w:val="bottom"/>
          </w:tcPr>
          <w:p>
            <w:pPr>
              <w:spacing w:after="0"/>
              <w:rPr>
                <w:sz w:val="1"/>
                <w:szCs w:val="1"/>
                <w:color w:val="auto"/>
              </w:rPr>
            </w:pPr>
          </w:p>
        </w:tc>
      </w:tr>
      <w:tr>
        <w:trPr>
          <w:trHeight w:val="224"/>
        </w:trPr>
        <w:tc>
          <w:tcPr>
            <w:tcW w:w="2460" w:type="dxa"/>
            <w:vAlign w:val="bottom"/>
            <w:gridSpan w:val="2"/>
            <w:vMerge w:val="continue"/>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9"/>
                <w:szCs w:val="19"/>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(or Unit)</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Programs (In millions)</w:t>
            </w:r>
          </w:p>
        </w:tc>
        <w:tc>
          <w:tcPr>
            <w:tcW w:w="0" w:type="dxa"/>
            <w:vAlign w:val="bottom"/>
          </w:tcPr>
          <w:p>
            <w:pPr>
              <w:spacing w:after="0"/>
              <w:rPr>
                <w:sz w:val="1"/>
                <w:szCs w:val="1"/>
                <w:color w:val="auto"/>
              </w:rPr>
            </w:pPr>
          </w:p>
        </w:tc>
      </w:tr>
      <w:tr>
        <w:trPr>
          <w:trHeight w:val="217"/>
        </w:trPr>
        <w:tc>
          <w:tcPr>
            <w:tcW w:w="236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97"/>
              </w:rPr>
              <w:t>04/01/2025 - 04/30/2025</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223.54</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0" w:type="dxa"/>
            <w:vAlign w:val="bottom"/>
          </w:tcPr>
          <w:p>
            <w:pPr>
              <w:spacing w:after="0"/>
              <w:rPr>
                <w:sz w:val="1"/>
                <w:szCs w:val="1"/>
                <w:color w:val="auto"/>
              </w:rPr>
            </w:pPr>
          </w:p>
        </w:tc>
      </w:tr>
      <w:tr>
        <w:trPr>
          <w:trHeight w:val="224"/>
        </w:trPr>
        <w:tc>
          <w:tcPr>
            <w:tcW w:w="23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97"/>
              </w:rPr>
              <w:t>05/01/2025 - 05/31/2025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223.57</w:t>
            </w:r>
          </w:p>
        </w:tc>
        <w:tc>
          <w:tcPr>
            <w:tcW w:w="10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97"/>
              </w:rPr>
              <w:t>06/01/2025 - 06/30/2025</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100" w:type="dxa"/>
            <w:vAlign w:val="bottom"/>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0" w:type="dxa"/>
            <w:vAlign w:val="bottom"/>
          </w:tcPr>
          <w:p>
            <w:pPr>
              <w:spacing w:after="0"/>
              <w:rPr>
                <w:sz w:val="1"/>
                <w:szCs w:val="1"/>
                <w:color w:val="auto"/>
              </w:rPr>
            </w:pPr>
          </w:p>
        </w:tc>
      </w:tr>
      <w:tr>
        <w:trPr>
          <w:trHeight w:val="217"/>
        </w:trPr>
        <w:tc>
          <w:tcPr>
            <w:tcW w:w="2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right="100" w:firstLine="237"/>
        <w:spacing w:after="0" w:line="256" w:lineRule="auto"/>
        <w:rPr>
          <w:sz w:val="20"/>
          <w:szCs w:val="20"/>
          <w:color w:val="auto"/>
        </w:rPr>
      </w:pPr>
      <w:r>
        <w:rPr>
          <w:rFonts w:ascii="Times New Roman" w:cs="Times New Roman" w:eastAsia="Times New Roman" w:hAnsi="Times New Roman"/>
          <w:sz w:val="18"/>
          <w:szCs w:val="18"/>
          <w:color w:val="auto"/>
        </w:rPr>
        <w:t>On May 15, 2024, the Company announced that its Board of Directors approved an increase of $256.2 million in the Company's common share repurchase authorization to $400.0 million (the "New Share Repurchase Authorization"), for the repurchase of our common stock in open market transactions or privately negotiated transactions or in other manners as permitted by federal securities laws and other legal and contractual requirements.</w:t>
      </w:r>
    </w:p>
    <w:p>
      <w:pPr>
        <w:spacing w:after="0" w:line="127" w:lineRule="exact"/>
        <w:rPr>
          <w:sz w:val="20"/>
          <w:szCs w:val="20"/>
          <w:color w:val="auto"/>
        </w:rPr>
      </w:pPr>
    </w:p>
    <w:p>
      <w:pPr>
        <w:ind w:right="320" w:firstLine="237"/>
        <w:spacing w:after="0" w:line="252" w:lineRule="auto"/>
        <w:rPr>
          <w:sz w:val="20"/>
          <w:szCs w:val="20"/>
          <w:color w:val="auto"/>
        </w:rPr>
      </w:pPr>
      <w:r>
        <w:rPr>
          <w:rFonts w:ascii="Times New Roman" w:cs="Times New Roman" w:eastAsia="Times New Roman" w:hAnsi="Times New Roman"/>
          <w:sz w:val="18"/>
          <w:szCs w:val="18"/>
          <w:color w:val="auto"/>
        </w:rPr>
        <w:t>The extent to which the Company repurchases its shares, the number of shares and the timing of any repurchase will depend on such factors as Asbury’s stock price, general economic and market conditions, the potential impact on its capital structure, the expected return on competing uses of capital such as strategic dealership acquisitions and capital investments and other considerations. The program does not require the Company to repurchase any specific number of shares, and may be modified, suspended or terminated at any time without further notice.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1" w:lineRule="exact"/>
        <w:rPr>
          <w:sz w:val="20"/>
          <w:szCs w:val="20"/>
          <w:color w:val="auto"/>
        </w:rPr>
      </w:pPr>
    </w:p>
    <w:p>
      <w:pPr>
        <w:ind w:right="60" w:firstLine="237"/>
        <w:spacing w:after="0" w:line="268"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Company's fiscal quarter ended June 30, 2025.</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9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 of Documents</w:t>
            </w:r>
          </w:p>
        </w:tc>
        <w:tc>
          <w:tcPr>
            <w:tcW w:w="0" w:type="dxa"/>
            <w:vAlign w:val="bottom"/>
          </w:tcPr>
          <w:p>
            <w:pPr>
              <w:spacing w:after="0"/>
              <w:rPr>
                <w:sz w:val="1"/>
                <w:szCs w:val="1"/>
                <w:color w:val="auto"/>
              </w:rPr>
            </w:pPr>
          </w:p>
        </w:tc>
      </w:tr>
      <w:tr>
        <w:trPr>
          <w:trHeight w:val="210"/>
        </w:trPr>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240" w:type="dxa"/>
            <w:vAlign w:val="bottom"/>
            <w:tcBorders>
              <w:top w:val="single" w:sz="8" w:color="auto"/>
            </w:tcBorders>
            <w:gridSpan w:val="3"/>
          </w:tcPr>
          <w:p>
            <w:pPr>
              <w:jc w:val="center"/>
              <w:ind w:right="20"/>
              <w:spacing w:after="0" w:line="178" w:lineRule="exact"/>
              <w:rPr>
                <w:rFonts w:ascii="Times New Roman" w:cs="Times New Roman" w:eastAsia="Times New Roman" w:hAnsi="Times New Roman"/>
                <w:sz w:val="18"/>
                <w:szCs w:val="18"/>
                <w:color w:val="0000FF"/>
                <w:w w:val="95"/>
              </w:rPr>
            </w:pPr>
            <w:hyperlink r:id="rId106">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80" w:type="dxa"/>
            <w:vAlign w:val="bottom"/>
          </w:tcPr>
          <w:p>
            <w:pPr>
              <w:spacing w:after="0"/>
              <w:rPr>
                <w:sz w:val="15"/>
                <w:szCs w:val="15"/>
                <w:color w:val="auto"/>
              </w:rPr>
            </w:pPr>
          </w:p>
        </w:tc>
        <w:tc>
          <w:tcPr>
            <w:tcW w:w="97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8"/>
                <w:szCs w:val="18"/>
                <w:color w:val="auto"/>
                <w:w w:val="97"/>
              </w:rPr>
              <w:t>First Amendment to the Fourth Amended and Restated Credit Agreement, dated April 9, 2025, among Asbury Automotive Group, Inc., as</w:t>
            </w:r>
          </w:p>
        </w:tc>
        <w:tc>
          <w:tcPr>
            <w:tcW w:w="0" w:type="dxa"/>
            <w:vAlign w:val="bottom"/>
          </w:tcPr>
          <w:p>
            <w:pPr>
              <w:spacing w:after="0"/>
              <w:rPr>
                <w:sz w:val="1"/>
                <w:szCs w:val="1"/>
                <w:color w:val="auto"/>
              </w:rPr>
            </w:pPr>
          </w:p>
        </w:tc>
      </w:tr>
      <w:tr>
        <w:trPr>
          <w:trHeight w:val="138"/>
        </w:trPr>
        <w:tc>
          <w:tcPr>
            <w:tcW w:w="46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760" w:type="dxa"/>
            <w:vAlign w:val="bottom"/>
          </w:tcPr>
          <w:p>
            <w:pPr>
              <w:spacing w:after="0" w:line="138" w:lineRule="exact"/>
              <w:rPr>
                <w:sz w:val="20"/>
                <w:szCs w:val="20"/>
                <w:color w:val="auto"/>
              </w:rPr>
            </w:pPr>
            <w:r>
              <w:rPr>
                <w:rFonts w:ascii="Times New Roman" w:cs="Times New Roman" w:eastAsia="Times New Roman" w:hAnsi="Times New Roman"/>
                <w:sz w:val="15"/>
                <w:szCs w:val="15"/>
                <w:color w:val="auto"/>
              </w:rPr>
              <w:t>a borrower and guarantor, certain of its subsidiaries, as vehicle borrowers and subsidiary guarantors, Bank of America, N.A., as</w:t>
            </w: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6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w w:val="97"/>
              </w:rPr>
              <w:t>administrative agent, revolving swing line lender, new vehicle floorplan swing line lender, used vehicle floorplan swing line lender and an</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w w:val="99"/>
              </w:rPr>
              <w:t>L/C issuer, and the other lenders party thereto (incorporated by reference to Exhibit 10.1 to the Company’s Current Report on Form 8-K</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filed with the SEC on April 9, 2025).</w:t>
            </w:r>
          </w:p>
        </w:tc>
        <w:tc>
          <w:tcPr>
            <w:tcW w:w="0" w:type="dxa"/>
            <w:vAlign w:val="bottom"/>
          </w:tcPr>
          <w:p>
            <w:pPr>
              <w:spacing w:after="0"/>
              <w:rPr>
                <w:sz w:val="1"/>
                <w:szCs w:val="1"/>
                <w:color w:val="auto"/>
              </w:rPr>
            </w:pPr>
          </w:p>
        </w:tc>
      </w:tr>
      <w:tr>
        <w:trPr>
          <w:trHeight w:val="193"/>
        </w:trPr>
        <w:tc>
          <w:tcPr>
            <w:tcW w:w="1240" w:type="dxa"/>
            <w:vAlign w:val="bottom"/>
            <w:gridSpan w:val="3"/>
          </w:tcPr>
          <w:p>
            <w:pPr>
              <w:jc w:val="center"/>
              <w:ind w:right="20"/>
              <w:spacing w:after="0" w:line="193"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80" w:type="dxa"/>
            <w:vAlign w:val="bottom"/>
          </w:tcPr>
          <w:p>
            <w:pPr>
              <w:spacing w:after="0"/>
              <w:rPr>
                <w:sz w:val="16"/>
                <w:szCs w:val="16"/>
                <w:color w:val="auto"/>
              </w:rPr>
            </w:pPr>
          </w:p>
        </w:tc>
        <w:tc>
          <w:tcPr>
            <w:tcW w:w="97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w w:val="98"/>
              </w:rPr>
              <w:t>Certificate of Chief Executive Officer pursuant to Rule 13a-14(a)/15d-14(a) of the Securities Exchange Act of 1934, as adopted pursuant</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to Section 302 of the Sarbanes-Oxley Act of 2002</w:t>
            </w:r>
          </w:p>
        </w:tc>
        <w:tc>
          <w:tcPr>
            <w:tcW w:w="0" w:type="dxa"/>
            <w:vAlign w:val="bottom"/>
          </w:tcPr>
          <w:p>
            <w:pPr>
              <w:spacing w:after="0"/>
              <w:rPr>
                <w:sz w:val="1"/>
                <w:szCs w:val="1"/>
                <w:color w:val="auto"/>
              </w:rPr>
            </w:pPr>
          </w:p>
        </w:tc>
      </w:tr>
      <w:tr>
        <w:trPr>
          <w:trHeight w:val="189"/>
        </w:trPr>
        <w:tc>
          <w:tcPr>
            <w:tcW w:w="12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80" w:type="dxa"/>
            <w:vAlign w:val="bottom"/>
          </w:tcPr>
          <w:p>
            <w:pPr>
              <w:spacing w:after="0"/>
              <w:rPr>
                <w:sz w:val="16"/>
                <w:szCs w:val="16"/>
                <w:color w:val="auto"/>
              </w:rPr>
            </w:pPr>
          </w:p>
        </w:tc>
        <w:tc>
          <w:tcPr>
            <w:tcW w:w="9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7"/>
              </w:rPr>
              <w:t>Certificate of Chief Financial Officer pursuant to Rule 13a-14(a)/15d-14(a) of the Securities Exchange Act of 1934, as adopted pursuant to</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0" w:type="dxa"/>
            <w:vAlign w:val="bottom"/>
          </w:tcPr>
          <w:p>
            <w:pPr>
              <w:spacing w:after="0"/>
              <w:rPr>
                <w:sz w:val="1"/>
                <w:szCs w:val="1"/>
                <w:color w:val="auto"/>
              </w:rPr>
            </w:pPr>
          </w:p>
        </w:tc>
      </w:tr>
      <w:tr>
        <w:trPr>
          <w:trHeight w:val="189"/>
        </w:trPr>
        <w:tc>
          <w:tcPr>
            <w:tcW w:w="12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80" w:type="dxa"/>
            <w:vAlign w:val="bottom"/>
          </w:tcPr>
          <w:p>
            <w:pPr>
              <w:spacing w:after="0"/>
              <w:rPr>
                <w:sz w:val="16"/>
                <w:szCs w:val="16"/>
                <w:color w:val="auto"/>
              </w:rPr>
            </w:pPr>
          </w:p>
        </w:tc>
        <w:tc>
          <w:tcPr>
            <w:tcW w:w="9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Certificate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of 2002</w:t>
            </w:r>
          </w:p>
        </w:tc>
        <w:tc>
          <w:tcPr>
            <w:tcW w:w="0" w:type="dxa"/>
            <w:vAlign w:val="bottom"/>
          </w:tcPr>
          <w:p>
            <w:pPr>
              <w:spacing w:after="0"/>
              <w:rPr>
                <w:sz w:val="1"/>
                <w:szCs w:val="1"/>
                <w:color w:val="auto"/>
              </w:rPr>
            </w:pPr>
          </w:p>
        </w:tc>
      </w:tr>
      <w:tr>
        <w:trPr>
          <w:trHeight w:val="189"/>
        </w:trPr>
        <w:tc>
          <w:tcPr>
            <w:tcW w:w="12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80" w:type="dxa"/>
            <w:vAlign w:val="bottom"/>
          </w:tcPr>
          <w:p>
            <w:pPr>
              <w:spacing w:after="0"/>
              <w:rPr>
                <w:sz w:val="16"/>
                <w:szCs w:val="16"/>
                <w:color w:val="auto"/>
              </w:rPr>
            </w:pPr>
          </w:p>
        </w:tc>
        <w:tc>
          <w:tcPr>
            <w:tcW w:w="9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Certificate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of 2002</w:t>
            </w:r>
          </w:p>
        </w:tc>
        <w:tc>
          <w:tcPr>
            <w:tcW w:w="0" w:type="dxa"/>
            <w:vAlign w:val="bottom"/>
          </w:tcPr>
          <w:p>
            <w:pPr>
              <w:spacing w:after="0"/>
              <w:rPr>
                <w:sz w:val="1"/>
                <w:szCs w:val="1"/>
                <w:color w:val="auto"/>
              </w:rPr>
            </w:pPr>
          </w:p>
        </w:tc>
      </w:tr>
      <w:tr>
        <w:trPr>
          <w:trHeight w:val="176"/>
        </w:trPr>
        <w:tc>
          <w:tcPr>
            <w:tcW w:w="1420" w:type="dxa"/>
            <w:vAlign w:val="bottom"/>
            <w:gridSpan w:val="4"/>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5"/>
              </w:rPr>
              <w:t>101.INS</w:t>
            </w:r>
          </w:p>
        </w:tc>
        <w:tc>
          <w:tcPr>
            <w:tcW w:w="9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7"/>
        </w:trPr>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101.SCH</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4"/>
        </w:trPr>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7"/>
              </w:rPr>
              <w:t>101.CAL</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4"/>
        </w:trPr>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4"/>
              </w:rPr>
              <w:t>101.DEF</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4"/>
        </w:trPr>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7"/>
              </w:rPr>
              <w:t>101.LAB</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28"/>
        </w:trPr>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6"/>
              </w:rPr>
              <w:t>101.PRE</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1460" w:hanging="942"/>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right="300" w:firstLine="276"/>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tc>
      </w:tr>
      <w:tr>
        <w:trPr>
          <w:trHeight w:val="48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32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W. Hult</w:t>
            </w:r>
          </w:p>
        </w:tc>
      </w:tr>
      <w:tr>
        <w:trPr>
          <w:trHeight w:val="202"/>
        </w:trPr>
        <w:tc>
          <w:tcPr>
            <w:tcW w:w="3580" w:type="dxa"/>
            <w:vAlign w:val="bottom"/>
          </w:tcPr>
          <w:p>
            <w:pPr>
              <w:spacing w:after="0"/>
              <w:rPr>
                <w:sz w:val="17"/>
                <w:szCs w:val="17"/>
                <w:color w:val="auto"/>
              </w:rPr>
            </w:pPr>
          </w:p>
        </w:tc>
        <w:tc>
          <w:tcPr>
            <w:tcW w:w="3220" w:type="dxa"/>
            <w:vAlign w:val="bottom"/>
          </w:tcPr>
          <w:p>
            <w:pPr>
              <w:ind w:left="20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David W. Hult</w:t>
            </w:r>
          </w:p>
        </w:tc>
      </w:tr>
      <w:tr>
        <w:trPr>
          <w:trHeight w:val="209"/>
        </w:trPr>
        <w:tc>
          <w:tcPr>
            <w:tcW w:w="3580" w:type="dxa"/>
            <w:vAlign w:val="bottom"/>
          </w:tcPr>
          <w:p>
            <w:pPr>
              <w:spacing w:after="0"/>
              <w:rPr>
                <w:sz w:val="18"/>
                <w:szCs w:val="18"/>
                <w:color w:val="auto"/>
              </w:rPr>
            </w:pPr>
          </w:p>
        </w:tc>
        <w:tc>
          <w:tcPr>
            <w:tcW w:w="3220" w:type="dxa"/>
            <w:vAlign w:val="bottom"/>
          </w:tcPr>
          <w:p>
            <w:pPr>
              <w:ind w:left="202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32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Michael D. Welch</w:t>
            </w:r>
          </w:p>
        </w:tc>
      </w:tr>
      <w:tr>
        <w:trPr>
          <w:trHeight w:val="202"/>
        </w:trPr>
        <w:tc>
          <w:tcPr>
            <w:tcW w:w="3580" w:type="dxa"/>
            <w:vAlign w:val="bottom"/>
          </w:tcPr>
          <w:p>
            <w:pPr>
              <w:spacing w:after="0"/>
              <w:rPr>
                <w:sz w:val="17"/>
                <w:szCs w:val="17"/>
                <w:color w:val="auto"/>
              </w:rPr>
            </w:pPr>
          </w:p>
        </w:tc>
        <w:tc>
          <w:tcPr>
            <w:tcW w:w="3220" w:type="dxa"/>
            <w:vAlign w:val="bottom"/>
          </w:tcPr>
          <w:p>
            <w:pPr>
              <w:ind w:left="20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Michael D. Welch</w:t>
            </w:r>
          </w:p>
        </w:tc>
      </w:tr>
      <w:tr>
        <w:trPr>
          <w:trHeight w:val="209"/>
        </w:trPr>
        <w:tc>
          <w:tcPr>
            <w:tcW w:w="3580" w:type="dxa"/>
            <w:vAlign w:val="bottom"/>
          </w:tcPr>
          <w:p>
            <w:pPr>
              <w:spacing w:after="0"/>
              <w:rPr>
                <w:sz w:val="18"/>
                <w:szCs w:val="18"/>
                <w:color w:val="auto"/>
              </w:rPr>
            </w:pPr>
          </w:p>
        </w:tc>
        <w:tc>
          <w:tcPr>
            <w:tcW w:w="3220" w:type="dxa"/>
            <w:vAlign w:val="bottom"/>
          </w:tcPr>
          <w:p>
            <w:pPr>
              <w:ind w:left="202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Senior Vice President and Chief Financial Officer</w:t>
            </w:r>
          </w:p>
        </w:tc>
      </w:tr>
    </w:tbl>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119"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OF THE SECURITIES EXCHANGE ACT OF 1934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W. Hult, certify that:</w:t>
      </w:r>
    </w:p>
    <w:p>
      <w:pPr>
        <w:spacing w:after="0" w:line="240" w:lineRule="exact"/>
        <w:rPr>
          <w:sz w:val="20"/>
          <w:szCs w:val="20"/>
          <w:color w:val="auto"/>
        </w:rPr>
      </w:pPr>
    </w:p>
    <w:p>
      <w:pPr>
        <w:ind w:left="940" w:hanging="303"/>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Asbury Automotive Group, Inc.;</w:t>
      </w:r>
    </w:p>
    <w:p>
      <w:pPr>
        <w:spacing w:after="0" w:line="240" w:lineRule="exact"/>
        <w:rPr>
          <w:rFonts w:ascii="Times New Roman" w:cs="Times New Roman" w:eastAsia="Times New Roman" w:hAnsi="Times New Roman"/>
          <w:sz w:val="18"/>
          <w:szCs w:val="18"/>
          <w:color w:val="auto"/>
        </w:rPr>
      </w:pPr>
    </w:p>
    <w:p>
      <w:pPr>
        <w:ind w:left="1260" w:right="80" w:hanging="623"/>
        <w:spacing w:after="0" w:line="256" w:lineRule="auto"/>
        <w:tabs>
          <w:tab w:leader="none" w:pos="9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Times New Roman" w:cs="Times New Roman" w:eastAsia="Times New Roman" w:hAnsi="Times New Roman"/>
          <w:sz w:val="18"/>
          <w:szCs w:val="18"/>
          <w:color w:val="auto"/>
        </w:rPr>
      </w:pPr>
    </w:p>
    <w:p>
      <w:pPr>
        <w:ind w:left="1260" w:right="60" w:hanging="623"/>
        <w:spacing w:after="0" w:line="268" w:lineRule="auto"/>
        <w:tabs>
          <w:tab w:leader="none" w:pos="9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Times New Roman" w:cs="Times New Roman" w:eastAsia="Times New Roman" w:hAnsi="Times New Roman"/>
          <w:sz w:val="18"/>
          <w:szCs w:val="18"/>
          <w:color w:val="auto"/>
        </w:rPr>
      </w:pPr>
    </w:p>
    <w:p>
      <w:pPr>
        <w:ind w:left="1260" w:right="120" w:hanging="623"/>
        <w:spacing w:after="0" w:line="286" w:lineRule="auto"/>
        <w:tabs>
          <w:tab w:leader="none" w:pos="93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we have:</w:t>
      </w:r>
    </w:p>
    <w:p>
      <w:pPr>
        <w:spacing w:after="0" w:line="222" w:lineRule="exact"/>
        <w:rPr>
          <w:rFonts w:ascii="Times New Roman" w:cs="Times New Roman" w:eastAsia="Times New Roman" w:hAnsi="Times New Roman"/>
          <w:sz w:val="16"/>
          <w:szCs w:val="16"/>
          <w:color w:val="auto"/>
        </w:rPr>
      </w:pPr>
    </w:p>
    <w:p>
      <w:pPr>
        <w:ind w:left="1900" w:right="200" w:hanging="632"/>
        <w:spacing w:after="0" w:line="256" w:lineRule="auto"/>
        <w:tabs>
          <w:tab w:leader="none" w:pos="18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ind w:left="1900" w:right="60" w:hanging="632"/>
        <w:spacing w:after="0" w:line="256" w:lineRule="auto"/>
        <w:tabs>
          <w:tab w:leader="none" w:pos="1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8"/>
          <w:szCs w:val="18"/>
          <w:color w:val="auto"/>
        </w:rPr>
      </w:pPr>
    </w:p>
    <w:p>
      <w:pPr>
        <w:ind w:left="1900" w:right="160" w:hanging="632"/>
        <w:spacing w:after="0" w:line="256" w:lineRule="auto"/>
        <w:tabs>
          <w:tab w:leader="none" w:pos="18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Times New Roman" w:cs="Times New Roman" w:eastAsia="Times New Roman" w:hAnsi="Times New Roman"/>
          <w:sz w:val="18"/>
          <w:szCs w:val="18"/>
          <w:color w:val="auto"/>
        </w:rPr>
      </w:pPr>
    </w:p>
    <w:p>
      <w:pPr>
        <w:ind w:left="1900" w:right="280" w:hanging="632"/>
        <w:spacing w:after="0" w:line="256" w:lineRule="auto"/>
        <w:tabs>
          <w:tab w:leader="none" w:pos="1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6" w:lineRule="exact"/>
        <w:rPr>
          <w:rFonts w:ascii="Times New Roman" w:cs="Times New Roman" w:eastAsia="Times New Roman" w:hAnsi="Times New Roman"/>
          <w:sz w:val="18"/>
          <w:szCs w:val="18"/>
          <w:color w:val="auto"/>
        </w:rPr>
      </w:pPr>
    </w:p>
    <w:p>
      <w:pPr>
        <w:ind w:left="1260" w:hanging="623"/>
        <w:spacing w:after="0" w:line="268" w:lineRule="auto"/>
        <w:tabs>
          <w:tab w:leader="none" w:pos="9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Times New Roman" w:cs="Times New Roman" w:eastAsia="Times New Roman" w:hAnsi="Times New Roman"/>
          <w:sz w:val="18"/>
          <w:szCs w:val="18"/>
          <w:color w:val="auto"/>
        </w:rPr>
      </w:pPr>
    </w:p>
    <w:p>
      <w:pPr>
        <w:ind w:left="1900" w:right="100" w:hanging="632"/>
        <w:spacing w:after="0" w:line="332" w:lineRule="auto"/>
        <w:tabs>
          <w:tab w:leader="none" w:pos="1897"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6"/>
          <w:szCs w:val="16"/>
          <w:color w:val="auto"/>
        </w:rPr>
      </w:pPr>
    </w:p>
    <w:p>
      <w:pPr>
        <w:ind w:left="1900" w:right="400" w:hanging="632"/>
        <w:spacing w:after="0" w:line="268" w:lineRule="auto"/>
        <w:tabs>
          <w:tab w:leader="none" w:pos="1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13970</wp:posOffset>
            </wp:positionV>
            <wp:extent cx="19634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W. Hult</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July 30, 2025</w:t>
      </w:r>
    </w:p>
    <w:p>
      <w:pPr>
        <w:sectPr>
          <w:pgSz w:w="11900" w:h="16838" w:orient="portrait"/>
          <w:cols w:equalWidth="0" w:num="1">
            <w:col w:w="11240"/>
          </w:cols>
          <w:pgMar w:left="320" w:top="869"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OF THE SECURITIES EXCHANGE ACT OF 1934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Welch certify that:</w:t>
      </w:r>
    </w:p>
    <w:p>
      <w:pPr>
        <w:spacing w:after="0" w:line="240" w:lineRule="exact"/>
        <w:rPr>
          <w:sz w:val="20"/>
          <w:szCs w:val="20"/>
          <w:color w:val="auto"/>
        </w:rPr>
      </w:pPr>
    </w:p>
    <w:p>
      <w:pPr>
        <w:ind w:left="940" w:hanging="303"/>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Asbury Automotive Group, Inc.;</w:t>
      </w:r>
    </w:p>
    <w:p>
      <w:pPr>
        <w:spacing w:after="0" w:line="240" w:lineRule="exact"/>
        <w:rPr>
          <w:rFonts w:ascii="Times New Roman" w:cs="Times New Roman" w:eastAsia="Times New Roman" w:hAnsi="Times New Roman"/>
          <w:sz w:val="18"/>
          <w:szCs w:val="18"/>
          <w:color w:val="auto"/>
        </w:rPr>
      </w:pPr>
    </w:p>
    <w:p>
      <w:pPr>
        <w:ind w:left="1260" w:right="80" w:hanging="623"/>
        <w:spacing w:after="0" w:line="256" w:lineRule="auto"/>
        <w:tabs>
          <w:tab w:leader="none" w:pos="9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Times New Roman" w:cs="Times New Roman" w:eastAsia="Times New Roman" w:hAnsi="Times New Roman"/>
          <w:sz w:val="18"/>
          <w:szCs w:val="18"/>
          <w:color w:val="auto"/>
        </w:rPr>
      </w:pPr>
    </w:p>
    <w:p>
      <w:pPr>
        <w:ind w:left="1260" w:right="60" w:hanging="623"/>
        <w:spacing w:after="0" w:line="268" w:lineRule="auto"/>
        <w:tabs>
          <w:tab w:leader="none" w:pos="9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Times New Roman" w:cs="Times New Roman" w:eastAsia="Times New Roman" w:hAnsi="Times New Roman"/>
          <w:sz w:val="18"/>
          <w:szCs w:val="18"/>
          <w:color w:val="auto"/>
        </w:rPr>
      </w:pPr>
    </w:p>
    <w:p>
      <w:pPr>
        <w:ind w:left="1260" w:right="120" w:hanging="623"/>
        <w:spacing w:after="0" w:line="286" w:lineRule="auto"/>
        <w:tabs>
          <w:tab w:leader="none" w:pos="93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we have:</w:t>
      </w:r>
    </w:p>
    <w:p>
      <w:pPr>
        <w:spacing w:after="0" w:line="222" w:lineRule="exact"/>
        <w:rPr>
          <w:rFonts w:ascii="Times New Roman" w:cs="Times New Roman" w:eastAsia="Times New Roman" w:hAnsi="Times New Roman"/>
          <w:sz w:val="16"/>
          <w:szCs w:val="16"/>
          <w:color w:val="auto"/>
        </w:rPr>
      </w:pPr>
    </w:p>
    <w:p>
      <w:pPr>
        <w:ind w:left="1900" w:right="200" w:hanging="632"/>
        <w:spacing w:after="0" w:line="256" w:lineRule="auto"/>
        <w:tabs>
          <w:tab w:leader="none" w:pos="18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ind w:left="1900" w:right="60" w:hanging="632"/>
        <w:spacing w:after="0" w:line="256" w:lineRule="auto"/>
        <w:tabs>
          <w:tab w:leader="none" w:pos="1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8"/>
          <w:szCs w:val="18"/>
          <w:color w:val="auto"/>
        </w:rPr>
      </w:pPr>
    </w:p>
    <w:p>
      <w:pPr>
        <w:ind w:left="1900" w:right="160" w:hanging="632"/>
        <w:spacing w:after="0" w:line="256" w:lineRule="auto"/>
        <w:tabs>
          <w:tab w:leader="none" w:pos="18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Times New Roman" w:cs="Times New Roman" w:eastAsia="Times New Roman" w:hAnsi="Times New Roman"/>
          <w:sz w:val="18"/>
          <w:szCs w:val="18"/>
          <w:color w:val="auto"/>
        </w:rPr>
      </w:pPr>
    </w:p>
    <w:p>
      <w:pPr>
        <w:ind w:left="1900" w:right="280" w:hanging="632"/>
        <w:spacing w:after="0" w:line="256" w:lineRule="auto"/>
        <w:tabs>
          <w:tab w:leader="none" w:pos="1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6" w:lineRule="exact"/>
        <w:rPr>
          <w:rFonts w:ascii="Times New Roman" w:cs="Times New Roman" w:eastAsia="Times New Roman" w:hAnsi="Times New Roman"/>
          <w:sz w:val="18"/>
          <w:szCs w:val="18"/>
          <w:color w:val="auto"/>
        </w:rPr>
      </w:pPr>
    </w:p>
    <w:p>
      <w:pPr>
        <w:ind w:left="1260" w:hanging="623"/>
        <w:spacing w:after="0" w:line="268" w:lineRule="auto"/>
        <w:tabs>
          <w:tab w:leader="none" w:pos="9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Times New Roman" w:cs="Times New Roman" w:eastAsia="Times New Roman" w:hAnsi="Times New Roman"/>
          <w:sz w:val="18"/>
          <w:szCs w:val="18"/>
          <w:color w:val="auto"/>
        </w:rPr>
      </w:pPr>
    </w:p>
    <w:p>
      <w:pPr>
        <w:ind w:left="1900" w:right="100" w:hanging="632"/>
        <w:spacing w:after="0" w:line="332" w:lineRule="auto"/>
        <w:tabs>
          <w:tab w:leader="none" w:pos="1897"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6"/>
          <w:szCs w:val="16"/>
          <w:color w:val="auto"/>
        </w:rPr>
      </w:pPr>
    </w:p>
    <w:p>
      <w:pPr>
        <w:ind w:left="1900" w:right="400" w:hanging="632"/>
        <w:spacing w:after="0" w:line="268" w:lineRule="auto"/>
        <w:tabs>
          <w:tab w:leader="none" w:pos="1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Michael D.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13970</wp:posOffset>
            </wp:positionV>
            <wp:extent cx="19634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Michael D. Welch</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July 30, 2025</w:t>
      </w:r>
    </w:p>
    <w:p>
      <w:pPr>
        <w:sectPr>
          <w:pgSz w:w="11900" w:h="16838" w:orient="portrait"/>
          <w:cols w:equalWidth="0" w:num="1">
            <w:col w:w="11240"/>
          </w:cols>
          <w:pgMar w:left="320" w:top="869"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0" w:firstLine="175"/>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Asbury Automotive Group, Inc. (the "Company") for the period ended June 30, 2025, as filed with the Securities and Exchange Commission on the date hereof (the "Report"), I, David W. Hult, Chief Executive Officer of the Company, certify, pursuant to 18 U.S.C. § 1350, as adopted pursuant to § 906 of the Sarbanes-Oxley Act of 2002, that, to the best of my knowledge:</w:t>
      </w:r>
    </w:p>
    <w:p>
      <w:pPr>
        <w:spacing w:after="0" w:line="206" w:lineRule="exact"/>
        <w:rPr>
          <w:sz w:val="20"/>
          <w:szCs w:val="20"/>
          <w:color w:val="auto"/>
        </w:rPr>
      </w:pPr>
    </w:p>
    <w:p>
      <w:pPr>
        <w:ind w:left="940" w:hanging="303"/>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0"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13970</wp:posOffset>
            </wp:positionV>
            <wp:extent cx="23647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David W. Hult</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July 30, 2025</w:t>
      </w:r>
    </w:p>
    <w:p>
      <w:pPr>
        <w:sectPr>
          <w:pgSz w:w="11900" w:h="16838" w:orient="portrait"/>
          <w:cols w:equalWidth="0" w:num="1">
            <w:col w:w="11240"/>
          </w:cols>
          <w:pgMar w:left="320" w:top="869"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0" w:firstLine="175"/>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Asbury Automotive Group, Inc. (the "Company") for the period ended June 30, 2025, as filed with the Securities and Exchange Commission on the date hereof (the "Report"), I, Michael D. Welch, Chief Financial Officer of the Company, certify, pursuant to 18 U.S.C. § 1350, as adopted pursuant to § 906 of the Sarbanes-Oxley Act of 2002, that, to the best of my knowledge:</w:t>
      </w:r>
    </w:p>
    <w:p>
      <w:pPr>
        <w:spacing w:after="0" w:line="206" w:lineRule="exact"/>
        <w:rPr>
          <w:sz w:val="20"/>
          <w:szCs w:val="20"/>
          <w:color w:val="auto"/>
        </w:rPr>
      </w:pPr>
    </w:p>
    <w:p>
      <w:pPr>
        <w:ind w:left="940" w:hanging="303"/>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0"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Michael D.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13970</wp:posOffset>
            </wp:positionV>
            <wp:extent cx="21640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164080" cy="8255"/>
                    </a:xfrm>
                    <a:prstGeom prst="rect">
                      <a:avLst/>
                    </a:prstGeom>
                    <a:noFill/>
                  </pic:spPr>
                </pic:pic>
              </a:graphicData>
            </a:graphic>
          </wp:anchor>
        </w:drawing>
      </w:r>
    </w:p>
    <w:p>
      <w:pPr>
        <w:spacing w:after="0" w:line="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Michael D. Welch</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July 30, 2025</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06" Type="http://schemas.openxmlformats.org/officeDocument/2006/relationships/hyperlink" Target="https://www.sec.gov/Archives/edgar/data/1144980/000114498025000094/ex101-boa2025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2025-07-30T15:58:31Z</dcterms:created>
  <dcterms:modified xsi:type="dcterms:W3CDTF">2025-07-30T15:58:31Z</dcterms:modified>
</cp:coreProperties>
</file>